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5973" w:rsidRPr="00C70B0E" w:rsidP="00355973">
      <w:pPr>
        <w:pStyle w:val="Title"/>
        <w:rPr>
          <w:rFonts w:ascii="Times New Roman" w:hAnsi="Times New Roman"/>
          <w:szCs w:val="24"/>
        </w:rPr>
      </w:pPr>
      <w:r w:rsidRPr="00C70B0E">
        <w:rPr>
          <w:rFonts w:ascii="Times New Roman" w:hAnsi="Times New Roman"/>
          <w:szCs w:val="24"/>
        </w:rPr>
        <w:t xml:space="preserve">Written evidence from </w:t>
      </w:r>
      <w:r w:rsidRPr="00C70B0E">
        <w:rPr>
          <w:rFonts w:ascii="Times New Roman" w:hAnsi="Times New Roman"/>
          <w:szCs w:val="24"/>
        </w:rPr>
        <w:t xml:space="preserve">Dr Lisa Forsberg*, Dr </w:t>
      </w:r>
      <w:r w:rsidRPr="00C70B0E">
        <w:rPr>
          <w:rFonts w:ascii="Times New Roman" w:hAnsi="Times New Roman"/>
          <w:szCs w:val="24"/>
        </w:rPr>
        <w:t>Isra</w:t>
      </w:r>
      <w:r w:rsidRPr="00C70B0E">
        <w:rPr>
          <w:rFonts w:ascii="Times New Roman" w:hAnsi="Times New Roman"/>
          <w:szCs w:val="24"/>
        </w:rPr>
        <w:t xml:space="preserve"> Black**, Dr Thomas Douglas*, Dr Jonathan Pugh*</w:t>
      </w:r>
      <w:r w:rsidRPr="00C70B0E">
        <w:rPr>
          <w:rFonts w:ascii="Times New Roman" w:hAnsi="Times New Roman"/>
          <w:szCs w:val="24"/>
        </w:rPr>
        <w:t xml:space="preserve"> (COV0220)</w:t>
      </w:r>
    </w:p>
    <w:p w:rsidR="00355973" w:rsidRPr="00C70B0E" w:rsidP="003B2E9D">
      <w:pPr>
        <w:pStyle w:val="Title"/>
        <w:rPr>
          <w:rFonts w:ascii="Times New Roman" w:hAnsi="Times New Roman"/>
          <w:szCs w:val="24"/>
        </w:rPr>
      </w:pPr>
    </w:p>
    <w:p w:rsidR="003B2E9D" w:rsidRPr="00C70B0E" w:rsidP="003B2E9D">
      <w:pPr>
        <w:pStyle w:val="Title"/>
        <w:rPr>
          <w:rFonts w:ascii="Times New Roman" w:hAnsi="Times New Roman"/>
          <w:szCs w:val="24"/>
        </w:rPr>
      </w:pPr>
      <w:r w:rsidRPr="00C70B0E">
        <w:rPr>
          <w:rFonts w:ascii="Times New Roman" w:hAnsi="Times New Roman"/>
          <w:szCs w:val="24"/>
        </w:rPr>
        <w:t xml:space="preserve">Compulsory vaccination for </w:t>
      </w:r>
      <w:r w:rsidRPr="00C70B0E">
        <w:rPr>
          <w:rFonts w:ascii="Times New Roman" w:hAnsi="Times New Roman"/>
          <w:szCs w:val="24"/>
        </w:rPr>
        <w:t>Covid-19</w:t>
      </w:r>
      <w:r w:rsidRPr="00C70B0E">
        <w:rPr>
          <w:rFonts w:ascii="Times New Roman" w:hAnsi="Times New Roman"/>
          <w:szCs w:val="24"/>
        </w:rPr>
        <w:t xml:space="preserve"> and human rights law</w:t>
      </w:r>
    </w:p>
    <w:p w:rsidR="00660653" w:rsidRPr="00C70B0E" w:rsidP="00B45107">
      <w:pPr>
        <w:pStyle w:val="Heading1"/>
        <w:numPr>
          <w:ilvl w:val="0"/>
          <w:numId w:val="0"/>
        </w:numPr>
        <w:rPr>
          <w:rFonts w:ascii="Times New Roman" w:hAnsi="Times New Roman"/>
          <w:szCs w:val="24"/>
        </w:rPr>
      </w:pPr>
      <w:r w:rsidRPr="00C70B0E">
        <w:rPr>
          <w:rFonts w:ascii="Times New Roman" w:hAnsi="Times New Roman"/>
          <w:szCs w:val="24"/>
        </w:rPr>
        <w:t>Introduction and summary</w:t>
      </w:r>
    </w:p>
    <w:p w:rsidR="00517F64" w:rsidRPr="00C70B0E" w:rsidP="006B4093">
      <w:pPr>
        <w:pStyle w:val="Body"/>
        <w:rPr>
          <w:rFonts w:ascii="Times New Roman" w:hAnsi="Times New Roman"/>
        </w:rPr>
      </w:pPr>
      <w:r w:rsidRPr="00C70B0E">
        <w:rPr>
          <w:rFonts w:ascii="Times New Roman" w:hAnsi="Times New Roman"/>
        </w:rPr>
        <w:t>We are academics working in the areas of philosophy</w:t>
      </w:r>
      <w:r w:rsidRPr="00C70B0E">
        <w:rPr>
          <w:rFonts w:ascii="Times New Roman" w:hAnsi="Times New Roman"/>
        </w:rPr>
        <w:t xml:space="preserve"> and law</w:t>
      </w:r>
      <w:r w:rsidRPr="00C70B0E">
        <w:rPr>
          <w:rFonts w:ascii="Times New Roman" w:hAnsi="Times New Roman"/>
        </w:rPr>
        <w:t xml:space="preserve">, with specialisations in, </w:t>
      </w:r>
      <w:r w:rsidRPr="00C70B0E">
        <w:rPr>
          <w:rFonts w:ascii="Times New Roman" w:hAnsi="Times New Roman"/>
          <w:i/>
          <w:iCs/>
        </w:rPr>
        <w:t>inter alia</w:t>
      </w:r>
      <w:r w:rsidRPr="00C70B0E">
        <w:rPr>
          <w:rFonts w:ascii="Times New Roman" w:hAnsi="Times New Roman"/>
        </w:rPr>
        <w:t xml:space="preserve">, </w:t>
      </w:r>
      <w:r w:rsidRPr="00C70B0E">
        <w:rPr>
          <w:rFonts w:ascii="Times New Roman" w:hAnsi="Times New Roman"/>
        </w:rPr>
        <w:t>moral and political philosophy,</w:t>
      </w:r>
      <w:r w:rsidRPr="00C70B0E">
        <w:rPr>
          <w:rFonts w:ascii="Times New Roman" w:hAnsi="Times New Roman"/>
        </w:rPr>
        <w:t xml:space="preserve"> biomedical ethics,</w:t>
      </w:r>
      <w:r w:rsidRPr="00C70B0E">
        <w:rPr>
          <w:rFonts w:ascii="Times New Roman" w:hAnsi="Times New Roman"/>
        </w:rPr>
        <w:t xml:space="preserve"> </w:t>
      </w:r>
      <w:r w:rsidRPr="00C70B0E">
        <w:rPr>
          <w:rFonts w:ascii="Times New Roman" w:hAnsi="Times New Roman"/>
        </w:rPr>
        <w:t>health law, and human rights law.</w:t>
      </w:r>
    </w:p>
    <w:p w:rsidR="00142EB6" w:rsidRPr="00C70B0E" w:rsidP="006B4093">
      <w:pPr>
        <w:pStyle w:val="Body"/>
        <w:rPr>
          <w:rFonts w:ascii="Times New Roman" w:hAnsi="Times New Roman"/>
        </w:rPr>
      </w:pPr>
      <w:r w:rsidRPr="00C70B0E">
        <w:rPr>
          <w:rFonts w:ascii="Times New Roman" w:hAnsi="Times New Roman"/>
        </w:rPr>
        <w:t xml:space="preserve">Our submission pertains to compulsory </w:t>
      </w:r>
      <w:r w:rsidRPr="00C70B0E">
        <w:rPr>
          <w:rFonts w:ascii="Times New Roman" w:hAnsi="Times New Roman"/>
        </w:rPr>
        <w:t>Covid-19</w:t>
      </w:r>
      <w:r w:rsidRPr="00C70B0E">
        <w:rPr>
          <w:rFonts w:ascii="Times New Roman" w:hAnsi="Times New Roman"/>
        </w:rPr>
        <w:t xml:space="preserve"> vaccination</w:t>
      </w:r>
      <w:r w:rsidRPr="00C70B0E">
        <w:rPr>
          <w:rFonts w:ascii="Times New Roman" w:hAnsi="Times New Roman"/>
        </w:rPr>
        <w:t>:</w:t>
      </w:r>
      <w:r>
        <w:rPr>
          <w:rStyle w:val="FootnoteReference"/>
          <w:rFonts w:ascii="Times New Roman" w:hAnsi="Times New Roman"/>
        </w:rPr>
        <w:footnoteReference w:id="2"/>
      </w:r>
      <w:r w:rsidRPr="00C70B0E">
        <w:rPr>
          <w:rFonts w:ascii="Times New Roman" w:hAnsi="Times New Roman"/>
        </w:rPr>
        <w:t xml:space="preserve"> </w:t>
      </w:r>
      <w:r w:rsidRPr="00C70B0E">
        <w:rPr>
          <w:rFonts w:ascii="Times New Roman" w:hAnsi="Times New Roman"/>
        </w:rPr>
        <w:t>a requirement on individuals to undergo vaccination as a condition of r</w:t>
      </w:r>
      <w:r w:rsidRPr="00C70B0E">
        <w:rPr>
          <w:rFonts w:ascii="Times New Roman" w:hAnsi="Times New Roman"/>
        </w:rPr>
        <w:t>elease from pandemic-related restrictions on liberty, including on movement and association.</w:t>
      </w:r>
      <w:r>
        <w:rPr>
          <w:rStyle w:val="FootnoteReference"/>
          <w:rFonts w:ascii="Times New Roman" w:hAnsi="Times New Roman"/>
        </w:rPr>
        <w:footnoteReference w:id="3"/>
      </w:r>
    </w:p>
    <w:p w:rsidR="00B8088C" w:rsidRPr="00C70B0E" w:rsidP="006B4093">
      <w:pPr>
        <w:pStyle w:val="Body"/>
        <w:rPr>
          <w:rFonts w:ascii="Times New Roman" w:hAnsi="Times New Roman"/>
        </w:rPr>
      </w:pPr>
      <w:r w:rsidRPr="00C70B0E">
        <w:rPr>
          <w:rFonts w:ascii="Times New Roman" w:hAnsi="Times New Roman"/>
        </w:rPr>
        <w:t>O</w:t>
      </w:r>
      <w:r w:rsidRPr="00C70B0E">
        <w:rPr>
          <w:rFonts w:ascii="Times New Roman" w:hAnsi="Times New Roman"/>
        </w:rPr>
        <w:t>ur evidence is forward-looking</w:t>
      </w:r>
      <w:r w:rsidRPr="00C70B0E">
        <w:rPr>
          <w:rFonts w:ascii="Times New Roman" w:hAnsi="Times New Roman"/>
        </w:rPr>
        <w:t xml:space="preserve">. </w:t>
      </w:r>
      <w:r w:rsidRPr="00C70B0E">
        <w:rPr>
          <w:rFonts w:ascii="Times New Roman" w:hAnsi="Times New Roman"/>
        </w:rPr>
        <w:t xml:space="preserve">We </w:t>
      </w:r>
      <w:r w:rsidRPr="00C70B0E">
        <w:rPr>
          <w:rFonts w:ascii="Times New Roman" w:hAnsi="Times New Roman"/>
        </w:rPr>
        <w:t xml:space="preserve">expect </w:t>
      </w:r>
      <w:r w:rsidRPr="00C70B0E">
        <w:rPr>
          <w:rFonts w:ascii="Times New Roman" w:hAnsi="Times New Roman"/>
        </w:rPr>
        <w:t xml:space="preserve">that a </w:t>
      </w:r>
      <w:r w:rsidRPr="00C70B0E">
        <w:rPr>
          <w:rFonts w:ascii="Times New Roman" w:hAnsi="Times New Roman"/>
        </w:rPr>
        <w:t>Covid-19</w:t>
      </w:r>
      <w:r w:rsidRPr="00C70B0E">
        <w:rPr>
          <w:rFonts w:ascii="Times New Roman" w:hAnsi="Times New Roman"/>
        </w:rPr>
        <w:t xml:space="preserve"> vaccine </w:t>
      </w:r>
      <w:r w:rsidRPr="00C70B0E">
        <w:rPr>
          <w:rFonts w:ascii="Times New Roman" w:hAnsi="Times New Roman"/>
        </w:rPr>
        <w:t xml:space="preserve">will </w:t>
      </w:r>
      <w:r w:rsidRPr="00C70B0E">
        <w:rPr>
          <w:rFonts w:ascii="Times New Roman" w:hAnsi="Times New Roman"/>
        </w:rPr>
        <w:t xml:space="preserve">become </w:t>
      </w:r>
      <w:r w:rsidRPr="00C70B0E">
        <w:rPr>
          <w:rFonts w:ascii="Times New Roman" w:hAnsi="Times New Roman"/>
        </w:rPr>
        <w:t xml:space="preserve">available in </w:t>
      </w:r>
      <w:r w:rsidRPr="00C70B0E">
        <w:rPr>
          <w:rFonts w:ascii="Times New Roman" w:hAnsi="Times New Roman"/>
        </w:rPr>
        <w:t>sufficient</w:t>
      </w:r>
      <w:r w:rsidRPr="00C70B0E">
        <w:rPr>
          <w:rFonts w:ascii="Times New Roman" w:hAnsi="Times New Roman"/>
        </w:rPr>
        <w:t xml:space="preserve"> quantity to enable population-wide </w:t>
      </w:r>
      <w:r w:rsidRPr="00C70B0E">
        <w:rPr>
          <w:rFonts w:ascii="Times New Roman" w:hAnsi="Times New Roman"/>
        </w:rPr>
        <w:t>immunisation</w:t>
      </w:r>
      <w:r w:rsidRPr="00C70B0E">
        <w:rPr>
          <w:rFonts w:ascii="Times New Roman" w:hAnsi="Times New Roman"/>
        </w:rPr>
        <w:t>.</w:t>
      </w:r>
      <w:r>
        <w:rPr>
          <w:rStyle w:val="FootnoteReference"/>
          <w:rFonts w:ascii="Times New Roman" w:hAnsi="Times New Roman"/>
        </w:rPr>
        <w:footnoteReference w:id="4"/>
      </w:r>
      <w:r w:rsidRPr="00C70B0E">
        <w:rPr>
          <w:rFonts w:ascii="Times New Roman" w:hAnsi="Times New Roman"/>
        </w:rPr>
        <w:t xml:space="preserve"> At that s</w:t>
      </w:r>
      <w:r w:rsidRPr="00C70B0E">
        <w:rPr>
          <w:rFonts w:ascii="Times New Roman" w:hAnsi="Times New Roman"/>
        </w:rPr>
        <w:t xml:space="preserve">tage, the Government </w:t>
      </w:r>
      <w:r w:rsidRPr="00C70B0E">
        <w:rPr>
          <w:rFonts w:ascii="Times New Roman" w:hAnsi="Times New Roman"/>
        </w:rPr>
        <w:t>will need to</w:t>
      </w:r>
      <w:r w:rsidRPr="00C70B0E">
        <w:rPr>
          <w:rFonts w:ascii="Times New Roman" w:hAnsi="Times New Roman"/>
        </w:rPr>
        <w:t xml:space="preserve"> </w:t>
      </w:r>
      <w:r w:rsidRPr="00C70B0E">
        <w:rPr>
          <w:rFonts w:ascii="Times New Roman" w:hAnsi="Times New Roman"/>
        </w:rPr>
        <w:t xml:space="preserve">consider </w:t>
      </w:r>
      <w:r w:rsidRPr="00C70B0E">
        <w:rPr>
          <w:rFonts w:ascii="Times New Roman" w:hAnsi="Times New Roman"/>
        </w:rPr>
        <w:t>the means of delivery, including</w:t>
      </w:r>
      <w:r w:rsidRPr="00C70B0E">
        <w:rPr>
          <w:rFonts w:ascii="Times New Roman" w:hAnsi="Times New Roman"/>
        </w:rPr>
        <w:t xml:space="preserve"> whether it is necessary to </w:t>
      </w:r>
      <w:r w:rsidRPr="00C70B0E">
        <w:rPr>
          <w:rFonts w:ascii="Times New Roman" w:hAnsi="Times New Roman"/>
        </w:rPr>
        <w:t>legislat</w:t>
      </w:r>
      <w:r w:rsidRPr="00C70B0E">
        <w:rPr>
          <w:rFonts w:ascii="Times New Roman" w:hAnsi="Times New Roman"/>
        </w:rPr>
        <w:t>e</w:t>
      </w:r>
      <w:r w:rsidRPr="00C70B0E">
        <w:rPr>
          <w:rFonts w:ascii="Times New Roman" w:hAnsi="Times New Roman"/>
        </w:rPr>
        <w:t xml:space="preserve"> for compulsory vaccination. We consider the human rights law dimension</w:t>
      </w:r>
      <w:r w:rsidRPr="00C70B0E">
        <w:rPr>
          <w:rFonts w:ascii="Times New Roman" w:hAnsi="Times New Roman"/>
        </w:rPr>
        <w:t>s</w:t>
      </w:r>
      <w:r w:rsidRPr="00C70B0E">
        <w:rPr>
          <w:rFonts w:ascii="Times New Roman" w:hAnsi="Times New Roman"/>
        </w:rPr>
        <w:t xml:space="preserve"> of </w:t>
      </w:r>
      <w:r w:rsidRPr="00C70B0E">
        <w:rPr>
          <w:rFonts w:ascii="Times New Roman" w:hAnsi="Times New Roman"/>
        </w:rPr>
        <w:t xml:space="preserve">compulsory vaccination by </w:t>
      </w:r>
      <w:r w:rsidRPr="00C70B0E">
        <w:rPr>
          <w:rFonts w:ascii="Times New Roman" w:hAnsi="Times New Roman"/>
        </w:rPr>
        <w:t>reference to the Human Rights Act 1998 and</w:t>
      </w:r>
      <w:r w:rsidRPr="00C70B0E">
        <w:rPr>
          <w:rFonts w:ascii="Times New Roman" w:hAnsi="Times New Roman"/>
        </w:rPr>
        <w:t xml:space="preserve"> the European Convention on Human Rights. As such, our submission primarily addresses </w:t>
      </w:r>
      <w:r w:rsidRPr="00C70B0E">
        <w:rPr>
          <w:rFonts w:ascii="Times New Roman" w:hAnsi="Times New Roman"/>
        </w:rPr>
        <w:t xml:space="preserve">a live issue </w:t>
      </w:r>
      <w:r w:rsidRPr="00C70B0E">
        <w:rPr>
          <w:rFonts w:ascii="Times New Roman" w:hAnsi="Times New Roman"/>
        </w:rPr>
        <w:t>the second question in the Committee’s call for evidence:</w:t>
      </w:r>
    </w:p>
    <w:p w:rsidR="00B8088C" w:rsidRPr="00C70B0E" w:rsidP="00C9603D">
      <w:pPr>
        <w:pStyle w:val="Quote"/>
        <w:rPr>
          <w:rFonts w:ascii="Times New Roman" w:hAnsi="Times New Roman"/>
          <w:i/>
          <w:iCs/>
        </w:rPr>
      </w:pPr>
      <w:r w:rsidRPr="00C70B0E">
        <w:rPr>
          <w:rFonts w:ascii="Times New Roman" w:hAnsi="Times New Roman"/>
          <w:i/>
          <w:iCs/>
        </w:rPr>
        <w:t xml:space="preserve">What will the impact of specific measures taken by Government to address the </w:t>
      </w:r>
      <w:r w:rsidRPr="00C70B0E">
        <w:rPr>
          <w:rFonts w:ascii="Times New Roman" w:hAnsi="Times New Roman"/>
          <w:i/>
          <w:iCs/>
        </w:rPr>
        <w:t>Covid-19</w:t>
      </w:r>
      <w:r w:rsidRPr="00C70B0E">
        <w:rPr>
          <w:rFonts w:ascii="Times New Roman" w:hAnsi="Times New Roman"/>
          <w:i/>
          <w:iCs/>
        </w:rPr>
        <w:t xml:space="preserve"> pandemic be on human rights in the UK?</w:t>
      </w:r>
    </w:p>
    <w:p w:rsidR="006B4093" w:rsidRPr="00C70B0E" w:rsidP="006B4093">
      <w:pPr>
        <w:pStyle w:val="Body"/>
        <w:rPr>
          <w:rFonts w:ascii="Times New Roman" w:hAnsi="Times New Roman"/>
        </w:rPr>
      </w:pPr>
      <w:r w:rsidRPr="00C70B0E">
        <w:rPr>
          <w:rFonts w:ascii="Times New Roman" w:hAnsi="Times New Roman"/>
        </w:rPr>
        <w:t>Our evidence takes the following form:</w:t>
      </w:r>
    </w:p>
    <w:p w:rsidR="00DD43F4" w:rsidRPr="00C70B0E" w:rsidP="009924AB">
      <w:pPr>
        <w:pStyle w:val="ListParagraph"/>
        <w:numPr>
          <w:ilvl w:val="0"/>
          <w:numId w:val="11"/>
        </w:numPr>
        <w:ind w:left="284" w:hanging="284"/>
        <w:jc w:val="both"/>
        <w:rPr>
          <w:rFonts w:ascii="Times New Roman" w:hAnsi="Times New Roman"/>
        </w:rPr>
      </w:pPr>
      <w:bookmarkStart w:id="0" w:name="_Hlk46313249"/>
      <w:r w:rsidRPr="00C70B0E">
        <w:rPr>
          <w:rFonts w:ascii="Times New Roman" w:hAnsi="Times New Roman"/>
        </w:rPr>
        <w:t>A discussion of the reasons why compulsory vaccination may need to be considered;</w:t>
      </w:r>
    </w:p>
    <w:p w:rsidR="006B4093" w:rsidRPr="00C70B0E" w:rsidP="009924AB">
      <w:pPr>
        <w:pStyle w:val="ListParagraph"/>
        <w:numPr>
          <w:ilvl w:val="0"/>
          <w:numId w:val="11"/>
        </w:numPr>
        <w:ind w:left="284" w:hanging="284"/>
        <w:jc w:val="both"/>
        <w:rPr>
          <w:rFonts w:ascii="Times New Roman" w:hAnsi="Times New Roman"/>
        </w:rPr>
      </w:pPr>
      <w:r w:rsidRPr="00C70B0E">
        <w:rPr>
          <w:rFonts w:ascii="Times New Roman" w:hAnsi="Times New Roman"/>
        </w:rPr>
        <w:t>An overview of relevant legal provisions;</w:t>
      </w:r>
      <w:bookmarkEnd w:id="0"/>
    </w:p>
    <w:p w:rsidR="006B4093" w:rsidRPr="00C70B0E" w:rsidP="009924AB">
      <w:pPr>
        <w:pStyle w:val="ListParagraph"/>
        <w:numPr>
          <w:ilvl w:val="0"/>
          <w:numId w:val="11"/>
        </w:numPr>
        <w:ind w:left="284" w:hanging="284"/>
        <w:jc w:val="both"/>
        <w:rPr>
          <w:rFonts w:ascii="Times New Roman" w:hAnsi="Times New Roman"/>
        </w:rPr>
      </w:pPr>
      <w:r w:rsidRPr="00C70B0E">
        <w:rPr>
          <w:rFonts w:ascii="Times New Roman" w:hAnsi="Times New Roman"/>
        </w:rPr>
        <w:t xml:space="preserve">An examination of the human rights law compliance of </w:t>
      </w:r>
      <w:r w:rsidRPr="00C70B0E">
        <w:rPr>
          <w:rFonts w:ascii="Times New Roman" w:hAnsi="Times New Roman"/>
        </w:rPr>
        <w:t>c</w:t>
      </w:r>
      <w:r w:rsidRPr="00C70B0E">
        <w:rPr>
          <w:rFonts w:ascii="Times New Roman" w:hAnsi="Times New Roman"/>
        </w:rPr>
        <w:t>ompulsory vaccination.</w:t>
      </w:r>
    </w:p>
    <w:p w:rsidR="006B4093" w:rsidRPr="00C70B0E" w:rsidP="006B4093">
      <w:pPr>
        <w:jc w:val="both"/>
        <w:rPr>
          <w:rFonts w:ascii="Times New Roman" w:hAnsi="Times New Roman"/>
        </w:rPr>
      </w:pPr>
    </w:p>
    <w:p w:rsidR="006B4093" w:rsidRPr="00C70B0E" w:rsidP="006B4093">
      <w:pPr>
        <w:jc w:val="both"/>
        <w:rPr>
          <w:rFonts w:ascii="Times New Roman" w:hAnsi="Times New Roman"/>
        </w:rPr>
      </w:pPr>
      <w:r w:rsidRPr="00C70B0E">
        <w:rPr>
          <w:rFonts w:ascii="Times New Roman" w:hAnsi="Times New Roman"/>
        </w:rPr>
        <w:t xml:space="preserve">Our analysis under </w:t>
      </w:r>
      <w:r w:rsidRPr="00C70B0E">
        <w:rPr>
          <w:rFonts w:ascii="Times New Roman" w:hAnsi="Times New Roman"/>
        </w:rPr>
        <w:t>3</w:t>
      </w:r>
      <w:r w:rsidRPr="00C70B0E">
        <w:rPr>
          <w:rFonts w:ascii="Times New Roman" w:hAnsi="Times New Roman"/>
        </w:rPr>
        <w:t xml:space="preserve"> </w:t>
      </w:r>
      <w:r w:rsidRPr="00C70B0E">
        <w:rPr>
          <w:rFonts w:ascii="Times New Roman" w:hAnsi="Times New Roman"/>
        </w:rPr>
        <w:t>establishes</w:t>
      </w:r>
      <w:r w:rsidRPr="00C70B0E">
        <w:rPr>
          <w:rFonts w:ascii="Times New Roman" w:hAnsi="Times New Roman"/>
        </w:rPr>
        <w:t xml:space="preserve"> two </w:t>
      </w:r>
      <w:r w:rsidRPr="00C70B0E">
        <w:rPr>
          <w:rFonts w:ascii="Times New Roman" w:hAnsi="Times New Roman"/>
        </w:rPr>
        <w:t xml:space="preserve">parity </w:t>
      </w:r>
      <w:r w:rsidRPr="00C70B0E">
        <w:rPr>
          <w:rFonts w:ascii="Times New Roman" w:hAnsi="Times New Roman"/>
        </w:rPr>
        <w:t>arguments</w:t>
      </w:r>
      <w:r w:rsidRPr="00C70B0E">
        <w:rPr>
          <w:rFonts w:ascii="Times New Roman" w:hAnsi="Times New Roman"/>
        </w:rPr>
        <w:t>:</w:t>
      </w:r>
    </w:p>
    <w:p w:rsidR="006B4093" w:rsidRPr="00C70B0E" w:rsidP="009924AB">
      <w:pPr>
        <w:pStyle w:val="ListParagraph"/>
        <w:numPr>
          <w:ilvl w:val="0"/>
          <w:numId w:val="13"/>
        </w:numPr>
        <w:ind w:left="284" w:hanging="284"/>
        <w:jc w:val="both"/>
        <w:rPr>
          <w:rFonts w:ascii="Times New Roman" w:hAnsi="Times New Roman"/>
        </w:rPr>
      </w:pPr>
      <w:r w:rsidRPr="00C70B0E">
        <w:rPr>
          <w:rFonts w:ascii="Times New Roman" w:hAnsi="Times New Roman"/>
        </w:rPr>
        <w:t xml:space="preserve">If </w:t>
      </w:r>
      <w:r w:rsidRPr="00C70B0E">
        <w:rPr>
          <w:rFonts w:ascii="Times New Roman" w:hAnsi="Times New Roman"/>
        </w:rPr>
        <w:t>Covid-19</w:t>
      </w:r>
      <w:r w:rsidRPr="00C70B0E">
        <w:rPr>
          <w:rFonts w:ascii="Times New Roman" w:hAnsi="Times New Roman"/>
        </w:rPr>
        <w:t xml:space="preserve"> ‘lockdown’ measures are compatible with human rights law, then </w:t>
      </w:r>
      <w:r w:rsidRPr="00C70B0E">
        <w:rPr>
          <w:rFonts w:ascii="Times New Roman" w:hAnsi="Times New Roman"/>
        </w:rPr>
        <w:t xml:space="preserve">it is arguable that </w:t>
      </w:r>
      <w:r w:rsidRPr="00C70B0E">
        <w:rPr>
          <w:rFonts w:ascii="Times New Roman" w:hAnsi="Times New Roman"/>
        </w:rPr>
        <w:t xml:space="preserve">compulsory vaccination </w:t>
      </w:r>
      <w:r w:rsidRPr="00C70B0E">
        <w:rPr>
          <w:rFonts w:ascii="Times New Roman" w:hAnsi="Times New Roman"/>
        </w:rPr>
        <w:t xml:space="preserve">is </w:t>
      </w:r>
      <w:r w:rsidRPr="00C70B0E">
        <w:rPr>
          <w:rFonts w:ascii="Times New Roman" w:hAnsi="Times New Roman"/>
        </w:rPr>
        <w:t>too</w:t>
      </w:r>
      <w:r w:rsidRPr="00C70B0E">
        <w:rPr>
          <w:rFonts w:ascii="Times New Roman" w:hAnsi="Times New Roman"/>
        </w:rPr>
        <w:t xml:space="preserve"> (</w:t>
      </w:r>
      <w:r w:rsidRPr="00C70B0E">
        <w:rPr>
          <w:rFonts w:ascii="Times New Roman" w:hAnsi="Times New Roman"/>
          <w:i/>
          <w:iCs/>
        </w:rPr>
        <w:t>lockdown parity argument</w:t>
      </w:r>
      <w:r w:rsidRPr="00C70B0E">
        <w:rPr>
          <w:rFonts w:ascii="Times New Roman" w:hAnsi="Times New Roman"/>
        </w:rPr>
        <w:t>)</w:t>
      </w:r>
      <w:r w:rsidRPr="00C70B0E">
        <w:rPr>
          <w:rFonts w:ascii="Times New Roman" w:hAnsi="Times New Roman"/>
        </w:rPr>
        <w:t>;</w:t>
      </w:r>
    </w:p>
    <w:p w:rsidR="00B8088C" w:rsidRPr="00C70B0E" w:rsidP="009924AB">
      <w:pPr>
        <w:pStyle w:val="ListParagraph"/>
        <w:numPr>
          <w:ilvl w:val="0"/>
          <w:numId w:val="13"/>
        </w:numPr>
        <w:ind w:left="284" w:hanging="284"/>
        <w:jc w:val="both"/>
        <w:rPr>
          <w:rFonts w:ascii="Times New Roman" w:hAnsi="Times New Roman"/>
          <w:i/>
          <w:iCs/>
        </w:rPr>
      </w:pPr>
      <w:r w:rsidRPr="00C70B0E">
        <w:rPr>
          <w:rFonts w:ascii="Times New Roman" w:hAnsi="Times New Roman"/>
        </w:rPr>
        <w:t>If compulsory medical t</w:t>
      </w:r>
      <w:r w:rsidRPr="00C70B0E">
        <w:rPr>
          <w:rFonts w:ascii="Times New Roman" w:hAnsi="Times New Roman"/>
        </w:rPr>
        <w:t xml:space="preserve">reatment under mental health law for </w:t>
      </w:r>
      <w:r w:rsidRPr="00C70B0E">
        <w:rPr>
          <w:rFonts w:ascii="Times New Roman" w:hAnsi="Times New Roman"/>
        </w:rPr>
        <w:t xml:space="preserve">personal and </w:t>
      </w:r>
      <w:r w:rsidRPr="00C70B0E">
        <w:rPr>
          <w:rFonts w:ascii="Times New Roman" w:hAnsi="Times New Roman"/>
        </w:rPr>
        <w:t xml:space="preserve">public protection purposes is compatible with human rights law, then </w:t>
      </w:r>
      <w:r w:rsidRPr="00C70B0E">
        <w:rPr>
          <w:rFonts w:ascii="Times New Roman" w:hAnsi="Times New Roman"/>
        </w:rPr>
        <w:t xml:space="preserve">it is arguable that </w:t>
      </w:r>
      <w:r w:rsidRPr="00C70B0E">
        <w:rPr>
          <w:rFonts w:ascii="Times New Roman" w:hAnsi="Times New Roman"/>
        </w:rPr>
        <w:t xml:space="preserve">compulsory vaccination </w:t>
      </w:r>
      <w:r w:rsidRPr="00C70B0E">
        <w:rPr>
          <w:rFonts w:ascii="Times New Roman" w:hAnsi="Times New Roman"/>
        </w:rPr>
        <w:t xml:space="preserve">is </w:t>
      </w:r>
      <w:r w:rsidRPr="00C70B0E">
        <w:rPr>
          <w:rFonts w:ascii="Times New Roman" w:hAnsi="Times New Roman"/>
        </w:rPr>
        <w:t>too</w:t>
      </w:r>
      <w:r w:rsidRPr="00C70B0E">
        <w:rPr>
          <w:rFonts w:ascii="Times New Roman" w:hAnsi="Times New Roman"/>
        </w:rPr>
        <w:t xml:space="preserve"> (</w:t>
      </w:r>
      <w:r w:rsidRPr="00C70B0E">
        <w:rPr>
          <w:rFonts w:ascii="Times New Roman" w:hAnsi="Times New Roman"/>
          <w:i/>
          <w:iCs/>
        </w:rPr>
        <w:t>mental health parity argument</w:t>
      </w:r>
      <w:r w:rsidRPr="00C70B0E">
        <w:rPr>
          <w:rFonts w:ascii="Times New Roman" w:hAnsi="Times New Roman"/>
        </w:rPr>
        <w:t>)</w:t>
      </w:r>
      <w:r w:rsidRPr="00C70B0E">
        <w:rPr>
          <w:rFonts w:ascii="Times New Roman" w:hAnsi="Times New Roman"/>
        </w:rPr>
        <w:t>.</w:t>
      </w:r>
    </w:p>
    <w:p w:rsidR="00B94D57" w:rsidRPr="00C70B0E" w:rsidP="00B94D57">
      <w:pPr>
        <w:jc w:val="both"/>
        <w:rPr>
          <w:rFonts w:ascii="Times New Roman" w:hAnsi="Times New Roman"/>
          <w:i/>
          <w:iCs/>
        </w:rPr>
      </w:pPr>
    </w:p>
    <w:p w:rsidR="00DC21BC" w:rsidRPr="00C70B0E" w:rsidP="00B94D57">
      <w:pPr>
        <w:jc w:val="both"/>
        <w:rPr>
          <w:rFonts w:ascii="Times New Roman" w:hAnsi="Times New Roman"/>
          <w:b/>
          <w:bCs/>
        </w:rPr>
      </w:pPr>
      <w:r w:rsidRPr="00C70B0E">
        <w:rPr>
          <w:rFonts w:ascii="Times New Roman" w:hAnsi="Times New Roman"/>
          <w:b/>
          <w:bCs/>
        </w:rPr>
        <w:t>Our chief conclusion is that, a</w:t>
      </w:r>
      <w:r w:rsidRPr="00C70B0E">
        <w:rPr>
          <w:rFonts w:ascii="Times New Roman" w:hAnsi="Times New Roman"/>
          <w:b/>
          <w:bCs/>
        </w:rPr>
        <w:t>s and when a vaccine b</w:t>
      </w:r>
      <w:r w:rsidRPr="00C70B0E">
        <w:rPr>
          <w:rFonts w:ascii="Times New Roman" w:hAnsi="Times New Roman"/>
          <w:b/>
          <w:bCs/>
        </w:rPr>
        <w:t>ecomes available at scale, t</w:t>
      </w:r>
      <w:r w:rsidRPr="00C70B0E">
        <w:rPr>
          <w:rFonts w:ascii="Times New Roman" w:hAnsi="Times New Roman"/>
          <w:b/>
          <w:bCs/>
        </w:rPr>
        <w:t xml:space="preserve">he Government should give serious consideration to </w:t>
      </w:r>
      <w:r w:rsidRPr="00C70B0E">
        <w:rPr>
          <w:rFonts w:ascii="Times New Roman" w:hAnsi="Times New Roman"/>
          <w:b/>
          <w:bCs/>
        </w:rPr>
        <w:t xml:space="preserve">compulsory immunisation as a </w:t>
      </w:r>
      <w:r w:rsidRPr="00C70B0E">
        <w:rPr>
          <w:rFonts w:ascii="Times New Roman" w:hAnsi="Times New Roman"/>
          <w:b/>
          <w:bCs/>
        </w:rPr>
        <w:t xml:space="preserve">means of reducing the impacts of </w:t>
      </w:r>
      <w:r w:rsidRPr="00C70B0E">
        <w:rPr>
          <w:rFonts w:ascii="Times New Roman" w:hAnsi="Times New Roman"/>
          <w:b/>
          <w:bCs/>
        </w:rPr>
        <w:t>Covid-19</w:t>
      </w:r>
      <w:r w:rsidRPr="00C70B0E">
        <w:rPr>
          <w:rFonts w:ascii="Times New Roman" w:hAnsi="Times New Roman"/>
          <w:b/>
          <w:bCs/>
        </w:rPr>
        <w:t>.</w:t>
      </w:r>
      <w:r w:rsidRPr="00C70B0E">
        <w:rPr>
          <w:rFonts w:ascii="Times New Roman" w:hAnsi="Times New Roman"/>
          <w:b/>
          <w:bCs/>
        </w:rPr>
        <w:t xml:space="preserve"> There is an arguable case for the compatibility of compulsory vaccination with human rights law.</w:t>
      </w:r>
    </w:p>
    <w:p w:rsidR="00DC21BC" w:rsidRPr="00C70B0E" w:rsidP="004B45FE">
      <w:pPr>
        <w:pStyle w:val="Heading1"/>
        <w:rPr>
          <w:rFonts w:ascii="Times New Roman" w:hAnsi="Times New Roman"/>
          <w:szCs w:val="24"/>
        </w:rPr>
      </w:pPr>
      <w:r w:rsidRPr="00C70B0E">
        <w:rPr>
          <w:rFonts w:ascii="Times New Roman" w:hAnsi="Times New Roman"/>
          <w:szCs w:val="24"/>
        </w:rPr>
        <w:t>Vaccine hesitancy</w:t>
      </w:r>
    </w:p>
    <w:p w:rsidR="00DC21BC" w:rsidRPr="00C70B0E" w:rsidP="00DC21BC">
      <w:pPr>
        <w:pStyle w:val="Body"/>
        <w:rPr>
          <w:rFonts w:ascii="Times New Roman" w:hAnsi="Times New Roman"/>
        </w:rPr>
      </w:pPr>
      <w:r w:rsidRPr="00C70B0E">
        <w:rPr>
          <w:rFonts w:ascii="Times New Roman" w:hAnsi="Times New Roman"/>
        </w:rPr>
        <w:t xml:space="preserve">A </w:t>
      </w:r>
      <w:r w:rsidRPr="00C70B0E">
        <w:rPr>
          <w:rFonts w:ascii="Times New Roman" w:hAnsi="Times New Roman"/>
        </w:rPr>
        <w:t>Covid-19</w:t>
      </w:r>
      <w:r w:rsidRPr="00C70B0E">
        <w:rPr>
          <w:rFonts w:ascii="Times New Roman" w:hAnsi="Times New Roman"/>
        </w:rPr>
        <w:t xml:space="preserve"> vaccine promises to be the best means to mitigate the impacts of the pandemic on individuals and society. Yet sufficient voluntary uptake of a vaccine cannot be guaranteed.</w:t>
      </w:r>
      <w:r>
        <w:rPr>
          <w:rStyle w:val="FootnoteReference"/>
          <w:rFonts w:ascii="Times New Roman" w:hAnsi="Times New Roman"/>
        </w:rPr>
        <w:footnoteReference w:id="5"/>
      </w:r>
      <w:r w:rsidRPr="00C70B0E">
        <w:rPr>
          <w:rFonts w:ascii="Times New Roman" w:hAnsi="Times New Roman"/>
        </w:rPr>
        <w:t xml:space="preserve"> Voluntary vaccine uptake may be limited by ‘vaccine hesitancy’, which the World H</w:t>
      </w:r>
      <w:r w:rsidRPr="00C70B0E">
        <w:rPr>
          <w:rFonts w:ascii="Times New Roman" w:hAnsi="Times New Roman"/>
        </w:rPr>
        <w:t>ealth Organization (WHO) describes as ‘the reluctance or refusal to vaccinate despite the availability of vaccines’.</w:t>
      </w:r>
      <w:r>
        <w:rPr>
          <w:rStyle w:val="FootnoteReference"/>
          <w:rFonts w:ascii="Times New Roman" w:hAnsi="Times New Roman"/>
        </w:rPr>
        <w:footnoteReference w:id="6"/>
      </w:r>
      <w:r w:rsidRPr="00C70B0E">
        <w:rPr>
          <w:rFonts w:ascii="Times New Roman" w:hAnsi="Times New Roman"/>
        </w:rPr>
        <w:t xml:space="preserve"> Vaccine hesitancy in respect of </w:t>
      </w:r>
      <w:r w:rsidRPr="00C70B0E">
        <w:rPr>
          <w:rFonts w:ascii="Times New Roman" w:hAnsi="Times New Roman"/>
        </w:rPr>
        <w:t>Covid-19</w:t>
      </w:r>
      <w:r w:rsidRPr="00C70B0E">
        <w:rPr>
          <w:rFonts w:ascii="Times New Roman" w:hAnsi="Times New Roman"/>
        </w:rPr>
        <w:t xml:space="preserve"> may arise because of the influence of anti-vaccination movements, the uneven demographic distribu</w:t>
      </w:r>
      <w:r w:rsidRPr="00C70B0E">
        <w:rPr>
          <w:rFonts w:ascii="Times New Roman" w:hAnsi="Times New Roman"/>
        </w:rPr>
        <w:t xml:space="preserve">tion of </w:t>
      </w:r>
      <w:r w:rsidRPr="00C70B0E">
        <w:rPr>
          <w:rFonts w:ascii="Times New Roman" w:hAnsi="Times New Roman"/>
        </w:rPr>
        <w:t>Covid-19</w:t>
      </w:r>
      <w:r w:rsidRPr="00C70B0E">
        <w:rPr>
          <w:rFonts w:ascii="Times New Roman" w:hAnsi="Times New Roman"/>
        </w:rPr>
        <w:t xml:space="preserve"> morbidity and mortality risks,</w:t>
      </w:r>
      <w:r>
        <w:rPr>
          <w:rStyle w:val="FootnoteReference"/>
          <w:rFonts w:ascii="Times New Roman" w:hAnsi="Times New Roman"/>
        </w:rPr>
        <w:footnoteReference w:id="7"/>
      </w:r>
      <w:r w:rsidRPr="00C70B0E">
        <w:rPr>
          <w:rFonts w:ascii="Times New Roman" w:hAnsi="Times New Roman"/>
        </w:rPr>
        <w:t xml:space="preserve"> or the mistaken belief that </w:t>
      </w:r>
      <w:r w:rsidRPr="00C70B0E">
        <w:rPr>
          <w:rFonts w:ascii="Times New Roman" w:hAnsi="Times New Roman"/>
        </w:rPr>
        <w:t>Covid-19</w:t>
      </w:r>
      <w:r w:rsidRPr="00C70B0E">
        <w:rPr>
          <w:rFonts w:ascii="Times New Roman" w:hAnsi="Times New Roman"/>
        </w:rPr>
        <w:t xml:space="preserve"> immunity has already been acquired.</w:t>
      </w:r>
    </w:p>
    <w:p w:rsidR="0087577D" w:rsidRPr="00C70B0E" w:rsidP="0087577D">
      <w:pPr>
        <w:pStyle w:val="Heading1"/>
        <w:numPr>
          <w:ilvl w:val="0"/>
          <w:numId w:val="0"/>
        </w:numPr>
        <w:jc w:val="both"/>
        <w:rPr>
          <w:rFonts w:ascii="Times New Roman" w:hAnsi="Times New Roman"/>
          <w:bCs/>
          <w:szCs w:val="24"/>
        </w:rPr>
      </w:pPr>
      <w:r w:rsidRPr="00C70B0E">
        <w:rPr>
          <w:rFonts w:ascii="Times New Roman" w:hAnsi="Times New Roman"/>
          <w:bCs/>
          <w:szCs w:val="24"/>
        </w:rPr>
        <w:t xml:space="preserve">Should a </w:t>
      </w:r>
      <w:r w:rsidRPr="00C70B0E">
        <w:rPr>
          <w:rFonts w:ascii="Times New Roman" w:hAnsi="Times New Roman"/>
          <w:bCs/>
          <w:szCs w:val="24"/>
        </w:rPr>
        <w:t>Covid-19</w:t>
      </w:r>
      <w:r w:rsidRPr="00C70B0E">
        <w:rPr>
          <w:rFonts w:ascii="Times New Roman" w:hAnsi="Times New Roman"/>
          <w:bCs/>
          <w:szCs w:val="24"/>
        </w:rPr>
        <w:t xml:space="preserve"> vaccine become available at scale, we cannot expect </w:t>
      </w:r>
      <w:r w:rsidRPr="00C70B0E">
        <w:rPr>
          <w:rFonts w:ascii="Times New Roman" w:hAnsi="Times New Roman"/>
          <w:bCs/>
          <w:szCs w:val="24"/>
        </w:rPr>
        <w:t>sufficient</w:t>
      </w:r>
      <w:r w:rsidRPr="00C70B0E">
        <w:rPr>
          <w:rFonts w:ascii="Times New Roman" w:hAnsi="Times New Roman"/>
          <w:bCs/>
          <w:szCs w:val="24"/>
        </w:rPr>
        <w:t xml:space="preserve"> voluntary uptake. It is necessary for the Government </w:t>
      </w:r>
      <w:r w:rsidRPr="00C70B0E">
        <w:rPr>
          <w:rFonts w:ascii="Times New Roman" w:hAnsi="Times New Roman"/>
          <w:bCs/>
          <w:szCs w:val="24"/>
        </w:rPr>
        <w:t>to consider a policy of compulsory vaccination, with appropriate exceptions.</w:t>
      </w:r>
      <w:r>
        <w:rPr>
          <w:rStyle w:val="FootnoteReference"/>
          <w:rFonts w:ascii="Times New Roman" w:hAnsi="Times New Roman"/>
          <w:bCs/>
          <w:szCs w:val="24"/>
        </w:rPr>
        <w:footnoteReference w:id="8"/>
      </w:r>
      <w:r w:rsidRPr="00C70B0E">
        <w:rPr>
          <w:rFonts w:ascii="Times New Roman" w:hAnsi="Times New Roman"/>
          <w:bCs/>
          <w:szCs w:val="24"/>
        </w:rPr>
        <w:t xml:space="preserve"> Such a policy requires a</w:t>
      </w:r>
      <w:r w:rsidRPr="00C70B0E">
        <w:rPr>
          <w:rFonts w:ascii="Times New Roman" w:hAnsi="Times New Roman"/>
          <w:bCs/>
          <w:szCs w:val="24"/>
        </w:rPr>
        <w:t>n assessment of its impact on</w:t>
      </w:r>
      <w:r w:rsidRPr="00C70B0E">
        <w:rPr>
          <w:rFonts w:ascii="Times New Roman" w:hAnsi="Times New Roman"/>
          <w:bCs/>
          <w:szCs w:val="24"/>
        </w:rPr>
        <w:t xml:space="preserve"> human rights.</w:t>
      </w:r>
    </w:p>
    <w:p w:rsidR="0087577D" w:rsidRPr="00C70B0E" w:rsidP="0087577D">
      <w:pPr>
        <w:pStyle w:val="Heading1"/>
        <w:numPr>
          <w:ilvl w:val="0"/>
          <w:numId w:val="0"/>
        </w:numPr>
        <w:rPr>
          <w:rFonts w:ascii="Times New Roman" w:hAnsi="Times New Roman"/>
          <w:bCs/>
          <w:szCs w:val="24"/>
        </w:rPr>
      </w:pPr>
    </w:p>
    <w:p w:rsidR="00D44DB1" w:rsidRPr="00C70B0E" w:rsidP="0087577D">
      <w:pPr>
        <w:pStyle w:val="Heading1"/>
        <w:rPr>
          <w:rFonts w:ascii="Times New Roman" w:hAnsi="Times New Roman"/>
          <w:szCs w:val="24"/>
        </w:rPr>
      </w:pPr>
      <w:r w:rsidRPr="00C70B0E">
        <w:rPr>
          <w:rFonts w:ascii="Times New Roman" w:hAnsi="Times New Roman"/>
          <w:szCs w:val="24"/>
        </w:rPr>
        <w:t>Relevant law</w:t>
      </w:r>
    </w:p>
    <w:p w:rsidR="0017761C" w:rsidRPr="00C70B0E" w:rsidP="00753D37">
      <w:pPr>
        <w:pStyle w:val="Body"/>
        <w:rPr>
          <w:rFonts w:ascii="Times New Roman" w:hAnsi="Times New Roman"/>
        </w:rPr>
      </w:pPr>
      <w:r w:rsidRPr="00C70B0E">
        <w:rPr>
          <w:rFonts w:ascii="Times New Roman" w:hAnsi="Times New Roman"/>
        </w:rPr>
        <w:t xml:space="preserve">This section sets out the law relevant to both our parity arguments: the public health law that </w:t>
      </w:r>
      <w:r w:rsidRPr="00C70B0E">
        <w:rPr>
          <w:rFonts w:ascii="Times New Roman" w:hAnsi="Times New Roman"/>
        </w:rPr>
        <w:t>governs the control of disease; and mental</w:t>
      </w:r>
      <w:r w:rsidRPr="00C70B0E">
        <w:rPr>
          <w:rFonts w:ascii="Times New Roman" w:hAnsi="Times New Roman"/>
        </w:rPr>
        <w:t xml:space="preserve"> health law that governs the detention and treatment of individuals</w:t>
      </w:r>
      <w:r w:rsidRPr="00C70B0E">
        <w:rPr>
          <w:rFonts w:ascii="Times New Roman" w:hAnsi="Times New Roman"/>
        </w:rPr>
        <w:t xml:space="preserve"> with </w:t>
      </w:r>
      <w:r w:rsidRPr="00C70B0E">
        <w:rPr>
          <w:rFonts w:ascii="Times New Roman" w:hAnsi="Times New Roman"/>
        </w:rPr>
        <w:t xml:space="preserve">a </w:t>
      </w:r>
      <w:r w:rsidRPr="00C70B0E">
        <w:rPr>
          <w:rFonts w:ascii="Times New Roman" w:hAnsi="Times New Roman"/>
        </w:rPr>
        <w:t>mental disorder</w:t>
      </w:r>
      <w:r w:rsidRPr="00C70B0E">
        <w:rPr>
          <w:rFonts w:ascii="Times New Roman" w:hAnsi="Times New Roman"/>
        </w:rPr>
        <w:t>.</w:t>
      </w:r>
    </w:p>
    <w:p w:rsidR="00D51577" w:rsidRPr="00C70B0E" w:rsidP="00D51577">
      <w:pPr>
        <w:pStyle w:val="Heading2"/>
        <w:rPr>
          <w:rFonts w:ascii="Times New Roman" w:hAnsi="Times New Roman"/>
        </w:rPr>
      </w:pPr>
      <w:r w:rsidRPr="00C70B0E">
        <w:rPr>
          <w:rFonts w:ascii="Times New Roman" w:hAnsi="Times New Roman"/>
        </w:rPr>
        <w:t>Public Health Law</w:t>
      </w:r>
    </w:p>
    <w:p w:rsidR="00FF18BA" w:rsidRPr="00C70B0E" w:rsidP="00D51577">
      <w:pPr>
        <w:pStyle w:val="Body"/>
        <w:rPr>
          <w:rFonts w:ascii="Times New Roman" w:hAnsi="Times New Roman"/>
        </w:rPr>
      </w:pPr>
      <w:r w:rsidRPr="00C70B0E">
        <w:rPr>
          <w:rFonts w:ascii="Times New Roman" w:hAnsi="Times New Roman"/>
        </w:rPr>
        <w:t xml:space="preserve">Here we outline </w:t>
      </w:r>
      <w:r w:rsidRPr="00C70B0E">
        <w:rPr>
          <w:rFonts w:ascii="Times New Roman" w:hAnsi="Times New Roman"/>
        </w:rPr>
        <w:t>current law on disease control</w:t>
      </w:r>
      <w:r w:rsidRPr="00C70B0E">
        <w:rPr>
          <w:rFonts w:ascii="Times New Roman" w:hAnsi="Times New Roman"/>
        </w:rPr>
        <w:t>.</w:t>
      </w:r>
      <w:r w:rsidRPr="00C70B0E">
        <w:rPr>
          <w:rFonts w:ascii="Times New Roman" w:hAnsi="Times New Roman"/>
        </w:rPr>
        <w:t xml:space="preserve"> </w:t>
      </w:r>
      <w:r w:rsidRPr="00C70B0E">
        <w:rPr>
          <w:rFonts w:ascii="Times New Roman" w:hAnsi="Times New Roman"/>
        </w:rPr>
        <w:t>We explain</w:t>
      </w:r>
      <w:r w:rsidRPr="00C70B0E">
        <w:rPr>
          <w:rFonts w:ascii="Times New Roman" w:hAnsi="Times New Roman"/>
        </w:rPr>
        <w:t xml:space="preserve"> the absence of legal power to mandate vaccina</w:t>
      </w:r>
      <w:r w:rsidRPr="00C70B0E">
        <w:rPr>
          <w:rFonts w:ascii="Times New Roman" w:hAnsi="Times New Roman"/>
        </w:rPr>
        <w:t>tion</w:t>
      </w:r>
      <w:r w:rsidRPr="00C70B0E">
        <w:rPr>
          <w:rFonts w:ascii="Times New Roman" w:hAnsi="Times New Roman"/>
        </w:rPr>
        <w:t xml:space="preserve"> and the legal basis for restrictions relevant to the </w:t>
      </w:r>
      <w:r w:rsidRPr="00C70B0E">
        <w:rPr>
          <w:rFonts w:ascii="Times New Roman" w:hAnsi="Times New Roman"/>
          <w:i/>
          <w:iCs/>
        </w:rPr>
        <w:t>lockdown parity argument</w:t>
      </w:r>
      <w:r w:rsidRPr="00C70B0E">
        <w:rPr>
          <w:rFonts w:ascii="Times New Roman" w:hAnsi="Times New Roman"/>
        </w:rPr>
        <w:t>.</w:t>
      </w:r>
    </w:p>
    <w:p w:rsidR="00676FD3" w:rsidRPr="00C70B0E" w:rsidP="00D44DB1">
      <w:pPr>
        <w:pStyle w:val="Body"/>
        <w:rPr>
          <w:rFonts w:ascii="Times New Roman" w:hAnsi="Times New Roman"/>
        </w:rPr>
      </w:pPr>
      <w:r w:rsidRPr="00C70B0E">
        <w:rPr>
          <w:rFonts w:ascii="Times New Roman" w:hAnsi="Times New Roman"/>
        </w:rPr>
        <w:t>Part</w:t>
      </w:r>
      <w:r w:rsidRPr="00C70B0E">
        <w:rPr>
          <w:rFonts w:ascii="Times New Roman" w:hAnsi="Times New Roman"/>
        </w:rPr>
        <w:t xml:space="preserve"> 2A of the Public Health (Control of Disease) Act 1984 (PHA 1984) and the Coronavirus Act 2020 provide the legal basis for </w:t>
      </w:r>
      <w:r w:rsidRPr="00C70B0E">
        <w:rPr>
          <w:rFonts w:ascii="Times New Roman" w:hAnsi="Times New Roman"/>
        </w:rPr>
        <w:t>Covid-19</w:t>
      </w:r>
      <w:r w:rsidRPr="00C70B0E">
        <w:rPr>
          <w:rFonts w:ascii="Times New Roman" w:hAnsi="Times New Roman"/>
        </w:rPr>
        <w:t xml:space="preserve"> pandemic control measures.</w:t>
      </w:r>
      <w:r w:rsidRPr="00C70B0E">
        <w:rPr>
          <w:rFonts w:ascii="Times New Roman" w:hAnsi="Times New Roman"/>
        </w:rPr>
        <w:t xml:space="preserve"> </w:t>
      </w:r>
    </w:p>
    <w:p w:rsidR="0017761C" w:rsidRPr="00C70B0E" w:rsidP="00D44DB1">
      <w:pPr>
        <w:pStyle w:val="Body"/>
        <w:rPr>
          <w:rFonts w:ascii="Times New Roman" w:hAnsi="Times New Roman"/>
        </w:rPr>
      </w:pPr>
      <w:r w:rsidRPr="00C70B0E">
        <w:rPr>
          <w:rFonts w:ascii="Times New Roman" w:hAnsi="Times New Roman"/>
        </w:rPr>
        <w:t>Sections</w:t>
      </w:r>
      <w:r w:rsidRPr="00C70B0E">
        <w:rPr>
          <w:rFonts w:ascii="Times New Roman" w:hAnsi="Times New Roman"/>
        </w:rPr>
        <w:t xml:space="preserve"> 45B and 45C of the PHA 1984 </w:t>
      </w:r>
      <w:r w:rsidRPr="00C70B0E">
        <w:rPr>
          <w:rFonts w:ascii="Times New Roman" w:hAnsi="Times New Roman"/>
        </w:rPr>
        <w:t xml:space="preserve">grant </w:t>
      </w:r>
      <w:r w:rsidRPr="00C70B0E">
        <w:rPr>
          <w:rFonts w:ascii="Times New Roman" w:hAnsi="Times New Roman"/>
        </w:rPr>
        <w:t xml:space="preserve">Ministers the power to make regulations for the purposes of </w:t>
      </w:r>
      <w:r w:rsidRPr="00C70B0E">
        <w:rPr>
          <w:rFonts w:ascii="Times New Roman" w:hAnsi="Times New Roman"/>
        </w:rPr>
        <w:t>‘</w:t>
      </w:r>
      <w:r w:rsidRPr="00C70B0E">
        <w:rPr>
          <w:rFonts w:ascii="Times New Roman" w:hAnsi="Times New Roman"/>
        </w:rPr>
        <w:t xml:space="preserve">preventing, protecting against, controlling or providing a public health response to the incidence or spread of infection or contamination in England and </w:t>
      </w:r>
      <w:r w:rsidRPr="00C70B0E">
        <w:rPr>
          <w:rFonts w:ascii="Times New Roman" w:hAnsi="Times New Roman"/>
        </w:rPr>
        <w:t>Wales</w:t>
      </w:r>
      <w:r w:rsidRPr="00C70B0E">
        <w:rPr>
          <w:rFonts w:ascii="Times New Roman" w:hAnsi="Times New Roman"/>
        </w:rPr>
        <w:t xml:space="preserve">’. The Coronavirus Act 2020, schedules 18 and 19 give similar powers to the </w:t>
      </w:r>
      <w:r w:rsidRPr="00C70B0E">
        <w:rPr>
          <w:rFonts w:ascii="Times New Roman" w:hAnsi="Times New Roman"/>
        </w:rPr>
        <w:t xml:space="preserve">Northern Ireland </w:t>
      </w:r>
      <w:r w:rsidRPr="00C70B0E">
        <w:rPr>
          <w:rFonts w:ascii="Times New Roman" w:hAnsi="Times New Roman"/>
        </w:rPr>
        <w:t>Department of Health and to the Scottish Ministers respectively.</w:t>
      </w:r>
      <w:r>
        <w:rPr>
          <w:rStyle w:val="FootnoteReference"/>
          <w:rFonts w:ascii="Times New Roman" w:hAnsi="Times New Roman"/>
        </w:rPr>
        <w:footnoteReference w:id="9"/>
      </w:r>
    </w:p>
    <w:p w:rsidR="00D44DB1" w:rsidRPr="00C70B0E" w:rsidP="00D44DB1">
      <w:pPr>
        <w:pStyle w:val="Body"/>
        <w:rPr>
          <w:rFonts w:ascii="Times New Roman" w:hAnsi="Times New Roman"/>
        </w:rPr>
      </w:pPr>
      <w:r w:rsidRPr="00C70B0E">
        <w:rPr>
          <w:rFonts w:ascii="Times New Roman" w:hAnsi="Times New Roman"/>
        </w:rPr>
        <w:t xml:space="preserve">The regulations laid down under these legal regimes have included extensive restrictions on </w:t>
      </w:r>
      <w:r w:rsidRPr="00C70B0E">
        <w:rPr>
          <w:rFonts w:ascii="Times New Roman" w:hAnsi="Times New Roman"/>
        </w:rPr>
        <w:t>‘</w:t>
      </w:r>
      <w:r w:rsidRPr="00C70B0E">
        <w:rPr>
          <w:rFonts w:ascii="Times New Roman" w:hAnsi="Times New Roman"/>
        </w:rPr>
        <w:t>persons, things</w:t>
      </w:r>
      <w:r w:rsidRPr="00C70B0E">
        <w:rPr>
          <w:rFonts w:ascii="Times New Roman" w:hAnsi="Times New Roman"/>
        </w:rPr>
        <w:t xml:space="preserve"> or</w:t>
      </w:r>
      <w:r w:rsidRPr="00C70B0E">
        <w:rPr>
          <w:rFonts w:ascii="Times New Roman" w:hAnsi="Times New Roman"/>
        </w:rPr>
        <w:t xml:space="preserve"> premises</w:t>
      </w:r>
      <w:r w:rsidRPr="00C70B0E">
        <w:rPr>
          <w:rFonts w:ascii="Times New Roman" w:hAnsi="Times New Roman"/>
        </w:rPr>
        <w:t>’</w:t>
      </w:r>
      <w:r>
        <w:rPr>
          <w:rStyle w:val="FootnoteReference"/>
          <w:rFonts w:ascii="Times New Roman" w:hAnsi="Times New Roman"/>
        </w:rPr>
        <w:footnoteReference w:id="10"/>
      </w:r>
      <w:r w:rsidRPr="00C70B0E">
        <w:rPr>
          <w:rFonts w:ascii="Times New Roman" w:hAnsi="Times New Roman"/>
        </w:rPr>
        <w:t>—commonly described as ‘lockdown’.</w:t>
      </w:r>
      <w:r>
        <w:rPr>
          <w:rStyle w:val="FootnoteReference"/>
          <w:rFonts w:ascii="Times New Roman" w:hAnsi="Times New Roman"/>
        </w:rPr>
        <w:footnoteReference w:id="11"/>
      </w:r>
      <w:r w:rsidRPr="00C70B0E">
        <w:rPr>
          <w:rFonts w:ascii="Times New Roman" w:hAnsi="Times New Roman"/>
        </w:rPr>
        <w:t xml:space="preserve"> For example, restrictions on leaving the home without ‘reasonable excuse’,</w:t>
      </w:r>
      <w:r>
        <w:rPr>
          <w:rStyle w:val="FootnoteReference"/>
          <w:rFonts w:ascii="Times New Roman" w:hAnsi="Times New Roman"/>
        </w:rPr>
        <w:footnoteReference w:id="12"/>
      </w:r>
      <w:r w:rsidRPr="00C70B0E">
        <w:rPr>
          <w:rFonts w:ascii="Times New Roman" w:hAnsi="Times New Roman"/>
        </w:rPr>
        <w:t xml:space="preserve"> restrictions on gatherings,</w:t>
      </w:r>
      <w:r>
        <w:rPr>
          <w:rStyle w:val="FootnoteReference"/>
          <w:rFonts w:ascii="Times New Roman" w:hAnsi="Times New Roman"/>
        </w:rPr>
        <w:footnoteReference w:id="13"/>
      </w:r>
      <w:r w:rsidRPr="00C70B0E">
        <w:rPr>
          <w:rFonts w:ascii="Times New Roman" w:hAnsi="Times New Roman"/>
        </w:rPr>
        <w:t xml:space="preserve"> and restrictions </w:t>
      </w:r>
      <w:r w:rsidRPr="00C70B0E">
        <w:rPr>
          <w:rFonts w:ascii="Times New Roman" w:hAnsi="Times New Roman"/>
        </w:rPr>
        <w:t xml:space="preserve">or closures of </w:t>
      </w:r>
      <w:r w:rsidRPr="00C70B0E">
        <w:rPr>
          <w:rFonts w:ascii="Times New Roman" w:hAnsi="Times New Roman"/>
        </w:rPr>
        <w:t>business</w:t>
      </w:r>
      <w:r w:rsidRPr="00C70B0E">
        <w:rPr>
          <w:rFonts w:ascii="Times New Roman" w:hAnsi="Times New Roman"/>
        </w:rPr>
        <w:t>es</w:t>
      </w:r>
      <w:r w:rsidRPr="00C70B0E">
        <w:rPr>
          <w:rFonts w:ascii="Times New Roman" w:hAnsi="Times New Roman"/>
        </w:rPr>
        <w:t>.</w:t>
      </w:r>
      <w:r>
        <w:rPr>
          <w:rStyle w:val="FootnoteReference"/>
          <w:rFonts w:ascii="Times New Roman" w:hAnsi="Times New Roman"/>
        </w:rPr>
        <w:footnoteReference w:id="14"/>
      </w:r>
    </w:p>
    <w:p w:rsidR="00C16C3E" w:rsidRPr="00C70B0E" w:rsidP="00D44DB1">
      <w:pPr>
        <w:pStyle w:val="Body"/>
        <w:rPr>
          <w:rFonts w:ascii="Times New Roman" w:hAnsi="Times New Roman"/>
        </w:rPr>
      </w:pPr>
      <w:r w:rsidRPr="00C70B0E">
        <w:rPr>
          <w:rFonts w:ascii="Times New Roman" w:hAnsi="Times New Roman"/>
        </w:rPr>
        <w:t>In addition, Schedule 21 of the Coronavi</w:t>
      </w:r>
      <w:r w:rsidRPr="00C70B0E">
        <w:rPr>
          <w:rFonts w:ascii="Times New Roman" w:hAnsi="Times New Roman"/>
        </w:rPr>
        <w:t xml:space="preserve">rus Act 2020, grants extensive powers </w:t>
      </w:r>
      <w:r w:rsidRPr="00C70B0E">
        <w:rPr>
          <w:rFonts w:ascii="Times New Roman" w:hAnsi="Times New Roman"/>
        </w:rPr>
        <w:t xml:space="preserve">across the four UK jurisdictions to screen and assess individuals who </w:t>
      </w:r>
      <w:r w:rsidRPr="00C70B0E">
        <w:rPr>
          <w:rFonts w:ascii="Times New Roman" w:hAnsi="Times New Roman"/>
        </w:rPr>
        <w:t>hav</w:t>
      </w:r>
      <w:r w:rsidRPr="00C70B0E">
        <w:rPr>
          <w:rFonts w:ascii="Times New Roman" w:hAnsi="Times New Roman"/>
        </w:rPr>
        <w:t xml:space="preserve">e potentially </w:t>
      </w:r>
      <w:r w:rsidRPr="00C70B0E">
        <w:rPr>
          <w:rFonts w:ascii="Times New Roman" w:hAnsi="Times New Roman"/>
        </w:rPr>
        <w:t xml:space="preserve">been </w:t>
      </w:r>
      <w:r w:rsidRPr="00C70B0E">
        <w:rPr>
          <w:rFonts w:ascii="Times New Roman" w:hAnsi="Times New Roman"/>
        </w:rPr>
        <w:t>infected with coronavirus</w:t>
      </w:r>
      <w:r w:rsidRPr="00C70B0E">
        <w:rPr>
          <w:rFonts w:ascii="Times New Roman" w:hAnsi="Times New Roman"/>
        </w:rPr>
        <w:t xml:space="preserve"> outside the UK</w:t>
      </w:r>
      <w:r w:rsidRPr="00C70B0E">
        <w:rPr>
          <w:rFonts w:ascii="Times New Roman" w:hAnsi="Times New Roman"/>
        </w:rPr>
        <w:t>.</w:t>
      </w:r>
    </w:p>
    <w:p w:rsidR="00E8288B" w:rsidRPr="00C70B0E" w:rsidP="00D44DB1">
      <w:pPr>
        <w:pStyle w:val="Body"/>
        <w:rPr>
          <w:rFonts w:ascii="Times New Roman" w:hAnsi="Times New Roman"/>
          <w:b/>
          <w:bCs/>
        </w:rPr>
      </w:pPr>
      <w:r w:rsidRPr="00C70B0E">
        <w:rPr>
          <w:rFonts w:ascii="Times New Roman" w:hAnsi="Times New Roman"/>
          <w:b/>
          <w:bCs/>
        </w:rPr>
        <w:t xml:space="preserve">Neither the Coronavirus Act 2020, nor the PHA 1984 grant the executive the power to </w:t>
      </w:r>
      <w:r w:rsidRPr="00C70B0E">
        <w:rPr>
          <w:rFonts w:ascii="Times New Roman" w:hAnsi="Times New Roman"/>
          <w:b/>
          <w:bCs/>
        </w:rPr>
        <w:t>mandate vaccination. Indeed, section 45E of the PHA 1984 and schedules 18 and 19 of the Coronavirus Act 2020 rule out provisions requiring medical treatment, including ‘vaccination or other prophylactic treatment’.</w:t>
      </w:r>
      <w:r>
        <w:rPr>
          <w:rStyle w:val="FootnoteReference"/>
          <w:rFonts w:ascii="Times New Roman" w:hAnsi="Times New Roman"/>
          <w:b/>
          <w:bCs/>
        </w:rPr>
        <w:footnoteReference w:id="15"/>
      </w:r>
    </w:p>
    <w:p w:rsidR="00D51577" w:rsidRPr="00C70B0E" w:rsidP="00D44DB1">
      <w:pPr>
        <w:pStyle w:val="Body"/>
        <w:rPr>
          <w:rFonts w:ascii="Times New Roman" w:hAnsi="Times New Roman"/>
          <w:b/>
          <w:bCs/>
        </w:rPr>
      </w:pPr>
      <w:r w:rsidRPr="00C70B0E">
        <w:rPr>
          <w:rFonts w:ascii="Times New Roman" w:hAnsi="Times New Roman"/>
          <w:b/>
          <w:bCs/>
        </w:rPr>
        <w:t>A policy of compulsory vaccination would</w:t>
      </w:r>
      <w:r w:rsidRPr="00C70B0E">
        <w:rPr>
          <w:rFonts w:ascii="Times New Roman" w:hAnsi="Times New Roman"/>
          <w:b/>
          <w:bCs/>
        </w:rPr>
        <w:t xml:space="preserve"> </w:t>
      </w:r>
      <w:r w:rsidRPr="00C70B0E">
        <w:rPr>
          <w:rFonts w:ascii="Times New Roman" w:hAnsi="Times New Roman"/>
          <w:b/>
          <w:bCs/>
        </w:rPr>
        <w:t xml:space="preserve">thus </w:t>
      </w:r>
      <w:r w:rsidRPr="00C70B0E">
        <w:rPr>
          <w:rFonts w:ascii="Times New Roman" w:hAnsi="Times New Roman"/>
          <w:b/>
          <w:bCs/>
        </w:rPr>
        <w:t xml:space="preserve">require </w:t>
      </w:r>
      <w:r w:rsidRPr="00C70B0E">
        <w:rPr>
          <w:rFonts w:ascii="Times New Roman" w:hAnsi="Times New Roman"/>
          <w:b/>
          <w:bCs/>
        </w:rPr>
        <w:t>primary legislation</w:t>
      </w:r>
      <w:r w:rsidRPr="00C70B0E">
        <w:rPr>
          <w:rFonts w:ascii="Times New Roman" w:hAnsi="Times New Roman"/>
          <w:b/>
          <w:bCs/>
        </w:rPr>
        <w:t>.</w:t>
      </w:r>
    </w:p>
    <w:p w:rsidR="00D51577" w:rsidRPr="00C70B0E" w:rsidP="00D51577">
      <w:pPr>
        <w:pStyle w:val="Heading2"/>
        <w:rPr>
          <w:rFonts w:ascii="Times New Roman" w:hAnsi="Times New Roman"/>
        </w:rPr>
      </w:pPr>
      <w:r w:rsidRPr="00C70B0E">
        <w:rPr>
          <w:rFonts w:ascii="Times New Roman" w:hAnsi="Times New Roman"/>
        </w:rPr>
        <w:t>Mental Health Law</w:t>
      </w:r>
    </w:p>
    <w:p w:rsidR="00D51577" w:rsidRPr="00C70B0E" w:rsidP="00D51577">
      <w:pPr>
        <w:pStyle w:val="Body"/>
        <w:rPr>
          <w:rFonts w:ascii="Times New Roman" w:hAnsi="Times New Roman"/>
        </w:rPr>
      </w:pPr>
      <w:r w:rsidRPr="00C70B0E">
        <w:rPr>
          <w:rFonts w:ascii="Times New Roman" w:hAnsi="Times New Roman"/>
        </w:rPr>
        <w:t>We set out some provisions of the Mental Health Act 1983</w:t>
      </w:r>
      <w:r w:rsidRPr="00C70B0E">
        <w:rPr>
          <w:rFonts w:ascii="Times New Roman" w:hAnsi="Times New Roman"/>
        </w:rPr>
        <w:t xml:space="preserve"> relevant to the grounds on which a person may be detained</w:t>
      </w:r>
      <w:r w:rsidRPr="00C70B0E">
        <w:rPr>
          <w:rFonts w:ascii="Times New Roman" w:hAnsi="Times New Roman"/>
        </w:rPr>
        <w:t>—‘</w:t>
      </w:r>
      <w:r w:rsidRPr="00C70B0E">
        <w:rPr>
          <w:rFonts w:ascii="Times New Roman" w:hAnsi="Times New Roman"/>
        </w:rPr>
        <w:t xml:space="preserve">sectioned’—under the Act, and the legal basis for treatment </w:t>
      </w:r>
      <w:r w:rsidRPr="00C70B0E">
        <w:rPr>
          <w:rFonts w:ascii="Times New Roman" w:hAnsi="Times New Roman"/>
        </w:rPr>
        <w:t xml:space="preserve">of </w:t>
      </w:r>
      <w:r w:rsidRPr="00C70B0E">
        <w:rPr>
          <w:rFonts w:ascii="Times New Roman" w:hAnsi="Times New Roman"/>
        </w:rPr>
        <w:t>detained persons without</w:t>
      </w:r>
      <w:r w:rsidRPr="00C70B0E">
        <w:rPr>
          <w:rFonts w:ascii="Times New Roman" w:hAnsi="Times New Roman"/>
        </w:rPr>
        <w:t xml:space="preserve"> consent. These are</w:t>
      </w:r>
      <w:r w:rsidRPr="00C70B0E">
        <w:rPr>
          <w:rFonts w:ascii="Times New Roman" w:hAnsi="Times New Roman"/>
        </w:rPr>
        <w:t xml:space="preserve"> presented</w:t>
      </w:r>
      <w:r w:rsidRPr="00C70B0E">
        <w:rPr>
          <w:rFonts w:ascii="Times New Roman" w:hAnsi="Times New Roman"/>
        </w:rPr>
        <w:t xml:space="preserve"> </w:t>
      </w:r>
      <w:r w:rsidRPr="00C70B0E">
        <w:rPr>
          <w:rFonts w:ascii="Times New Roman" w:hAnsi="Times New Roman"/>
        </w:rPr>
        <w:t xml:space="preserve">for the purposes of </w:t>
      </w:r>
      <w:r w:rsidRPr="00C70B0E">
        <w:rPr>
          <w:rFonts w:ascii="Times New Roman" w:hAnsi="Times New Roman"/>
        </w:rPr>
        <w:t xml:space="preserve">establishing </w:t>
      </w:r>
      <w:r w:rsidRPr="00C70B0E">
        <w:rPr>
          <w:rFonts w:ascii="Times New Roman" w:hAnsi="Times New Roman"/>
        </w:rPr>
        <w:t xml:space="preserve">the </w:t>
      </w:r>
      <w:r w:rsidRPr="00C70B0E">
        <w:rPr>
          <w:rFonts w:ascii="Times New Roman" w:hAnsi="Times New Roman"/>
          <w:i/>
          <w:iCs/>
        </w:rPr>
        <w:t>mental health parity argument</w:t>
      </w:r>
      <w:r w:rsidRPr="00C70B0E">
        <w:rPr>
          <w:rFonts w:ascii="Times New Roman" w:hAnsi="Times New Roman"/>
        </w:rPr>
        <w:t xml:space="preserve"> </w:t>
      </w:r>
      <w:r w:rsidRPr="00C70B0E">
        <w:rPr>
          <w:rFonts w:ascii="Times New Roman" w:hAnsi="Times New Roman"/>
        </w:rPr>
        <w:t>below.</w:t>
      </w:r>
      <w:r w:rsidRPr="00C70B0E">
        <w:rPr>
          <w:rFonts w:ascii="Times New Roman" w:hAnsi="Times New Roman"/>
        </w:rPr>
        <w:t xml:space="preserve"> This is an illustrative, rather than exhaustive, exposition of the law.</w:t>
      </w:r>
    </w:p>
    <w:p w:rsidR="00444C30" w:rsidRPr="00C70B0E" w:rsidP="00D51577">
      <w:pPr>
        <w:pStyle w:val="Body"/>
        <w:rPr>
          <w:rFonts w:ascii="Times New Roman" w:hAnsi="Times New Roman"/>
        </w:rPr>
      </w:pPr>
      <w:r w:rsidRPr="00C70B0E">
        <w:rPr>
          <w:rFonts w:ascii="Times New Roman" w:hAnsi="Times New Roman"/>
        </w:rPr>
        <w:t xml:space="preserve">Section 3 of the Mental Health Act permits the detention of an </w:t>
      </w:r>
      <w:r w:rsidRPr="00C70B0E">
        <w:rPr>
          <w:rFonts w:ascii="Times New Roman" w:hAnsi="Times New Roman"/>
        </w:rPr>
        <w:t>individual in hospital for treatment provided:</w:t>
      </w:r>
    </w:p>
    <w:p w:rsidR="00444C30" w:rsidRPr="00C70B0E" w:rsidP="00444C30">
      <w:pPr>
        <w:pStyle w:val="Quote"/>
        <w:rPr>
          <w:rFonts w:ascii="Times New Roman" w:hAnsi="Times New Roman"/>
        </w:rPr>
      </w:pPr>
      <w:r w:rsidRPr="00C70B0E">
        <w:rPr>
          <w:rFonts w:ascii="Times New Roman" w:hAnsi="Times New Roman"/>
        </w:rPr>
        <w:t>(a) he is suffering from mental disorder of a nature or degree which makes it appropriate for him to receive medical treatment in a hospital; and</w:t>
      </w:r>
    </w:p>
    <w:p w:rsidR="00444C30" w:rsidRPr="00C70B0E" w:rsidP="00444C30">
      <w:pPr>
        <w:pStyle w:val="Quote"/>
        <w:rPr>
          <w:rFonts w:ascii="Times New Roman" w:hAnsi="Times New Roman"/>
        </w:rPr>
      </w:pPr>
      <w:r w:rsidRPr="00C70B0E">
        <w:rPr>
          <w:rFonts w:ascii="Times New Roman" w:hAnsi="Times New Roman"/>
        </w:rPr>
        <w:t xml:space="preserve">(c) it is necessary for the health or safety of the patient </w:t>
      </w:r>
      <w:r w:rsidRPr="00C70B0E">
        <w:rPr>
          <w:rFonts w:ascii="Times New Roman" w:hAnsi="Times New Roman"/>
          <w:b/>
          <w:bCs/>
        </w:rPr>
        <w:t xml:space="preserve">or </w:t>
      </w:r>
      <w:r w:rsidRPr="00C70B0E">
        <w:rPr>
          <w:rFonts w:ascii="Times New Roman" w:hAnsi="Times New Roman"/>
          <w:b/>
          <w:bCs/>
        </w:rPr>
        <w:t>for the protection of other persons</w:t>
      </w:r>
      <w:r w:rsidRPr="00C70B0E">
        <w:rPr>
          <w:rFonts w:ascii="Times New Roman" w:hAnsi="Times New Roman"/>
        </w:rPr>
        <w:t xml:space="preserve"> that he should receive such treatment and it cannot be provided unless he is detained under this section</w:t>
      </w:r>
      <w:r>
        <w:rPr>
          <w:rStyle w:val="FootnoteReference"/>
          <w:rFonts w:ascii="Times New Roman" w:hAnsi="Times New Roman"/>
        </w:rPr>
        <w:footnoteReference w:id="16"/>
      </w:r>
    </w:p>
    <w:p w:rsidR="00444C30" w:rsidRPr="00C70B0E" w:rsidP="00444C30">
      <w:pPr>
        <w:pStyle w:val="Quote"/>
        <w:rPr>
          <w:rFonts w:ascii="Times New Roman" w:hAnsi="Times New Roman"/>
        </w:rPr>
      </w:pPr>
      <w:r w:rsidRPr="00C70B0E">
        <w:rPr>
          <w:rFonts w:ascii="Times New Roman" w:hAnsi="Times New Roman"/>
        </w:rPr>
        <w:t>(d) appropriate medical treatment is available for him.</w:t>
      </w:r>
    </w:p>
    <w:p w:rsidR="0084570C" w:rsidRPr="00C70B0E" w:rsidP="00D51577">
      <w:pPr>
        <w:pStyle w:val="Body"/>
        <w:rPr>
          <w:rFonts w:ascii="Times New Roman" w:hAnsi="Times New Roman"/>
        </w:rPr>
      </w:pPr>
      <w:r w:rsidRPr="00C70B0E">
        <w:rPr>
          <w:rFonts w:ascii="Times New Roman" w:hAnsi="Times New Roman"/>
        </w:rPr>
        <w:t>Part IV of the Mental Health Act 1983 governs consent to t</w:t>
      </w:r>
      <w:r w:rsidRPr="00C70B0E">
        <w:rPr>
          <w:rFonts w:ascii="Times New Roman" w:hAnsi="Times New Roman"/>
        </w:rPr>
        <w:t xml:space="preserve">reatment for </w:t>
      </w:r>
      <w:r w:rsidRPr="00C70B0E">
        <w:rPr>
          <w:rFonts w:ascii="Times New Roman" w:hAnsi="Times New Roman"/>
        </w:rPr>
        <w:t>patients detained under section 3 of the Act. Section 63 of the Mental Health Act 1983 provides</w:t>
      </w:r>
      <w:r w:rsidRPr="00C70B0E">
        <w:rPr>
          <w:rFonts w:ascii="Times New Roman" w:hAnsi="Times New Roman"/>
        </w:rPr>
        <w:t xml:space="preserve"> that the consent of any patient, including those who possess decision-making capacity under the Mental Capacity Act 2005</w:t>
      </w:r>
      <w:r w:rsidRPr="00C70B0E">
        <w:rPr>
          <w:rFonts w:ascii="Times New Roman" w:hAnsi="Times New Roman"/>
        </w:rPr>
        <w:t>,</w:t>
      </w:r>
      <w:r w:rsidRPr="00C70B0E">
        <w:rPr>
          <w:rFonts w:ascii="Times New Roman" w:hAnsi="Times New Roman"/>
        </w:rPr>
        <w:t xml:space="preserve"> ‘</w:t>
      </w:r>
      <w:r w:rsidRPr="00C70B0E">
        <w:rPr>
          <w:rFonts w:ascii="Times New Roman" w:hAnsi="Times New Roman"/>
        </w:rPr>
        <w:t>shall not be required fo</w:t>
      </w:r>
      <w:r w:rsidRPr="00C70B0E">
        <w:rPr>
          <w:rFonts w:ascii="Times New Roman" w:hAnsi="Times New Roman"/>
        </w:rPr>
        <w:t>r any medical treatment given to him for the mental disorder from which he is suffering</w:t>
      </w:r>
      <w:r w:rsidRPr="00C70B0E">
        <w:rPr>
          <w:rFonts w:ascii="Times New Roman" w:hAnsi="Times New Roman"/>
        </w:rPr>
        <w:t>…</w:t>
      </w:r>
      <w:r w:rsidRPr="00C70B0E">
        <w:rPr>
          <w:rFonts w:ascii="Times New Roman" w:hAnsi="Times New Roman"/>
        </w:rPr>
        <w:t>’.</w:t>
      </w:r>
      <w:r w:rsidRPr="00C70B0E">
        <w:rPr>
          <w:rFonts w:ascii="Times New Roman" w:hAnsi="Times New Roman"/>
        </w:rPr>
        <w:t xml:space="preserve"> Section 63 of the Act </w:t>
      </w:r>
      <w:r w:rsidRPr="00C70B0E">
        <w:rPr>
          <w:rFonts w:ascii="Times New Roman" w:hAnsi="Times New Roman"/>
        </w:rPr>
        <w:t>is subject to specific and limited exceptions in respect of certain kinds of treatment.</w:t>
      </w:r>
      <w:r>
        <w:rPr>
          <w:rStyle w:val="FootnoteReference"/>
          <w:rFonts w:ascii="Times New Roman" w:hAnsi="Times New Roman"/>
        </w:rPr>
        <w:footnoteReference w:id="17"/>
      </w:r>
    </w:p>
    <w:p w:rsidR="00446884" w:rsidRPr="00C70B0E" w:rsidP="00D51577">
      <w:pPr>
        <w:pStyle w:val="Body"/>
        <w:rPr>
          <w:rFonts w:ascii="Times New Roman" w:hAnsi="Times New Roman"/>
        </w:rPr>
      </w:pPr>
      <w:r w:rsidRPr="00C70B0E">
        <w:rPr>
          <w:rFonts w:ascii="Times New Roman" w:hAnsi="Times New Roman"/>
        </w:rPr>
        <w:t>The legal regime for treatment without consent under t</w:t>
      </w:r>
      <w:r w:rsidRPr="00C70B0E">
        <w:rPr>
          <w:rFonts w:ascii="Times New Roman" w:hAnsi="Times New Roman"/>
        </w:rPr>
        <w:t xml:space="preserve">he Mental Health Act 1983 derogates from the common law requirement that individuals </w:t>
      </w:r>
      <w:r w:rsidRPr="00C70B0E">
        <w:rPr>
          <w:rFonts w:ascii="Times New Roman" w:hAnsi="Times New Roman"/>
        </w:rPr>
        <w:t>(</w:t>
      </w:r>
      <w:r w:rsidRPr="00C70B0E">
        <w:rPr>
          <w:rFonts w:ascii="Times New Roman" w:hAnsi="Times New Roman"/>
        </w:rPr>
        <w:t>who are so able</w:t>
      </w:r>
      <w:r w:rsidRPr="00C70B0E">
        <w:rPr>
          <w:rFonts w:ascii="Times New Roman" w:hAnsi="Times New Roman"/>
        </w:rPr>
        <w:t>)</w:t>
      </w:r>
      <w:r w:rsidRPr="00C70B0E">
        <w:rPr>
          <w:rFonts w:ascii="Times New Roman" w:hAnsi="Times New Roman"/>
        </w:rPr>
        <w:t xml:space="preserve"> must give consent </w:t>
      </w:r>
      <w:r w:rsidRPr="00C70B0E">
        <w:rPr>
          <w:rFonts w:ascii="Times New Roman" w:hAnsi="Times New Roman"/>
        </w:rPr>
        <w:t>in order for</w:t>
      </w:r>
      <w:r w:rsidRPr="00C70B0E">
        <w:rPr>
          <w:rFonts w:ascii="Times New Roman" w:hAnsi="Times New Roman"/>
        </w:rPr>
        <w:t xml:space="preserve"> medical treatment to be lawful.</w:t>
      </w:r>
      <w:r>
        <w:rPr>
          <w:rStyle w:val="FootnoteReference"/>
          <w:rFonts w:ascii="Times New Roman" w:hAnsi="Times New Roman"/>
        </w:rPr>
        <w:footnoteReference w:id="18"/>
      </w:r>
    </w:p>
    <w:p w:rsidR="00C32775" w:rsidRPr="00C70B0E" w:rsidP="00D51577">
      <w:pPr>
        <w:pStyle w:val="Body"/>
        <w:rPr>
          <w:rFonts w:ascii="Times New Roman" w:hAnsi="Times New Roman"/>
          <w:b/>
          <w:bCs/>
          <w:i/>
        </w:rPr>
      </w:pPr>
      <w:r w:rsidRPr="00C70B0E">
        <w:rPr>
          <w:rFonts w:ascii="Times New Roman" w:hAnsi="Times New Roman"/>
          <w:b/>
          <w:bCs/>
        </w:rPr>
        <w:t xml:space="preserve">Mental health law permits the detention of a person for treatment for the protection of </w:t>
      </w:r>
      <w:r w:rsidRPr="00C70B0E">
        <w:rPr>
          <w:rFonts w:ascii="Times New Roman" w:hAnsi="Times New Roman"/>
          <w:b/>
          <w:bCs/>
        </w:rPr>
        <w:t>o</w:t>
      </w:r>
      <w:r w:rsidRPr="00C70B0E">
        <w:rPr>
          <w:rFonts w:ascii="Times New Roman" w:hAnsi="Times New Roman"/>
          <w:b/>
          <w:bCs/>
        </w:rPr>
        <w:t>thers, and</w:t>
      </w:r>
      <w:r w:rsidRPr="00C70B0E">
        <w:rPr>
          <w:rFonts w:ascii="Times New Roman" w:hAnsi="Times New Roman"/>
          <w:b/>
          <w:bCs/>
        </w:rPr>
        <w:t xml:space="preserve"> permits </w:t>
      </w:r>
      <w:r w:rsidRPr="00C70B0E">
        <w:rPr>
          <w:rFonts w:ascii="Times New Roman" w:hAnsi="Times New Roman"/>
          <w:b/>
          <w:bCs/>
        </w:rPr>
        <w:t xml:space="preserve">compulsory </w:t>
      </w:r>
      <w:r w:rsidRPr="00C70B0E">
        <w:rPr>
          <w:rFonts w:ascii="Times New Roman" w:hAnsi="Times New Roman"/>
          <w:b/>
          <w:bCs/>
        </w:rPr>
        <w:t xml:space="preserve">medical </w:t>
      </w:r>
      <w:r w:rsidRPr="00C70B0E">
        <w:rPr>
          <w:rFonts w:ascii="Times New Roman" w:hAnsi="Times New Roman"/>
          <w:b/>
          <w:bCs/>
        </w:rPr>
        <w:t>treatment</w:t>
      </w:r>
      <w:r w:rsidRPr="00C70B0E">
        <w:rPr>
          <w:rFonts w:ascii="Times New Roman" w:hAnsi="Times New Roman"/>
          <w:b/>
          <w:bCs/>
        </w:rPr>
        <w:t xml:space="preserve"> </w:t>
      </w:r>
      <w:r w:rsidRPr="00C70B0E">
        <w:rPr>
          <w:rFonts w:ascii="Times New Roman" w:hAnsi="Times New Roman"/>
          <w:b/>
          <w:bCs/>
        </w:rPr>
        <w:t xml:space="preserve">of a </w:t>
      </w:r>
      <w:r w:rsidRPr="00C70B0E">
        <w:rPr>
          <w:rFonts w:ascii="Times New Roman" w:hAnsi="Times New Roman"/>
          <w:b/>
          <w:bCs/>
        </w:rPr>
        <w:t>person</w:t>
      </w:r>
      <w:r w:rsidRPr="00C70B0E">
        <w:rPr>
          <w:rFonts w:ascii="Times New Roman" w:hAnsi="Times New Roman"/>
          <w:b/>
          <w:bCs/>
        </w:rPr>
        <w:t xml:space="preserve"> so</w:t>
      </w:r>
      <w:r w:rsidRPr="00C70B0E">
        <w:rPr>
          <w:rFonts w:ascii="Times New Roman" w:hAnsi="Times New Roman"/>
          <w:b/>
          <w:bCs/>
        </w:rPr>
        <w:t xml:space="preserve"> </w:t>
      </w:r>
      <w:r w:rsidRPr="00C70B0E">
        <w:rPr>
          <w:rFonts w:ascii="Times New Roman" w:hAnsi="Times New Roman"/>
          <w:b/>
          <w:bCs/>
        </w:rPr>
        <w:t>detained</w:t>
      </w:r>
      <w:r w:rsidRPr="00C70B0E">
        <w:rPr>
          <w:rFonts w:ascii="Times New Roman" w:hAnsi="Times New Roman"/>
          <w:b/>
          <w:bCs/>
        </w:rPr>
        <w:t>.</w:t>
      </w:r>
    </w:p>
    <w:p w:rsidR="00567551" w:rsidRPr="00C70B0E" w:rsidP="00526DBA">
      <w:pPr>
        <w:pStyle w:val="Heading1"/>
        <w:rPr>
          <w:rFonts w:ascii="Times New Roman" w:hAnsi="Times New Roman"/>
          <w:szCs w:val="24"/>
        </w:rPr>
      </w:pPr>
      <w:r w:rsidRPr="00C70B0E">
        <w:rPr>
          <w:rFonts w:ascii="Times New Roman" w:hAnsi="Times New Roman"/>
          <w:szCs w:val="24"/>
        </w:rPr>
        <w:t>Compulsory vaccination and human rights law compliance</w:t>
      </w:r>
    </w:p>
    <w:p w:rsidR="00526DBA" w:rsidRPr="00C70B0E" w:rsidP="00526DBA">
      <w:pPr>
        <w:pStyle w:val="Body"/>
        <w:rPr>
          <w:rFonts w:ascii="Times New Roman" w:hAnsi="Times New Roman"/>
        </w:rPr>
      </w:pPr>
      <w:r w:rsidRPr="00C70B0E">
        <w:rPr>
          <w:rFonts w:ascii="Times New Roman" w:hAnsi="Times New Roman"/>
        </w:rPr>
        <w:t>We focus on the human rights enshrined in the European Convention on Human Rights</w:t>
      </w:r>
      <w:r w:rsidRPr="00C70B0E">
        <w:rPr>
          <w:rFonts w:ascii="Times New Roman" w:hAnsi="Times New Roman"/>
        </w:rPr>
        <w:t xml:space="preserve"> (ECHR)</w:t>
      </w:r>
      <w:r w:rsidRPr="00C70B0E">
        <w:rPr>
          <w:rFonts w:ascii="Times New Roman" w:hAnsi="Times New Roman"/>
        </w:rPr>
        <w:t xml:space="preserve">, since these rights are </w:t>
      </w:r>
      <w:r w:rsidRPr="00C70B0E">
        <w:rPr>
          <w:rFonts w:ascii="Times New Roman" w:hAnsi="Times New Roman"/>
        </w:rPr>
        <w:t>domestically enforceable in virtue of the Human Rights Act 1998</w:t>
      </w:r>
      <w:r w:rsidRPr="00C70B0E">
        <w:rPr>
          <w:rFonts w:ascii="Times New Roman" w:hAnsi="Times New Roman"/>
        </w:rPr>
        <w:t xml:space="preserve"> (HRA 1998)</w:t>
      </w:r>
      <w:r w:rsidRPr="00C70B0E">
        <w:rPr>
          <w:rFonts w:ascii="Times New Roman" w:hAnsi="Times New Roman"/>
        </w:rPr>
        <w:t>. The UK is</w:t>
      </w:r>
      <w:r w:rsidRPr="00C70B0E">
        <w:rPr>
          <w:rFonts w:ascii="Times New Roman" w:hAnsi="Times New Roman"/>
        </w:rPr>
        <w:t xml:space="preserve"> also</w:t>
      </w:r>
      <w:r w:rsidRPr="00C70B0E">
        <w:rPr>
          <w:rFonts w:ascii="Times New Roman" w:hAnsi="Times New Roman"/>
        </w:rPr>
        <w:t xml:space="preserve"> a party to other international human rights law instruments, which we do not treat here.</w:t>
      </w:r>
      <w:r>
        <w:rPr>
          <w:rStyle w:val="FootnoteReference"/>
          <w:rFonts w:ascii="Times New Roman" w:hAnsi="Times New Roman"/>
        </w:rPr>
        <w:footnoteReference w:id="19"/>
      </w:r>
    </w:p>
    <w:p w:rsidR="00526DBA" w:rsidRPr="00C70B0E" w:rsidP="00526DBA">
      <w:pPr>
        <w:pStyle w:val="Body"/>
        <w:rPr>
          <w:rFonts w:ascii="Times New Roman" w:hAnsi="Times New Roman"/>
        </w:rPr>
      </w:pPr>
      <w:r w:rsidRPr="00C70B0E">
        <w:rPr>
          <w:rFonts w:ascii="Times New Roman" w:hAnsi="Times New Roman"/>
        </w:rPr>
        <w:t>We explain the basis on which a compulsory vaccination measure</w:t>
      </w:r>
      <w:r w:rsidRPr="00C70B0E">
        <w:rPr>
          <w:rFonts w:ascii="Times New Roman" w:hAnsi="Times New Roman"/>
        </w:rPr>
        <w:t xml:space="preserve"> interferes with ECHR rights, and advance two parity arguments for why such interference may be justified.</w:t>
      </w:r>
    </w:p>
    <w:p w:rsidR="00FD573B" w:rsidRPr="00C70B0E">
      <w:pPr>
        <w:spacing w:after="160" w:line="259" w:lineRule="auto"/>
        <w:rPr>
          <w:rFonts w:ascii="Times New Roman" w:hAnsi="Times New Roman"/>
          <w:b/>
        </w:rPr>
      </w:pPr>
      <w:r w:rsidRPr="00C70B0E">
        <w:rPr>
          <w:rFonts w:ascii="Times New Roman" w:hAnsi="Times New Roman"/>
        </w:rPr>
        <w:br w:type="page"/>
      </w:r>
    </w:p>
    <w:p w:rsidR="00840609" w:rsidRPr="00C70B0E" w:rsidP="00840609">
      <w:pPr>
        <w:pStyle w:val="Heading2"/>
        <w:rPr>
          <w:rFonts w:ascii="Times New Roman" w:hAnsi="Times New Roman"/>
        </w:rPr>
      </w:pPr>
      <w:r w:rsidRPr="00C70B0E">
        <w:rPr>
          <w:rFonts w:ascii="Times New Roman" w:hAnsi="Times New Roman"/>
        </w:rPr>
        <w:t xml:space="preserve">Compulsory vaccination and interference with private </w:t>
      </w:r>
      <w:r w:rsidRPr="00C70B0E">
        <w:rPr>
          <w:rFonts w:ascii="Times New Roman" w:hAnsi="Times New Roman"/>
        </w:rPr>
        <w:t xml:space="preserve">and family </w:t>
      </w:r>
      <w:r w:rsidRPr="00C70B0E">
        <w:rPr>
          <w:rFonts w:ascii="Times New Roman" w:hAnsi="Times New Roman"/>
        </w:rPr>
        <w:t>life</w:t>
      </w:r>
    </w:p>
    <w:p w:rsidR="00DC728A" w:rsidRPr="00C70B0E" w:rsidP="00840609">
      <w:pPr>
        <w:pStyle w:val="Body"/>
        <w:rPr>
          <w:rFonts w:ascii="Times New Roman" w:hAnsi="Times New Roman"/>
        </w:rPr>
      </w:pPr>
      <w:r w:rsidRPr="00C70B0E">
        <w:rPr>
          <w:rFonts w:ascii="Times New Roman" w:hAnsi="Times New Roman"/>
        </w:rPr>
        <w:t xml:space="preserve">Our focus is on article 8 ECHR, which protects, </w:t>
      </w:r>
      <w:r w:rsidRPr="00C70B0E">
        <w:rPr>
          <w:rFonts w:ascii="Times New Roman" w:hAnsi="Times New Roman"/>
          <w:i/>
          <w:iCs/>
        </w:rPr>
        <w:t>inter alia</w:t>
      </w:r>
      <w:r w:rsidRPr="00C70B0E">
        <w:rPr>
          <w:rFonts w:ascii="Times New Roman" w:hAnsi="Times New Roman"/>
        </w:rPr>
        <w:t>, the right to priva</w:t>
      </w:r>
      <w:r w:rsidRPr="00C70B0E">
        <w:rPr>
          <w:rFonts w:ascii="Times New Roman" w:hAnsi="Times New Roman"/>
        </w:rPr>
        <w:t>te and family life,</w:t>
      </w:r>
      <w:r>
        <w:rPr>
          <w:rStyle w:val="FootnoteReference"/>
          <w:rFonts w:ascii="Times New Roman" w:hAnsi="Times New Roman"/>
          <w:b/>
          <w:bCs/>
        </w:rPr>
        <w:footnoteReference w:id="20"/>
      </w:r>
      <w:r w:rsidRPr="00C70B0E">
        <w:rPr>
          <w:rFonts w:ascii="Times New Roman" w:hAnsi="Times New Roman"/>
        </w:rPr>
        <w:t xml:space="preserve"> since this is most relevant to compulsory medical treatment.</w:t>
      </w:r>
    </w:p>
    <w:p w:rsidR="00840609" w:rsidRPr="00C70B0E" w:rsidP="00840609">
      <w:pPr>
        <w:pStyle w:val="Body"/>
        <w:rPr>
          <w:rFonts w:ascii="Times New Roman" w:hAnsi="Times New Roman"/>
        </w:rPr>
      </w:pPr>
      <w:r w:rsidRPr="00C70B0E">
        <w:rPr>
          <w:rFonts w:ascii="Times New Roman" w:hAnsi="Times New Roman"/>
        </w:rPr>
        <w:t>Article 8 ECHR provides:</w:t>
      </w:r>
    </w:p>
    <w:p w:rsidR="00B950B3" w:rsidRPr="00C70B0E" w:rsidP="00B950B3">
      <w:pPr>
        <w:pStyle w:val="Quote"/>
        <w:rPr>
          <w:rFonts w:ascii="Times New Roman" w:hAnsi="Times New Roman"/>
        </w:rPr>
      </w:pPr>
      <w:r w:rsidRPr="00C70B0E">
        <w:rPr>
          <w:rFonts w:ascii="Times New Roman" w:hAnsi="Times New Roman"/>
        </w:rPr>
        <w:t>1. Everyone has the right to respect for his private and family life</w:t>
      </w:r>
      <w:r w:rsidRPr="00C70B0E">
        <w:rPr>
          <w:rFonts w:ascii="Times New Roman" w:hAnsi="Times New Roman"/>
        </w:rPr>
        <w:t xml:space="preserve"> [</w:t>
      </w:r>
      <w:r w:rsidRPr="00C70B0E">
        <w:rPr>
          <w:rFonts w:ascii="Times New Roman" w:hAnsi="Times New Roman"/>
        </w:rPr>
        <w:t>…</w:t>
      </w:r>
      <w:r w:rsidRPr="00C70B0E">
        <w:rPr>
          <w:rFonts w:ascii="Times New Roman" w:hAnsi="Times New Roman"/>
        </w:rPr>
        <w:t>]</w:t>
      </w:r>
    </w:p>
    <w:p w:rsidR="00840609" w:rsidRPr="00C70B0E" w:rsidP="00B950B3">
      <w:pPr>
        <w:pStyle w:val="Quote"/>
        <w:rPr>
          <w:rFonts w:ascii="Times New Roman" w:hAnsi="Times New Roman"/>
        </w:rPr>
      </w:pPr>
      <w:r w:rsidRPr="00C70B0E">
        <w:rPr>
          <w:rFonts w:ascii="Times New Roman" w:hAnsi="Times New Roman"/>
        </w:rPr>
        <w:t>2. There shall be no interference by a public authority with the exercise of</w:t>
      </w:r>
      <w:r w:rsidRPr="00C70B0E">
        <w:rPr>
          <w:rFonts w:ascii="Times New Roman" w:hAnsi="Times New Roman"/>
        </w:rPr>
        <w:t xml:space="preserve"> </w:t>
      </w:r>
      <w:r w:rsidRPr="00C70B0E">
        <w:rPr>
          <w:rFonts w:ascii="Times New Roman" w:hAnsi="Times New Roman"/>
        </w:rPr>
        <w:t>this right except such as is in accordance with the law and is necessary in a</w:t>
      </w:r>
      <w:r w:rsidRPr="00C70B0E">
        <w:rPr>
          <w:rFonts w:ascii="Times New Roman" w:hAnsi="Times New Roman"/>
        </w:rPr>
        <w:t xml:space="preserve"> </w:t>
      </w:r>
      <w:r w:rsidRPr="00C70B0E">
        <w:rPr>
          <w:rFonts w:ascii="Times New Roman" w:hAnsi="Times New Roman"/>
        </w:rPr>
        <w:t>democratic society in the interests of national security, public safety or the</w:t>
      </w:r>
      <w:r w:rsidRPr="00C70B0E">
        <w:rPr>
          <w:rFonts w:ascii="Times New Roman" w:hAnsi="Times New Roman"/>
        </w:rPr>
        <w:t xml:space="preserve"> </w:t>
      </w:r>
      <w:r w:rsidRPr="00C70B0E">
        <w:rPr>
          <w:rFonts w:ascii="Times New Roman" w:hAnsi="Times New Roman"/>
        </w:rPr>
        <w:t>economic well-being of the country, for the prevention of disorder or crime,</w:t>
      </w:r>
      <w:r w:rsidRPr="00C70B0E">
        <w:rPr>
          <w:rFonts w:ascii="Times New Roman" w:hAnsi="Times New Roman"/>
        </w:rPr>
        <w:t xml:space="preserve"> </w:t>
      </w:r>
      <w:r w:rsidRPr="00C70B0E">
        <w:rPr>
          <w:rFonts w:ascii="Times New Roman" w:hAnsi="Times New Roman"/>
        </w:rPr>
        <w:t>for the protection of</w:t>
      </w:r>
      <w:r w:rsidRPr="00C70B0E">
        <w:rPr>
          <w:rFonts w:ascii="Times New Roman" w:hAnsi="Times New Roman"/>
        </w:rPr>
        <w:t xml:space="preserve"> health or morals, or for the protection of the rights and</w:t>
      </w:r>
      <w:r w:rsidRPr="00C70B0E">
        <w:rPr>
          <w:rFonts w:ascii="Times New Roman" w:hAnsi="Times New Roman"/>
        </w:rPr>
        <w:t xml:space="preserve"> </w:t>
      </w:r>
      <w:r w:rsidRPr="00C70B0E">
        <w:rPr>
          <w:rFonts w:ascii="Times New Roman" w:hAnsi="Times New Roman"/>
        </w:rPr>
        <w:t>freedoms of others.</w:t>
      </w:r>
    </w:p>
    <w:p w:rsidR="00B950B3" w:rsidRPr="00C70B0E" w:rsidP="00B950B3">
      <w:pPr>
        <w:pStyle w:val="Body"/>
        <w:rPr>
          <w:rFonts w:ascii="Times New Roman" w:hAnsi="Times New Roman"/>
        </w:rPr>
      </w:pPr>
      <w:r w:rsidRPr="00C70B0E">
        <w:rPr>
          <w:rFonts w:ascii="Times New Roman" w:hAnsi="Times New Roman"/>
        </w:rPr>
        <w:t>The case law of the European Court of Human Rights establishes that the provision of medical treatment without consent constitutes an interference with article 8 ECHR: ‘the impo</w:t>
      </w:r>
      <w:r w:rsidRPr="00C70B0E">
        <w:rPr>
          <w:rFonts w:ascii="Times New Roman" w:hAnsi="Times New Roman"/>
        </w:rPr>
        <w:t>sition of medical treatment, without the consent of a mentally competent adult patient, would interfere with a person's physical integrity in a manner capable of engaging the rights protected under Article 8(1) of the Convention’.</w:t>
      </w:r>
      <w:r>
        <w:rPr>
          <w:rStyle w:val="FootnoteReference"/>
          <w:rFonts w:ascii="Times New Roman" w:hAnsi="Times New Roman"/>
        </w:rPr>
        <w:footnoteReference w:id="21"/>
      </w:r>
    </w:p>
    <w:p w:rsidR="00B950B3" w:rsidRPr="00C70B0E" w:rsidP="00B950B3">
      <w:pPr>
        <w:pStyle w:val="Body"/>
        <w:rPr>
          <w:rFonts w:ascii="Times New Roman" w:hAnsi="Times New Roman"/>
          <w:b/>
          <w:bCs/>
        </w:rPr>
      </w:pPr>
      <w:r w:rsidRPr="00C70B0E">
        <w:rPr>
          <w:rFonts w:ascii="Times New Roman" w:hAnsi="Times New Roman"/>
          <w:b/>
          <w:bCs/>
        </w:rPr>
        <w:t>Vaccination is defined a</w:t>
      </w:r>
      <w:r w:rsidRPr="00C70B0E">
        <w:rPr>
          <w:rFonts w:ascii="Times New Roman" w:hAnsi="Times New Roman"/>
          <w:b/>
          <w:bCs/>
        </w:rPr>
        <w:t xml:space="preserve">s medical treatment for the purposes of the PHA 1984. </w:t>
      </w:r>
      <w:r w:rsidRPr="00C70B0E">
        <w:rPr>
          <w:rFonts w:ascii="Times New Roman" w:hAnsi="Times New Roman"/>
          <w:b/>
          <w:bCs/>
        </w:rPr>
        <w:t>A</w:t>
      </w:r>
      <w:r w:rsidRPr="00C70B0E">
        <w:rPr>
          <w:rFonts w:ascii="Times New Roman" w:hAnsi="Times New Roman"/>
          <w:b/>
          <w:bCs/>
        </w:rPr>
        <w:t xml:space="preserve"> compulsory vaccination </w:t>
      </w:r>
      <w:r w:rsidRPr="00C70B0E">
        <w:rPr>
          <w:rFonts w:ascii="Times New Roman" w:hAnsi="Times New Roman"/>
          <w:b/>
          <w:bCs/>
        </w:rPr>
        <w:t>policy</w:t>
      </w:r>
      <w:r w:rsidRPr="00C70B0E">
        <w:rPr>
          <w:rFonts w:ascii="Times New Roman" w:hAnsi="Times New Roman"/>
          <w:b/>
          <w:bCs/>
        </w:rPr>
        <w:t xml:space="preserve"> is likely to constitute an interference with the right to private life protected by article 8</w:t>
      </w:r>
      <w:r w:rsidRPr="00C70B0E">
        <w:rPr>
          <w:rFonts w:ascii="Times New Roman" w:hAnsi="Times New Roman"/>
          <w:b/>
          <w:bCs/>
        </w:rPr>
        <w:t>(1)</w:t>
      </w:r>
      <w:r w:rsidRPr="00C70B0E">
        <w:rPr>
          <w:rFonts w:ascii="Times New Roman" w:hAnsi="Times New Roman"/>
          <w:b/>
          <w:bCs/>
        </w:rPr>
        <w:t xml:space="preserve"> ECHR for </w:t>
      </w:r>
      <w:r w:rsidRPr="00C70B0E">
        <w:rPr>
          <w:rFonts w:ascii="Times New Roman" w:hAnsi="Times New Roman"/>
          <w:b/>
          <w:bCs/>
        </w:rPr>
        <w:t xml:space="preserve">people </w:t>
      </w:r>
      <w:r w:rsidRPr="00C70B0E">
        <w:rPr>
          <w:rFonts w:ascii="Times New Roman" w:hAnsi="Times New Roman"/>
          <w:b/>
          <w:bCs/>
        </w:rPr>
        <w:t>who would refuse vaccination given the choice.</w:t>
      </w:r>
      <w:r w:rsidRPr="00C70B0E">
        <w:rPr>
          <w:rStyle w:val="FootnoteReference"/>
          <w:rFonts w:ascii="Times New Roman" w:hAnsi="Times New Roman"/>
          <w:b/>
          <w:bCs/>
        </w:rPr>
        <w:t xml:space="preserve"> </w:t>
      </w:r>
    </w:p>
    <w:p w:rsidR="00B950B3" w:rsidRPr="00C70B0E" w:rsidP="00B950B3">
      <w:pPr>
        <w:pStyle w:val="Body"/>
        <w:rPr>
          <w:rFonts w:ascii="Times New Roman" w:hAnsi="Times New Roman"/>
          <w:b/>
          <w:bCs/>
        </w:rPr>
      </w:pPr>
      <w:r w:rsidRPr="00C70B0E">
        <w:rPr>
          <w:rFonts w:ascii="Times New Roman" w:hAnsi="Times New Roman"/>
        </w:rPr>
        <w:t>Note, how</w:t>
      </w:r>
      <w:r w:rsidRPr="00C70B0E">
        <w:rPr>
          <w:rFonts w:ascii="Times New Roman" w:hAnsi="Times New Roman"/>
        </w:rPr>
        <w:t>ever, that article 8 ECHR is a qualified right. This means that interference with, for example, the right to private life, may be justified—interference will not violate article 8 ECHR—so far as it is in accordance with the law and necessary in a democrati</w:t>
      </w:r>
      <w:r w:rsidRPr="00C70B0E">
        <w:rPr>
          <w:rFonts w:ascii="Times New Roman" w:hAnsi="Times New Roman"/>
        </w:rPr>
        <w:t>c society in pursuit of the legitimate aims listed in article 8(2)</w:t>
      </w:r>
      <w:r w:rsidRPr="00C70B0E">
        <w:rPr>
          <w:rFonts w:ascii="Times New Roman" w:hAnsi="Times New Roman"/>
        </w:rPr>
        <w:t xml:space="preserve"> ECHR</w:t>
      </w:r>
      <w:r w:rsidRPr="00C70B0E">
        <w:rPr>
          <w:rFonts w:ascii="Times New Roman" w:hAnsi="Times New Roman"/>
        </w:rPr>
        <w:t xml:space="preserve">. </w:t>
      </w:r>
      <w:r w:rsidRPr="00C70B0E">
        <w:rPr>
          <w:rFonts w:ascii="Times New Roman" w:hAnsi="Times New Roman"/>
          <w:b/>
          <w:bCs/>
        </w:rPr>
        <w:t>The most important element of the evaluation whether a measure constitutes a violation of article 8 ECHR is the analysis of its proportionality.</w:t>
      </w:r>
    </w:p>
    <w:p w:rsidR="008F0F62" w:rsidRPr="00C70B0E" w:rsidP="00B950B3">
      <w:pPr>
        <w:pStyle w:val="Body"/>
        <w:rPr>
          <w:rFonts w:ascii="Times New Roman" w:hAnsi="Times New Roman"/>
        </w:rPr>
      </w:pPr>
      <w:r w:rsidRPr="00C70B0E">
        <w:rPr>
          <w:rFonts w:ascii="Times New Roman" w:hAnsi="Times New Roman"/>
        </w:rPr>
        <w:t xml:space="preserve">Our strategy is to address the </w:t>
      </w:r>
      <w:r w:rsidRPr="00C70B0E">
        <w:rPr>
          <w:rFonts w:ascii="Times New Roman" w:hAnsi="Times New Roman"/>
        </w:rPr>
        <w:t>justification (including proportionality) of the interference with article 8 ECHR that compulsory vaccination entail</w:t>
      </w:r>
      <w:r w:rsidRPr="00C70B0E">
        <w:rPr>
          <w:rFonts w:ascii="Times New Roman" w:hAnsi="Times New Roman"/>
        </w:rPr>
        <w:t>s</w:t>
      </w:r>
      <w:r w:rsidRPr="00C70B0E">
        <w:rPr>
          <w:rFonts w:ascii="Times New Roman" w:hAnsi="Times New Roman"/>
        </w:rPr>
        <w:t xml:space="preserve"> through </w:t>
      </w:r>
      <w:r w:rsidRPr="00C70B0E">
        <w:rPr>
          <w:rFonts w:ascii="Times New Roman" w:hAnsi="Times New Roman"/>
        </w:rPr>
        <w:t>two</w:t>
      </w:r>
      <w:r w:rsidRPr="00C70B0E">
        <w:rPr>
          <w:rFonts w:ascii="Times New Roman" w:hAnsi="Times New Roman"/>
        </w:rPr>
        <w:t xml:space="preserve"> parity arguments. First, if ‘the lockdown is lawful’ in terms of its human rights law compliance,</w:t>
      </w:r>
      <w:r>
        <w:rPr>
          <w:rStyle w:val="FootnoteReference"/>
          <w:rFonts w:ascii="Times New Roman" w:hAnsi="Times New Roman"/>
        </w:rPr>
        <w:footnoteReference w:id="22"/>
      </w:r>
      <w:r w:rsidRPr="00C70B0E">
        <w:rPr>
          <w:rFonts w:ascii="Times New Roman" w:hAnsi="Times New Roman"/>
        </w:rPr>
        <w:t xml:space="preserve"> </w:t>
      </w:r>
      <w:r w:rsidRPr="00C70B0E">
        <w:rPr>
          <w:rFonts w:ascii="Times New Roman" w:hAnsi="Times New Roman"/>
        </w:rPr>
        <w:t xml:space="preserve">then </w:t>
      </w:r>
      <w:r w:rsidRPr="00C70B0E">
        <w:rPr>
          <w:rFonts w:ascii="Times New Roman" w:hAnsi="Times New Roman"/>
        </w:rPr>
        <w:t xml:space="preserve">it is arguable that </w:t>
      </w:r>
      <w:r w:rsidRPr="00C70B0E">
        <w:rPr>
          <w:rFonts w:ascii="Times New Roman" w:hAnsi="Times New Roman"/>
        </w:rPr>
        <w:t>co</w:t>
      </w:r>
      <w:r w:rsidRPr="00C70B0E">
        <w:rPr>
          <w:rFonts w:ascii="Times New Roman" w:hAnsi="Times New Roman"/>
        </w:rPr>
        <w:t xml:space="preserve">mpulsory vaccination </w:t>
      </w:r>
      <w:r w:rsidRPr="00C70B0E">
        <w:rPr>
          <w:rFonts w:ascii="Times New Roman" w:hAnsi="Times New Roman"/>
        </w:rPr>
        <w:t xml:space="preserve">is </w:t>
      </w:r>
      <w:r w:rsidRPr="00C70B0E">
        <w:rPr>
          <w:rFonts w:ascii="Times New Roman" w:hAnsi="Times New Roman"/>
        </w:rPr>
        <w:t>too</w:t>
      </w:r>
      <w:r w:rsidRPr="00C70B0E">
        <w:rPr>
          <w:rFonts w:ascii="Times New Roman" w:hAnsi="Times New Roman"/>
        </w:rPr>
        <w:t xml:space="preserve"> (</w:t>
      </w:r>
      <w:r w:rsidRPr="00C70B0E">
        <w:rPr>
          <w:rFonts w:ascii="Times New Roman" w:hAnsi="Times New Roman"/>
          <w:i/>
          <w:iCs/>
        </w:rPr>
        <w:t>lockdown parity argument</w:t>
      </w:r>
      <w:r w:rsidRPr="00C70B0E">
        <w:rPr>
          <w:rFonts w:ascii="Times New Roman" w:hAnsi="Times New Roman"/>
        </w:rPr>
        <w:t>)</w:t>
      </w:r>
      <w:r w:rsidRPr="00C70B0E">
        <w:rPr>
          <w:rFonts w:ascii="Times New Roman" w:hAnsi="Times New Roman"/>
        </w:rPr>
        <w:t xml:space="preserve">. Second, if non-consensual treatment under mental health law for public protection purposes is complaint with human rights law, then </w:t>
      </w:r>
      <w:r w:rsidRPr="00C70B0E">
        <w:rPr>
          <w:rFonts w:ascii="Times New Roman" w:hAnsi="Times New Roman"/>
        </w:rPr>
        <w:t xml:space="preserve">it is arguable that </w:t>
      </w:r>
      <w:r w:rsidRPr="00C70B0E">
        <w:rPr>
          <w:rFonts w:ascii="Times New Roman" w:hAnsi="Times New Roman"/>
        </w:rPr>
        <w:t xml:space="preserve">compulsory vaccination </w:t>
      </w:r>
      <w:r w:rsidRPr="00C70B0E">
        <w:rPr>
          <w:rFonts w:ascii="Times New Roman" w:hAnsi="Times New Roman"/>
        </w:rPr>
        <w:t xml:space="preserve">is </w:t>
      </w:r>
      <w:r w:rsidRPr="00C70B0E">
        <w:rPr>
          <w:rFonts w:ascii="Times New Roman" w:hAnsi="Times New Roman"/>
        </w:rPr>
        <w:t>too</w:t>
      </w:r>
      <w:r w:rsidRPr="00C70B0E">
        <w:rPr>
          <w:rFonts w:ascii="Times New Roman" w:hAnsi="Times New Roman"/>
        </w:rPr>
        <w:t xml:space="preserve"> (</w:t>
      </w:r>
      <w:r w:rsidRPr="00C70B0E">
        <w:rPr>
          <w:rFonts w:ascii="Times New Roman" w:hAnsi="Times New Roman"/>
          <w:i/>
          <w:iCs/>
        </w:rPr>
        <w:t>mental health par</w:t>
      </w:r>
      <w:r w:rsidRPr="00C70B0E">
        <w:rPr>
          <w:rFonts w:ascii="Times New Roman" w:hAnsi="Times New Roman"/>
          <w:i/>
          <w:iCs/>
        </w:rPr>
        <w:t>ity argument</w:t>
      </w:r>
      <w:r w:rsidRPr="00C70B0E">
        <w:rPr>
          <w:rFonts w:ascii="Times New Roman" w:hAnsi="Times New Roman"/>
        </w:rPr>
        <w:t>)</w:t>
      </w:r>
      <w:r w:rsidRPr="00C70B0E">
        <w:rPr>
          <w:rFonts w:ascii="Times New Roman" w:hAnsi="Times New Roman"/>
        </w:rPr>
        <w:t>.</w:t>
      </w:r>
      <w:r w:rsidRPr="00C70B0E">
        <w:rPr>
          <w:rFonts w:ascii="Times New Roman" w:hAnsi="Times New Roman"/>
        </w:rPr>
        <w:t xml:space="preserve"> The idea underlying this strategy is that interferences with some of the interests protected by the ECHR are commensurable, that is, we can evaluate the </w:t>
      </w:r>
      <w:r w:rsidRPr="00C70B0E">
        <w:rPr>
          <w:rFonts w:ascii="Times New Roman" w:hAnsi="Times New Roman"/>
        </w:rPr>
        <w:t xml:space="preserve">degree </w:t>
      </w:r>
      <w:r w:rsidRPr="00C70B0E">
        <w:rPr>
          <w:rFonts w:ascii="Times New Roman" w:hAnsi="Times New Roman"/>
        </w:rPr>
        <w:t>of</w:t>
      </w:r>
      <w:r w:rsidRPr="00C70B0E">
        <w:rPr>
          <w:rFonts w:ascii="Times New Roman" w:hAnsi="Times New Roman"/>
        </w:rPr>
        <w:t xml:space="preserve"> different kinds of interference with human rights on a comparable basis.</w:t>
      </w:r>
      <w:r w:rsidRPr="00C70B0E">
        <w:rPr>
          <w:rFonts w:ascii="Times New Roman" w:hAnsi="Times New Roman"/>
        </w:rPr>
        <w:t xml:space="preserve"> This </w:t>
      </w:r>
      <w:r w:rsidRPr="00C70B0E">
        <w:rPr>
          <w:rFonts w:ascii="Times New Roman" w:hAnsi="Times New Roman"/>
        </w:rPr>
        <w:t>is the case in respect of the qualified rights, including article 8 ECHR.</w:t>
      </w:r>
    </w:p>
    <w:p w:rsidR="00EF1E64" w:rsidRPr="00C70B0E" w:rsidP="00EF1E64">
      <w:pPr>
        <w:pStyle w:val="Heading2"/>
        <w:rPr>
          <w:rFonts w:ascii="Times New Roman" w:hAnsi="Times New Roman"/>
        </w:rPr>
      </w:pPr>
      <w:r w:rsidRPr="00C70B0E">
        <w:rPr>
          <w:rFonts w:ascii="Times New Roman" w:hAnsi="Times New Roman"/>
        </w:rPr>
        <w:t xml:space="preserve">The </w:t>
      </w:r>
      <w:r w:rsidRPr="00C70B0E">
        <w:rPr>
          <w:rFonts w:ascii="Times New Roman" w:hAnsi="Times New Roman"/>
          <w:i/>
          <w:iCs/>
        </w:rPr>
        <w:t>lockdown parity argument</w:t>
      </w:r>
    </w:p>
    <w:p w:rsidR="00EF1E64" w:rsidRPr="00C70B0E" w:rsidP="00EF1E64">
      <w:pPr>
        <w:pStyle w:val="Body"/>
        <w:rPr>
          <w:rFonts w:ascii="Times New Roman" w:hAnsi="Times New Roman"/>
        </w:rPr>
      </w:pPr>
      <w:r w:rsidRPr="00C70B0E">
        <w:rPr>
          <w:rFonts w:ascii="Times New Roman" w:hAnsi="Times New Roman"/>
        </w:rPr>
        <w:t xml:space="preserve">The domestic and human rights law compliance of ‘lockdown’ measures, that is, restrictions on persons, things, and premises through the various </w:t>
      </w:r>
      <w:r w:rsidRPr="00C70B0E">
        <w:rPr>
          <w:rFonts w:ascii="Times New Roman" w:hAnsi="Times New Roman"/>
        </w:rPr>
        <w:t>Health Pr</w:t>
      </w:r>
      <w:r w:rsidRPr="00C70B0E">
        <w:rPr>
          <w:rFonts w:ascii="Times New Roman" w:hAnsi="Times New Roman"/>
        </w:rPr>
        <w:t>otection (Coronavirus, Restrictions)</w:t>
      </w:r>
      <w:r w:rsidRPr="00C70B0E">
        <w:rPr>
          <w:rFonts w:ascii="Times New Roman" w:hAnsi="Times New Roman"/>
        </w:rPr>
        <w:t xml:space="preserve"> Regulations is a subject of controversy.</w:t>
      </w:r>
      <w:r>
        <w:rPr>
          <w:rStyle w:val="FootnoteReference"/>
          <w:rFonts w:ascii="Times New Roman" w:hAnsi="Times New Roman"/>
        </w:rPr>
        <w:footnoteReference w:id="23"/>
      </w:r>
    </w:p>
    <w:p w:rsidR="00EA7B82" w:rsidRPr="00C70B0E" w:rsidP="00EF1E64">
      <w:pPr>
        <w:pStyle w:val="Body"/>
        <w:rPr>
          <w:rFonts w:ascii="Times New Roman" w:hAnsi="Times New Roman"/>
        </w:rPr>
      </w:pPr>
      <w:r w:rsidRPr="00C70B0E">
        <w:rPr>
          <w:rFonts w:ascii="Times New Roman" w:hAnsi="Times New Roman"/>
        </w:rPr>
        <w:t>S</w:t>
      </w:r>
      <w:r w:rsidRPr="00C70B0E">
        <w:rPr>
          <w:rFonts w:ascii="Times New Roman" w:hAnsi="Times New Roman"/>
        </w:rPr>
        <w:t>ome</w:t>
      </w:r>
      <w:r w:rsidRPr="00C70B0E">
        <w:rPr>
          <w:rFonts w:ascii="Times New Roman" w:hAnsi="Times New Roman"/>
        </w:rPr>
        <w:t xml:space="preserve"> </w:t>
      </w:r>
      <w:r w:rsidRPr="00C70B0E">
        <w:rPr>
          <w:rFonts w:ascii="Times New Roman" w:hAnsi="Times New Roman"/>
        </w:rPr>
        <w:t>uncertainty regarding</w:t>
      </w:r>
      <w:r w:rsidRPr="00C70B0E">
        <w:rPr>
          <w:rFonts w:ascii="Times New Roman" w:hAnsi="Times New Roman"/>
        </w:rPr>
        <w:t xml:space="preserve"> the compatibility of ‘lockdown’ with Human Rights Law, has been resolved by the recent Administrative Court decision of </w:t>
      </w:r>
      <w:r w:rsidRPr="00C70B0E">
        <w:rPr>
          <w:rFonts w:ascii="Times New Roman" w:hAnsi="Times New Roman"/>
          <w:i/>
          <w:iCs/>
        </w:rPr>
        <w:t>Dolan v Secretary of State for</w:t>
      </w:r>
      <w:r w:rsidRPr="00C70B0E">
        <w:rPr>
          <w:rFonts w:ascii="Times New Roman" w:hAnsi="Times New Roman"/>
          <w:i/>
          <w:iCs/>
        </w:rPr>
        <w:t xml:space="preserve"> Health</w:t>
      </w:r>
      <w:r w:rsidRPr="00C70B0E">
        <w:rPr>
          <w:rFonts w:ascii="Times New Roman" w:hAnsi="Times New Roman"/>
        </w:rPr>
        <w:t>.</w:t>
      </w:r>
      <w:r>
        <w:rPr>
          <w:rStyle w:val="FootnoteReference"/>
          <w:rFonts w:ascii="Times New Roman" w:hAnsi="Times New Roman"/>
        </w:rPr>
        <w:footnoteReference w:id="24"/>
      </w:r>
      <w:r w:rsidRPr="00C70B0E">
        <w:rPr>
          <w:rFonts w:ascii="Times New Roman" w:hAnsi="Times New Roman"/>
        </w:rPr>
        <w:t xml:space="preserve"> The applicant, Mr </w:t>
      </w:r>
      <w:r w:rsidRPr="00C70B0E">
        <w:rPr>
          <w:rFonts w:ascii="Times New Roman" w:hAnsi="Times New Roman"/>
        </w:rPr>
        <w:t>Dolan</w:t>
      </w:r>
      <w:r w:rsidRPr="00C70B0E">
        <w:rPr>
          <w:rFonts w:ascii="Times New Roman" w:hAnsi="Times New Roman"/>
        </w:rPr>
        <w:t xml:space="preserve">, sought permission to bring a judicial review challenge to the legality of ‘lockdown’ on </w:t>
      </w:r>
      <w:r w:rsidRPr="00C70B0E">
        <w:rPr>
          <w:rFonts w:ascii="Times New Roman" w:hAnsi="Times New Roman"/>
        </w:rPr>
        <w:t>very</w:t>
      </w:r>
      <w:r w:rsidRPr="00C70B0E">
        <w:rPr>
          <w:rFonts w:ascii="Times New Roman" w:hAnsi="Times New Roman"/>
        </w:rPr>
        <w:t xml:space="preserve"> extensive </w:t>
      </w:r>
      <w:r w:rsidRPr="00C70B0E">
        <w:rPr>
          <w:rFonts w:ascii="Times New Roman" w:hAnsi="Times New Roman"/>
        </w:rPr>
        <w:t>public law</w:t>
      </w:r>
      <w:r w:rsidRPr="00C70B0E">
        <w:rPr>
          <w:rFonts w:ascii="Times New Roman" w:hAnsi="Times New Roman"/>
        </w:rPr>
        <w:t xml:space="preserve"> and human rights law grounds. The applicant failed on all grounds but one</w:t>
      </w:r>
      <w:r w:rsidRPr="00C70B0E">
        <w:rPr>
          <w:rFonts w:ascii="Times New Roman" w:hAnsi="Times New Roman"/>
        </w:rPr>
        <w:t>, which was reserved</w:t>
      </w:r>
      <w:r w:rsidRPr="00C70B0E">
        <w:rPr>
          <w:rFonts w:ascii="Times New Roman" w:hAnsi="Times New Roman"/>
        </w:rPr>
        <w:t>. We might cha</w:t>
      </w:r>
      <w:r w:rsidRPr="00C70B0E">
        <w:rPr>
          <w:rFonts w:ascii="Times New Roman" w:hAnsi="Times New Roman"/>
        </w:rPr>
        <w:t xml:space="preserve">racterise the current state of the law as follows: </w:t>
      </w:r>
      <w:r w:rsidRPr="00C70B0E">
        <w:rPr>
          <w:rFonts w:ascii="Times New Roman" w:hAnsi="Times New Roman"/>
        </w:rPr>
        <w:t xml:space="preserve">current </w:t>
      </w:r>
      <w:r w:rsidRPr="00C70B0E">
        <w:rPr>
          <w:rFonts w:ascii="Times New Roman" w:hAnsi="Times New Roman"/>
        </w:rPr>
        <w:t>‘lockdown’ measures are compatible with article 5 ECHR (the right to liberty), article 8 ECHR (the right to private and family life)</w:t>
      </w:r>
      <w:r w:rsidRPr="00C70B0E">
        <w:rPr>
          <w:rFonts w:ascii="Times New Roman" w:hAnsi="Times New Roman"/>
        </w:rPr>
        <w:t>, article 11 ECHR (the right to freedom and assembly)</w:t>
      </w:r>
      <w:r w:rsidRPr="00C70B0E">
        <w:rPr>
          <w:rFonts w:ascii="Times New Roman" w:hAnsi="Times New Roman"/>
        </w:rPr>
        <w:t xml:space="preserve"> among other</w:t>
      </w:r>
      <w:r w:rsidRPr="00C70B0E">
        <w:rPr>
          <w:rFonts w:ascii="Times New Roman" w:hAnsi="Times New Roman"/>
        </w:rPr>
        <w:t>s</w:t>
      </w:r>
      <w:r w:rsidRPr="00C70B0E">
        <w:rPr>
          <w:rFonts w:ascii="Times New Roman" w:hAnsi="Times New Roman"/>
        </w:rPr>
        <w:t>, with consideration of article 9 ECHR (</w:t>
      </w:r>
      <w:r w:rsidRPr="00C70B0E">
        <w:rPr>
          <w:rFonts w:ascii="Times New Roman" w:hAnsi="Times New Roman"/>
        </w:rPr>
        <w:t xml:space="preserve">the right to </w:t>
      </w:r>
      <w:r w:rsidRPr="00C70B0E">
        <w:rPr>
          <w:rFonts w:ascii="Times New Roman" w:hAnsi="Times New Roman"/>
        </w:rPr>
        <w:t xml:space="preserve">freedom of </w:t>
      </w:r>
      <w:r w:rsidRPr="00C70B0E">
        <w:rPr>
          <w:rFonts w:ascii="Times New Roman" w:hAnsi="Times New Roman"/>
        </w:rPr>
        <w:t>religion) reserved.</w:t>
      </w:r>
    </w:p>
    <w:p w:rsidR="005D6228" w:rsidRPr="00C70B0E" w:rsidP="00EF1E64">
      <w:pPr>
        <w:pStyle w:val="Body"/>
        <w:rPr>
          <w:rFonts w:ascii="Times New Roman" w:hAnsi="Times New Roman"/>
        </w:rPr>
      </w:pPr>
      <w:r w:rsidRPr="00C70B0E">
        <w:rPr>
          <w:rFonts w:ascii="Times New Roman" w:hAnsi="Times New Roman"/>
        </w:rPr>
        <w:t xml:space="preserve">The </w:t>
      </w:r>
      <w:r w:rsidRPr="00C70B0E">
        <w:rPr>
          <w:rFonts w:ascii="Times New Roman" w:hAnsi="Times New Roman"/>
          <w:i/>
          <w:iCs/>
        </w:rPr>
        <w:t>Dolan</w:t>
      </w:r>
      <w:r w:rsidRPr="00C70B0E">
        <w:rPr>
          <w:rFonts w:ascii="Times New Roman" w:hAnsi="Times New Roman"/>
        </w:rPr>
        <w:t xml:space="preserve"> decision does not </w:t>
      </w:r>
      <w:r w:rsidRPr="00C70B0E">
        <w:rPr>
          <w:rFonts w:ascii="Times New Roman" w:hAnsi="Times New Roman"/>
        </w:rPr>
        <w:t xml:space="preserve">deny </w:t>
      </w:r>
      <w:r w:rsidRPr="00C70B0E">
        <w:rPr>
          <w:rFonts w:ascii="Times New Roman" w:hAnsi="Times New Roman"/>
        </w:rPr>
        <w:t>that the</w:t>
      </w:r>
      <w:r w:rsidRPr="00C70B0E">
        <w:rPr>
          <w:rFonts w:ascii="Times New Roman" w:hAnsi="Times New Roman"/>
        </w:rPr>
        <w:t xml:space="preserve"> lockdown </w:t>
      </w:r>
      <w:r w:rsidRPr="00C70B0E">
        <w:rPr>
          <w:rFonts w:ascii="Times New Roman" w:hAnsi="Times New Roman"/>
        </w:rPr>
        <w:t>engages</w:t>
      </w:r>
      <w:r w:rsidRPr="00C70B0E">
        <w:rPr>
          <w:rFonts w:ascii="Times New Roman" w:hAnsi="Times New Roman"/>
        </w:rPr>
        <w:t xml:space="preserve"> the </w:t>
      </w:r>
      <w:r w:rsidRPr="00C70B0E">
        <w:rPr>
          <w:rFonts w:ascii="Times New Roman" w:hAnsi="Times New Roman"/>
        </w:rPr>
        <w:t xml:space="preserve">ECHR </w:t>
      </w:r>
      <w:r w:rsidRPr="00C70B0E">
        <w:rPr>
          <w:rFonts w:ascii="Times New Roman" w:hAnsi="Times New Roman"/>
        </w:rPr>
        <w:t>rights</w:t>
      </w:r>
      <w:r w:rsidRPr="00C70B0E">
        <w:rPr>
          <w:rFonts w:ascii="Times New Roman" w:hAnsi="Times New Roman"/>
        </w:rPr>
        <w:t xml:space="preserve"> contained in articles 5, 8 and 11</w:t>
      </w:r>
      <w:r w:rsidRPr="00C70B0E">
        <w:rPr>
          <w:rFonts w:ascii="Times New Roman" w:hAnsi="Times New Roman"/>
        </w:rPr>
        <w:t>.</w:t>
      </w:r>
      <w:r>
        <w:rPr>
          <w:rStyle w:val="FootnoteReference"/>
          <w:rFonts w:ascii="Times New Roman" w:hAnsi="Times New Roman"/>
        </w:rPr>
        <w:footnoteReference w:id="25"/>
      </w:r>
      <w:r w:rsidRPr="00C70B0E">
        <w:rPr>
          <w:rFonts w:ascii="Times New Roman" w:hAnsi="Times New Roman"/>
        </w:rPr>
        <w:t xml:space="preserve"> Rather, </w:t>
      </w:r>
      <w:r w:rsidRPr="00C70B0E">
        <w:rPr>
          <w:rFonts w:ascii="Times New Roman" w:hAnsi="Times New Roman"/>
        </w:rPr>
        <w:t>interference with</w:t>
      </w:r>
      <w:r w:rsidRPr="00C70B0E">
        <w:rPr>
          <w:rFonts w:ascii="Times New Roman" w:hAnsi="Times New Roman"/>
        </w:rPr>
        <w:t xml:space="preserve"> these</w:t>
      </w:r>
      <w:r w:rsidRPr="00C70B0E">
        <w:rPr>
          <w:rFonts w:ascii="Times New Roman" w:hAnsi="Times New Roman"/>
        </w:rPr>
        <w:t xml:space="preserve"> rights is justified because of the </w:t>
      </w:r>
      <w:r w:rsidRPr="00C70B0E">
        <w:rPr>
          <w:rFonts w:ascii="Times New Roman" w:hAnsi="Times New Roman"/>
        </w:rPr>
        <w:t xml:space="preserve">potential human rights impacts </w:t>
      </w:r>
      <w:r w:rsidRPr="00C70B0E">
        <w:rPr>
          <w:rFonts w:ascii="Times New Roman" w:hAnsi="Times New Roman"/>
        </w:rPr>
        <w:t xml:space="preserve">of </w:t>
      </w:r>
      <w:r w:rsidRPr="00C70B0E">
        <w:rPr>
          <w:rFonts w:ascii="Times New Roman" w:hAnsi="Times New Roman"/>
        </w:rPr>
        <w:t>Covid-19</w:t>
      </w:r>
      <w:r w:rsidRPr="00C70B0E">
        <w:rPr>
          <w:rFonts w:ascii="Times New Roman" w:hAnsi="Times New Roman"/>
        </w:rPr>
        <w:t xml:space="preserve"> for individuals and others</w:t>
      </w:r>
      <w:r w:rsidRPr="00C70B0E">
        <w:rPr>
          <w:rFonts w:ascii="Times New Roman" w:hAnsi="Times New Roman"/>
        </w:rPr>
        <w:t>, and in virtue of the State’s positive duty to safeguard the li</w:t>
      </w:r>
      <w:r w:rsidRPr="00C70B0E">
        <w:rPr>
          <w:rFonts w:ascii="Times New Roman" w:hAnsi="Times New Roman"/>
        </w:rPr>
        <w:t>f</w:t>
      </w:r>
      <w:r w:rsidRPr="00C70B0E">
        <w:rPr>
          <w:rFonts w:ascii="Times New Roman" w:hAnsi="Times New Roman"/>
        </w:rPr>
        <w:t>e within its jurisdiction</w:t>
      </w:r>
      <w:r w:rsidRPr="00C70B0E">
        <w:rPr>
          <w:rFonts w:ascii="Times New Roman" w:hAnsi="Times New Roman"/>
        </w:rPr>
        <w:t>.</w:t>
      </w:r>
      <w:r>
        <w:rPr>
          <w:rStyle w:val="FootnoteReference"/>
          <w:rFonts w:ascii="Times New Roman" w:hAnsi="Times New Roman"/>
        </w:rPr>
        <w:footnoteReference w:id="26"/>
      </w:r>
      <w:r w:rsidRPr="00C70B0E">
        <w:rPr>
          <w:rFonts w:ascii="Times New Roman" w:hAnsi="Times New Roman"/>
        </w:rPr>
        <w:t xml:space="preserve"> The following is representative of the Court’s reasoning:</w:t>
      </w:r>
    </w:p>
    <w:p w:rsidR="00206023" w:rsidRPr="00C70B0E" w:rsidP="00206023">
      <w:pPr>
        <w:pStyle w:val="Quote"/>
        <w:rPr>
          <w:rFonts w:ascii="Times New Roman" w:hAnsi="Times New Roman"/>
        </w:rPr>
      </w:pPr>
      <w:r w:rsidRPr="00C70B0E">
        <w:rPr>
          <w:rFonts w:ascii="Times New Roman" w:hAnsi="Times New Roman"/>
        </w:rPr>
        <w:t>[T]</w:t>
      </w:r>
      <w:r w:rsidRPr="00C70B0E">
        <w:rPr>
          <w:rFonts w:ascii="Times New Roman" w:hAnsi="Times New Roman"/>
        </w:rPr>
        <w:t xml:space="preserve">here is no realistic prospect that the courts would find regulation 7 </w:t>
      </w:r>
      <w:r w:rsidRPr="00C70B0E">
        <w:rPr>
          <w:rFonts w:ascii="Times New Roman" w:hAnsi="Times New Roman"/>
        </w:rPr>
        <w:t xml:space="preserve">[restriction on gatherings] </w:t>
      </w:r>
      <w:r w:rsidRPr="00C70B0E">
        <w:rPr>
          <w:rFonts w:ascii="Times New Roman" w:hAnsi="Times New Roman"/>
        </w:rPr>
        <w:t>in its current form to be a disproportionate interference with the rights guaranteed by Article 11 of the Convention. The context in which the regulation w</w:t>
      </w:r>
      <w:r w:rsidRPr="00C70B0E">
        <w:rPr>
          <w:rFonts w:ascii="Times New Roman" w:hAnsi="Times New Roman"/>
        </w:rPr>
        <w:t xml:space="preserve">as made was one of a </w:t>
      </w:r>
      <w:r w:rsidRPr="00C70B0E">
        <w:rPr>
          <w:rFonts w:ascii="Times New Roman" w:hAnsi="Times New Roman"/>
        </w:rPr>
        <w:t>pandemic</w:t>
      </w:r>
      <w:r w:rsidRPr="00C70B0E">
        <w:rPr>
          <w:rFonts w:ascii="Times New Roman" w:hAnsi="Times New Roman"/>
        </w:rPr>
        <w:t xml:space="preserve"> where a highly infectious disease capable of causing </w:t>
      </w:r>
      <w:r w:rsidRPr="00C70B0E">
        <w:rPr>
          <w:rFonts w:ascii="Times New Roman" w:hAnsi="Times New Roman"/>
        </w:rPr>
        <w:t>death was spreading. The disease was transmissible between humans. The scientific understanding of this novel coronavirus was limited. There was no effective treatment or va</w:t>
      </w:r>
      <w:r w:rsidRPr="00C70B0E">
        <w:rPr>
          <w:rFonts w:ascii="Times New Roman" w:hAnsi="Times New Roman"/>
        </w:rPr>
        <w:t>ccine.</w:t>
      </w:r>
    </w:p>
    <w:p w:rsidR="00206023" w:rsidRPr="00C70B0E" w:rsidP="00206023">
      <w:pPr>
        <w:pStyle w:val="Quote"/>
        <w:rPr>
          <w:rFonts w:ascii="Times New Roman" w:hAnsi="Times New Roman"/>
        </w:rPr>
      </w:pPr>
      <w:r w:rsidRPr="00C70B0E">
        <w:rPr>
          <w:rFonts w:ascii="Times New Roman" w:hAnsi="Times New Roman"/>
        </w:rPr>
        <w:t>The regulation was intended to restrict the opportunities for transmission between humans. The regulation therefore limits the opportunity for groups of individuals to gather together, whether indoors or outdoors. The regulation was time-limited and</w:t>
      </w:r>
      <w:r w:rsidRPr="00C70B0E">
        <w:rPr>
          <w:rFonts w:ascii="Times New Roman" w:hAnsi="Times New Roman"/>
        </w:rPr>
        <w:t xml:space="preserve"> would expire after 6 months in any event. During that period, the government was under a duty to carry out regular reviews and to terminate the restriction if it was no longer necessary to achieve the public health aim of reducing the spread and incidence</w:t>
      </w:r>
      <w:r w:rsidRPr="00C70B0E">
        <w:rPr>
          <w:rFonts w:ascii="Times New Roman" w:hAnsi="Times New Roman"/>
        </w:rPr>
        <w:t xml:space="preserve"> of coronavirus within the population.</w:t>
      </w:r>
      <w:r>
        <w:rPr>
          <w:rStyle w:val="FootnoteReference"/>
          <w:rFonts w:ascii="Times New Roman" w:hAnsi="Times New Roman"/>
        </w:rPr>
        <w:footnoteReference w:id="27"/>
      </w:r>
    </w:p>
    <w:p w:rsidR="00276B64" w:rsidRPr="00C70B0E" w:rsidP="00276B64">
      <w:pPr>
        <w:pStyle w:val="Body"/>
        <w:rPr>
          <w:rFonts w:ascii="Times New Roman" w:hAnsi="Times New Roman"/>
        </w:rPr>
      </w:pPr>
      <w:r w:rsidRPr="00C70B0E">
        <w:rPr>
          <w:rFonts w:ascii="Times New Roman" w:hAnsi="Times New Roman"/>
        </w:rPr>
        <w:t xml:space="preserve">What is important for the purposes of </w:t>
      </w:r>
      <w:r w:rsidRPr="00C70B0E">
        <w:rPr>
          <w:rFonts w:ascii="Times New Roman" w:hAnsi="Times New Roman"/>
        </w:rPr>
        <w:t xml:space="preserve">the </w:t>
      </w:r>
      <w:r w:rsidRPr="00C70B0E">
        <w:rPr>
          <w:rFonts w:ascii="Times New Roman" w:hAnsi="Times New Roman"/>
          <w:i/>
          <w:iCs/>
        </w:rPr>
        <w:t>lockdown parity argument</w:t>
      </w:r>
      <w:r w:rsidRPr="00C70B0E">
        <w:rPr>
          <w:rFonts w:ascii="Times New Roman" w:hAnsi="Times New Roman"/>
        </w:rPr>
        <w:t xml:space="preserve"> </w:t>
      </w:r>
      <w:r w:rsidRPr="00C70B0E">
        <w:rPr>
          <w:rFonts w:ascii="Times New Roman" w:hAnsi="Times New Roman"/>
        </w:rPr>
        <w:t xml:space="preserve">is that the </w:t>
      </w:r>
      <w:r w:rsidRPr="00C70B0E">
        <w:rPr>
          <w:rFonts w:ascii="Times New Roman" w:hAnsi="Times New Roman"/>
        </w:rPr>
        <w:t>R</w:t>
      </w:r>
      <w:r w:rsidRPr="00C70B0E">
        <w:rPr>
          <w:rFonts w:ascii="Times New Roman" w:hAnsi="Times New Roman"/>
        </w:rPr>
        <w:t xml:space="preserve">egulations </w:t>
      </w:r>
      <w:r w:rsidRPr="00C70B0E">
        <w:rPr>
          <w:rFonts w:ascii="Times New Roman" w:hAnsi="Times New Roman"/>
        </w:rPr>
        <w:t xml:space="preserve">deriving </w:t>
      </w:r>
      <w:r w:rsidRPr="00C70B0E">
        <w:rPr>
          <w:rFonts w:ascii="Times New Roman" w:hAnsi="Times New Roman"/>
        </w:rPr>
        <w:t xml:space="preserve">their power from the PHA 1984 may provide for very substantial interferences with the ECHR rights that nevertheless </w:t>
      </w:r>
      <w:r w:rsidRPr="00C70B0E">
        <w:rPr>
          <w:rFonts w:ascii="Times New Roman" w:hAnsi="Times New Roman"/>
        </w:rPr>
        <w:t>are proportionate and justified.</w:t>
      </w:r>
      <w:r w:rsidRPr="00C70B0E">
        <w:rPr>
          <w:rFonts w:ascii="Times New Roman" w:hAnsi="Times New Roman"/>
        </w:rPr>
        <w:t xml:space="preserve"> This is the case even though the impact of these measures falls unevenly across society and is very grave for </w:t>
      </w:r>
      <w:r w:rsidRPr="00C70B0E">
        <w:rPr>
          <w:rFonts w:ascii="Times New Roman" w:hAnsi="Times New Roman"/>
        </w:rPr>
        <w:t>many</w:t>
      </w:r>
      <w:r w:rsidRPr="00C70B0E">
        <w:rPr>
          <w:rFonts w:ascii="Times New Roman" w:hAnsi="Times New Roman"/>
        </w:rPr>
        <w:t xml:space="preserve"> people.</w:t>
      </w:r>
      <w:r>
        <w:rPr>
          <w:rStyle w:val="FootnoteReference"/>
          <w:rFonts w:ascii="Times New Roman" w:hAnsi="Times New Roman"/>
        </w:rPr>
        <w:footnoteReference w:id="28"/>
      </w:r>
      <w:r w:rsidRPr="00C70B0E">
        <w:rPr>
          <w:rFonts w:ascii="Times New Roman" w:hAnsi="Times New Roman"/>
        </w:rPr>
        <w:t xml:space="preserve"> Yet, the PHA 1984 rules out compulsory medical treatment, including vaccination. This seems difficu</w:t>
      </w:r>
      <w:r w:rsidRPr="00C70B0E">
        <w:rPr>
          <w:rFonts w:ascii="Times New Roman" w:hAnsi="Times New Roman"/>
        </w:rPr>
        <w:t>lt to justify.</w:t>
      </w:r>
    </w:p>
    <w:p w:rsidR="001729D8" w:rsidRPr="00C70B0E" w:rsidP="00276B64">
      <w:pPr>
        <w:pStyle w:val="Body"/>
        <w:rPr>
          <w:rFonts w:ascii="Times New Roman" w:hAnsi="Times New Roman"/>
        </w:rPr>
      </w:pPr>
      <w:r w:rsidRPr="00C70B0E">
        <w:rPr>
          <w:rFonts w:ascii="Times New Roman" w:hAnsi="Times New Roman"/>
        </w:rPr>
        <w:t xml:space="preserve">Let us assume that a </w:t>
      </w:r>
      <w:r w:rsidRPr="00C70B0E">
        <w:rPr>
          <w:rFonts w:ascii="Times New Roman" w:hAnsi="Times New Roman"/>
        </w:rPr>
        <w:t>Covid-19</w:t>
      </w:r>
      <w:r w:rsidRPr="00C70B0E">
        <w:rPr>
          <w:rFonts w:ascii="Times New Roman" w:hAnsi="Times New Roman"/>
        </w:rPr>
        <w:t xml:space="preserve"> vaccine available at scale is safe, efficacious and administered in a conventional way, </w:t>
      </w:r>
      <w:r w:rsidRPr="00C70B0E">
        <w:rPr>
          <w:rFonts w:ascii="Times New Roman" w:hAnsi="Times New Roman"/>
        </w:rPr>
        <w:t xml:space="preserve">for example, </w:t>
      </w:r>
      <w:r w:rsidRPr="00C70B0E">
        <w:rPr>
          <w:rFonts w:ascii="Times New Roman" w:hAnsi="Times New Roman"/>
        </w:rPr>
        <w:t xml:space="preserve">by injection. Even </w:t>
      </w:r>
      <w:r w:rsidRPr="00C70B0E">
        <w:rPr>
          <w:rFonts w:ascii="Times New Roman" w:hAnsi="Times New Roman"/>
        </w:rPr>
        <w:t>accounting for any harms associated with non-consensual administration, the interference wi</w:t>
      </w:r>
      <w:r w:rsidRPr="00C70B0E">
        <w:rPr>
          <w:rFonts w:ascii="Times New Roman" w:hAnsi="Times New Roman"/>
        </w:rPr>
        <w:t xml:space="preserve">th an individual’s private life that compulsory vaccination entails seems proportionate </w:t>
      </w:r>
      <w:r w:rsidRPr="00C70B0E">
        <w:rPr>
          <w:rFonts w:ascii="Times New Roman" w:hAnsi="Times New Roman"/>
        </w:rPr>
        <w:t>in light of</w:t>
      </w:r>
      <w:r w:rsidRPr="00C70B0E">
        <w:rPr>
          <w:rFonts w:ascii="Times New Roman" w:hAnsi="Times New Roman"/>
        </w:rPr>
        <w:t xml:space="preserve"> the seriousness of </w:t>
      </w:r>
      <w:r w:rsidRPr="00C70B0E">
        <w:rPr>
          <w:rFonts w:ascii="Times New Roman" w:hAnsi="Times New Roman"/>
        </w:rPr>
        <w:t>Covid-19</w:t>
      </w:r>
      <w:r w:rsidRPr="00C70B0E">
        <w:rPr>
          <w:rFonts w:ascii="Times New Roman" w:hAnsi="Times New Roman"/>
        </w:rPr>
        <w:t xml:space="preserve"> risks and impacts</w:t>
      </w:r>
      <w:r w:rsidRPr="00C70B0E">
        <w:rPr>
          <w:rFonts w:ascii="Times New Roman" w:hAnsi="Times New Roman"/>
        </w:rPr>
        <w:t xml:space="preserve">. Moreover, a policy of compulsory vaccination seems </w:t>
      </w:r>
      <w:r w:rsidRPr="00C70B0E">
        <w:rPr>
          <w:rFonts w:ascii="Times New Roman" w:hAnsi="Times New Roman"/>
        </w:rPr>
        <w:t xml:space="preserve">less burdensome on the interests the ECHR protects </w:t>
      </w:r>
      <w:r w:rsidRPr="00C70B0E">
        <w:rPr>
          <w:rFonts w:ascii="Times New Roman" w:hAnsi="Times New Roman"/>
        </w:rPr>
        <w:t>as a wh</w:t>
      </w:r>
      <w:r w:rsidRPr="00C70B0E">
        <w:rPr>
          <w:rFonts w:ascii="Times New Roman" w:hAnsi="Times New Roman"/>
        </w:rPr>
        <w:t xml:space="preserve">ole </w:t>
      </w:r>
      <w:r w:rsidRPr="00C70B0E">
        <w:rPr>
          <w:rFonts w:ascii="Times New Roman" w:hAnsi="Times New Roman"/>
        </w:rPr>
        <w:t>than</w:t>
      </w:r>
      <w:r w:rsidRPr="00C70B0E">
        <w:rPr>
          <w:rFonts w:ascii="Times New Roman" w:hAnsi="Times New Roman"/>
        </w:rPr>
        <w:t xml:space="preserve"> </w:t>
      </w:r>
      <w:r w:rsidRPr="00C70B0E">
        <w:rPr>
          <w:rFonts w:ascii="Times New Roman" w:hAnsi="Times New Roman"/>
        </w:rPr>
        <w:t>‘</w:t>
      </w:r>
      <w:r w:rsidRPr="00C70B0E">
        <w:rPr>
          <w:rFonts w:ascii="Times New Roman" w:hAnsi="Times New Roman"/>
        </w:rPr>
        <w:t>lockdown</w:t>
      </w:r>
      <w:r w:rsidRPr="00C70B0E">
        <w:rPr>
          <w:rFonts w:ascii="Times New Roman" w:hAnsi="Times New Roman"/>
        </w:rPr>
        <w:t>’, that is, the degree of interference with bodily integrity entailed in compulsory vaccination seems less than the degree of interference with other liberties arising from lockdown</w:t>
      </w:r>
    </w:p>
    <w:p w:rsidR="00276B64" w:rsidRPr="00C70B0E" w:rsidP="00276B64">
      <w:pPr>
        <w:pStyle w:val="Body"/>
        <w:rPr>
          <w:rFonts w:ascii="Times New Roman" w:hAnsi="Times New Roman"/>
        </w:rPr>
      </w:pPr>
      <w:r w:rsidRPr="00C70B0E">
        <w:rPr>
          <w:rFonts w:ascii="Times New Roman" w:hAnsi="Times New Roman"/>
        </w:rPr>
        <w:t>In the event that</w:t>
      </w:r>
      <w:r w:rsidRPr="00C70B0E">
        <w:rPr>
          <w:rFonts w:ascii="Times New Roman" w:hAnsi="Times New Roman"/>
        </w:rPr>
        <w:t xml:space="preserve"> </w:t>
      </w:r>
      <w:r w:rsidRPr="00C70B0E">
        <w:rPr>
          <w:rFonts w:ascii="Times New Roman" w:hAnsi="Times New Roman"/>
        </w:rPr>
        <w:t xml:space="preserve">a </w:t>
      </w:r>
      <w:r w:rsidRPr="00C70B0E">
        <w:rPr>
          <w:rFonts w:ascii="Times New Roman" w:hAnsi="Times New Roman"/>
        </w:rPr>
        <w:t xml:space="preserve">policy choice between ‘lockdown’ and compulsory vaccination were coterminous, it would, in our view, </w:t>
      </w:r>
      <w:r w:rsidRPr="00C70B0E">
        <w:rPr>
          <w:rFonts w:ascii="Times New Roman" w:hAnsi="Times New Roman"/>
        </w:rPr>
        <w:t>be</w:t>
      </w:r>
      <w:r w:rsidRPr="00C70B0E">
        <w:rPr>
          <w:rFonts w:ascii="Times New Roman" w:hAnsi="Times New Roman"/>
        </w:rPr>
        <w:t xml:space="preserve"> strange to opt for lockdown over compulsory vaccination. </w:t>
      </w:r>
      <w:r w:rsidRPr="00C70B0E">
        <w:rPr>
          <w:rFonts w:ascii="Times New Roman" w:hAnsi="Times New Roman"/>
        </w:rPr>
        <w:t>T</w:t>
      </w:r>
      <w:r w:rsidRPr="00C70B0E">
        <w:rPr>
          <w:rFonts w:ascii="Times New Roman" w:hAnsi="Times New Roman"/>
        </w:rPr>
        <w:t>he absence of the legal power to require individuals to undergo vaccination is hard to explain</w:t>
      </w:r>
      <w:r w:rsidRPr="00C70B0E">
        <w:rPr>
          <w:rFonts w:ascii="Times New Roman" w:hAnsi="Times New Roman"/>
        </w:rPr>
        <w:t>.</w:t>
      </w:r>
    </w:p>
    <w:p w:rsidR="007D7DAA" w:rsidRPr="00C70B0E" w:rsidP="00206023">
      <w:pPr>
        <w:pStyle w:val="Body"/>
        <w:rPr>
          <w:rFonts w:ascii="Times New Roman" w:hAnsi="Times New Roman"/>
        </w:rPr>
      </w:pPr>
      <w:r w:rsidRPr="00C70B0E">
        <w:rPr>
          <w:rFonts w:ascii="Times New Roman" w:hAnsi="Times New Roman"/>
          <w:b/>
          <w:bCs/>
        </w:rPr>
        <w:t xml:space="preserve">It is arguable that if ‘lockdown’ restrictions are compatible with human rights law, so too is compulsory vaccination. </w:t>
      </w:r>
      <w:r w:rsidRPr="00C70B0E">
        <w:rPr>
          <w:rFonts w:ascii="Times New Roman" w:hAnsi="Times New Roman"/>
          <w:b/>
          <w:bCs/>
        </w:rPr>
        <w:t>Current public health law rules out medical treatment,</w:t>
      </w:r>
      <w:r w:rsidRPr="00C70B0E">
        <w:rPr>
          <w:rFonts w:ascii="Times New Roman" w:hAnsi="Times New Roman"/>
          <w:b/>
          <w:bCs/>
        </w:rPr>
        <w:t xml:space="preserve"> including vaccination,</w:t>
      </w:r>
      <w:r w:rsidRPr="00C70B0E">
        <w:rPr>
          <w:rFonts w:ascii="Times New Roman" w:hAnsi="Times New Roman"/>
          <w:b/>
          <w:bCs/>
        </w:rPr>
        <w:t xml:space="preserve"> but permits extensive restrictions on personal activity, such as free movement and association. The law privileges </w:t>
      </w:r>
      <w:r w:rsidRPr="00C70B0E">
        <w:rPr>
          <w:rFonts w:ascii="Times New Roman" w:hAnsi="Times New Roman"/>
          <w:b/>
          <w:bCs/>
        </w:rPr>
        <w:t xml:space="preserve">the </w:t>
      </w:r>
      <w:r w:rsidRPr="00C70B0E">
        <w:rPr>
          <w:rFonts w:ascii="Times New Roman" w:hAnsi="Times New Roman"/>
          <w:b/>
          <w:bCs/>
        </w:rPr>
        <w:t xml:space="preserve">interest in bodily integrity over other liberties. </w:t>
      </w:r>
      <w:r w:rsidRPr="00C70B0E">
        <w:rPr>
          <w:rFonts w:ascii="Times New Roman" w:hAnsi="Times New Roman"/>
          <w:b/>
          <w:bCs/>
        </w:rPr>
        <w:t xml:space="preserve">The </w:t>
      </w:r>
      <w:r w:rsidRPr="00C70B0E">
        <w:rPr>
          <w:rFonts w:ascii="Times New Roman" w:hAnsi="Times New Roman"/>
          <w:b/>
          <w:bCs/>
          <w:i/>
          <w:iCs/>
        </w:rPr>
        <w:t>lockdown parity argument</w:t>
      </w:r>
      <w:r w:rsidRPr="00C70B0E">
        <w:rPr>
          <w:rFonts w:ascii="Times New Roman" w:hAnsi="Times New Roman"/>
          <w:b/>
          <w:bCs/>
        </w:rPr>
        <w:t xml:space="preserve"> asks for a justification for treat</w:t>
      </w:r>
      <w:r w:rsidRPr="00C70B0E">
        <w:rPr>
          <w:rFonts w:ascii="Times New Roman" w:hAnsi="Times New Roman"/>
          <w:b/>
          <w:bCs/>
        </w:rPr>
        <w:t xml:space="preserve">ing </w:t>
      </w:r>
      <w:r w:rsidRPr="00C70B0E">
        <w:rPr>
          <w:rFonts w:ascii="Times New Roman" w:hAnsi="Times New Roman"/>
          <w:b/>
          <w:bCs/>
        </w:rPr>
        <w:t xml:space="preserve">bodily integrity </w:t>
      </w:r>
      <w:r w:rsidRPr="00C70B0E">
        <w:rPr>
          <w:rFonts w:ascii="Times New Roman" w:hAnsi="Times New Roman"/>
          <w:b/>
          <w:bCs/>
        </w:rPr>
        <w:t>a</w:t>
      </w:r>
      <w:r w:rsidRPr="00C70B0E">
        <w:rPr>
          <w:rFonts w:ascii="Times New Roman" w:hAnsi="Times New Roman"/>
          <w:b/>
          <w:bCs/>
        </w:rPr>
        <w:t xml:space="preserve">s distinctively important </w:t>
      </w:r>
      <w:r w:rsidRPr="00C70B0E">
        <w:rPr>
          <w:rFonts w:ascii="Times New Roman" w:hAnsi="Times New Roman"/>
          <w:b/>
          <w:bCs/>
        </w:rPr>
        <w:t>relative to these other interests</w:t>
      </w:r>
      <w:r w:rsidRPr="00C70B0E">
        <w:rPr>
          <w:rFonts w:ascii="Times New Roman" w:hAnsi="Times New Roman"/>
          <w:b/>
          <w:bCs/>
        </w:rPr>
        <w:t>.</w:t>
      </w:r>
    </w:p>
    <w:p w:rsidR="007412D5" w:rsidRPr="00C70B0E" w:rsidP="007412D5">
      <w:pPr>
        <w:pStyle w:val="Heading2"/>
        <w:rPr>
          <w:rFonts w:ascii="Times New Roman" w:hAnsi="Times New Roman"/>
        </w:rPr>
      </w:pPr>
      <w:r w:rsidRPr="00C70B0E">
        <w:rPr>
          <w:rFonts w:ascii="Times New Roman" w:hAnsi="Times New Roman"/>
        </w:rPr>
        <w:t xml:space="preserve">The </w:t>
      </w:r>
      <w:r w:rsidRPr="00C70B0E">
        <w:rPr>
          <w:rFonts w:ascii="Times New Roman" w:hAnsi="Times New Roman"/>
          <w:i/>
          <w:iCs/>
        </w:rPr>
        <w:t>mental health parity argument</w:t>
      </w:r>
    </w:p>
    <w:p w:rsidR="008D43EE" w:rsidRPr="00C70B0E" w:rsidP="007412D5">
      <w:pPr>
        <w:pStyle w:val="Body"/>
        <w:rPr>
          <w:rFonts w:ascii="Times New Roman" w:hAnsi="Times New Roman"/>
        </w:rPr>
      </w:pPr>
      <w:r w:rsidRPr="00C70B0E">
        <w:rPr>
          <w:rFonts w:ascii="Times New Roman" w:hAnsi="Times New Roman"/>
        </w:rPr>
        <w:t xml:space="preserve">In response to </w:t>
      </w:r>
      <w:r w:rsidRPr="00C70B0E">
        <w:rPr>
          <w:rFonts w:ascii="Times New Roman" w:hAnsi="Times New Roman"/>
        </w:rPr>
        <w:t xml:space="preserve">the </w:t>
      </w:r>
      <w:r w:rsidRPr="00C70B0E">
        <w:rPr>
          <w:rFonts w:ascii="Times New Roman" w:hAnsi="Times New Roman"/>
          <w:i/>
          <w:iCs/>
        </w:rPr>
        <w:t xml:space="preserve">lockdown </w:t>
      </w:r>
      <w:r w:rsidRPr="00C70B0E">
        <w:rPr>
          <w:rFonts w:ascii="Times New Roman" w:hAnsi="Times New Roman"/>
          <w:i/>
          <w:iCs/>
        </w:rPr>
        <w:t>parity argument</w:t>
      </w:r>
      <w:r w:rsidRPr="00C70B0E">
        <w:rPr>
          <w:rFonts w:ascii="Times New Roman" w:hAnsi="Times New Roman"/>
        </w:rPr>
        <w:t xml:space="preserve"> above, it might be objected that there is indeed something distinctive about bodily or physical integrity. The idea h</w:t>
      </w:r>
      <w:r w:rsidRPr="00C70B0E">
        <w:rPr>
          <w:rFonts w:ascii="Times New Roman" w:hAnsi="Times New Roman"/>
        </w:rPr>
        <w:t xml:space="preserve">ere </w:t>
      </w:r>
      <w:r w:rsidRPr="00C70B0E">
        <w:rPr>
          <w:rFonts w:ascii="Times New Roman" w:hAnsi="Times New Roman"/>
        </w:rPr>
        <w:t>is</w:t>
      </w:r>
      <w:r w:rsidRPr="00C70B0E">
        <w:rPr>
          <w:rFonts w:ascii="Times New Roman" w:hAnsi="Times New Roman"/>
        </w:rPr>
        <w:t xml:space="preserve"> that we cannot in fact compare interference with bodily integrity with interference with other liberties, or that interference with bodily integrity is always worse than interference with other liberties. Our </w:t>
      </w:r>
      <w:r w:rsidRPr="00C70B0E">
        <w:rPr>
          <w:rFonts w:ascii="Times New Roman" w:hAnsi="Times New Roman"/>
          <w:i/>
          <w:iCs/>
        </w:rPr>
        <w:t xml:space="preserve">mental health </w:t>
      </w:r>
      <w:r w:rsidRPr="00C70B0E">
        <w:rPr>
          <w:rFonts w:ascii="Times New Roman" w:hAnsi="Times New Roman"/>
          <w:i/>
          <w:iCs/>
        </w:rPr>
        <w:t>parity argument</w:t>
      </w:r>
      <w:r w:rsidRPr="00C70B0E">
        <w:rPr>
          <w:rFonts w:ascii="Times New Roman" w:hAnsi="Times New Roman"/>
        </w:rPr>
        <w:t xml:space="preserve"> addresses </w:t>
      </w:r>
      <w:r w:rsidRPr="00C70B0E">
        <w:rPr>
          <w:rFonts w:ascii="Times New Roman" w:hAnsi="Times New Roman"/>
        </w:rPr>
        <w:t>this objection</w:t>
      </w:r>
      <w:r w:rsidRPr="00C70B0E">
        <w:rPr>
          <w:rFonts w:ascii="Times New Roman" w:hAnsi="Times New Roman"/>
        </w:rPr>
        <w:t xml:space="preserve"> by reference to mental health law, which permits compulsory interference with bodily integrity.</w:t>
      </w:r>
    </w:p>
    <w:p w:rsidR="00634C50" w:rsidRPr="00C70B0E" w:rsidP="00634C50">
      <w:pPr>
        <w:pStyle w:val="Body"/>
        <w:rPr>
          <w:rFonts w:ascii="Times New Roman" w:hAnsi="Times New Roman"/>
        </w:rPr>
      </w:pPr>
      <w:r w:rsidRPr="00C70B0E">
        <w:rPr>
          <w:rFonts w:ascii="Times New Roman" w:hAnsi="Times New Roman"/>
        </w:rPr>
        <w:t xml:space="preserve">The criteria for detention under section 3 of the Mental Health Act 1983 </w:t>
      </w:r>
      <w:r w:rsidRPr="00C70B0E">
        <w:rPr>
          <w:rFonts w:ascii="Times New Roman" w:hAnsi="Times New Roman"/>
        </w:rPr>
        <w:t xml:space="preserve">require </w:t>
      </w:r>
      <w:r w:rsidRPr="00C70B0E">
        <w:rPr>
          <w:rFonts w:ascii="Times New Roman" w:hAnsi="Times New Roman"/>
        </w:rPr>
        <w:t xml:space="preserve">that </w:t>
      </w:r>
      <w:r w:rsidRPr="00C70B0E">
        <w:rPr>
          <w:rFonts w:ascii="Times New Roman" w:hAnsi="Times New Roman"/>
        </w:rPr>
        <w:t xml:space="preserve">appropriate </w:t>
      </w:r>
      <w:r w:rsidRPr="00C70B0E">
        <w:rPr>
          <w:rFonts w:ascii="Times New Roman" w:hAnsi="Times New Roman"/>
        </w:rPr>
        <w:t xml:space="preserve">treatment for </w:t>
      </w:r>
      <w:r w:rsidRPr="00C70B0E">
        <w:rPr>
          <w:rFonts w:ascii="Times New Roman" w:hAnsi="Times New Roman"/>
        </w:rPr>
        <w:t xml:space="preserve">the person’s </w:t>
      </w:r>
      <w:r w:rsidRPr="00C70B0E">
        <w:rPr>
          <w:rFonts w:ascii="Times New Roman" w:hAnsi="Times New Roman"/>
        </w:rPr>
        <w:t>mental disorder is a</w:t>
      </w:r>
      <w:r w:rsidRPr="00C70B0E">
        <w:rPr>
          <w:rFonts w:ascii="Times New Roman" w:hAnsi="Times New Roman"/>
        </w:rPr>
        <w:t xml:space="preserve">vailable and that it is not possible to provide treatment without detention. </w:t>
      </w:r>
      <w:r w:rsidRPr="00C70B0E">
        <w:rPr>
          <w:rFonts w:ascii="Times New Roman" w:hAnsi="Times New Roman"/>
        </w:rPr>
        <w:t>It is clear that the</w:t>
      </w:r>
      <w:r w:rsidRPr="00C70B0E">
        <w:rPr>
          <w:rFonts w:ascii="Times New Roman" w:hAnsi="Times New Roman"/>
        </w:rPr>
        <w:t xml:space="preserve"> objective of section 3 of the Mental Health Act 1983 is not merely to detain individuals </w:t>
      </w:r>
      <w:r w:rsidRPr="00C70B0E">
        <w:rPr>
          <w:rFonts w:ascii="Times New Roman" w:hAnsi="Times New Roman"/>
        </w:rPr>
        <w:t xml:space="preserve">with mental disorder </w:t>
      </w:r>
      <w:r w:rsidRPr="00C70B0E">
        <w:rPr>
          <w:rFonts w:ascii="Times New Roman" w:hAnsi="Times New Roman"/>
        </w:rPr>
        <w:t xml:space="preserve">for their own protection or the protection of others, but also to </w:t>
      </w:r>
      <w:r w:rsidRPr="00C70B0E">
        <w:rPr>
          <w:rFonts w:ascii="Times New Roman" w:hAnsi="Times New Roman"/>
        </w:rPr>
        <w:t>administer</w:t>
      </w:r>
      <w:r w:rsidRPr="00C70B0E">
        <w:rPr>
          <w:rFonts w:ascii="Times New Roman" w:hAnsi="Times New Roman"/>
        </w:rPr>
        <w:t xml:space="preserve"> treatment for these purposes. Section 63 of the Mental Health Act 1983 permits treatment without consent to persons detained under the Act, even if they possess decision-making ca</w:t>
      </w:r>
      <w:r w:rsidRPr="00C70B0E">
        <w:rPr>
          <w:rFonts w:ascii="Times New Roman" w:hAnsi="Times New Roman"/>
        </w:rPr>
        <w:t>pacity.</w:t>
      </w:r>
    </w:p>
    <w:p w:rsidR="00C0416E" w:rsidRPr="00C70B0E" w:rsidP="00C0416E">
      <w:pPr>
        <w:pStyle w:val="Body"/>
        <w:rPr>
          <w:rFonts w:ascii="Times New Roman" w:hAnsi="Times New Roman"/>
        </w:rPr>
      </w:pPr>
      <w:r w:rsidRPr="00C70B0E">
        <w:rPr>
          <w:rFonts w:ascii="Times New Roman" w:hAnsi="Times New Roman"/>
        </w:rPr>
        <w:t>Mental health law provides an example where the law permits—exceptionally—</w:t>
      </w:r>
      <w:r w:rsidRPr="00C70B0E">
        <w:rPr>
          <w:rFonts w:ascii="Times New Roman" w:hAnsi="Times New Roman"/>
        </w:rPr>
        <w:t xml:space="preserve">compulsory </w:t>
      </w:r>
      <w:r w:rsidRPr="00C70B0E">
        <w:rPr>
          <w:rFonts w:ascii="Times New Roman" w:hAnsi="Times New Roman"/>
        </w:rPr>
        <w:t>interference with a person’s bodily integrity for the</w:t>
      </w:r>
      <w:r w:rsidRPr="00C70B0E">
        <w:rPr>
          <w:rFonts w:ascii="Times New Roman" w:hAnsi="Times New Roman"/>
        </w:rPr>
        <w:t>ir own</w:t>
      </w:r>
      <w:r w:rsidRPr="00C70B0E">
        <w:rPr>
          <w:rFonts w:ascii="Times New Roman" w:hAnsi="Times New Roman"/>
        </w:rPr>
        <w:t xml:space="preserve"> protection and </w:t>
      </w:r>
      <w:r w:rsidRPr="00C70B0E">
        <w:rPr>
          <w:rFonts w:ascii="Times New Roman" w:hAnsi="Times New Roman"/>
        </w:rPr>
        <w:t xml:space="preserve">that </w:t>
      </w:r>
      <w:r w:rsidRPr="00C70B0E">
        <w:rPr>
          <w:rFonts w:ascii="Times New Roman" w:hAnsi="Times New Roman"/>
        </w:rPr>
        <w:t>of others when the nature and degree of their circumstances gives warrant. The case</w:t>
      </w:r>
      <w:r w:rsidRPr="00C70B0E">
        <w:rPr>
          <w:rFonts w:ascii="Times New Roman" w:hAnsi="Times New Roman"/>
        </w:rPr>
        <w:t xml:space="preserve"> law establishes that compulsory treatment in this context may be compatible with articles 3 and 8 ECHR.</w:t>
      </w:r>
      <w:r>
        <w:rPr>
          <w:rStyle w:val="FootnoteReference"/>
          <w:rFonts w:ascii="Times New Roman" w:hAnsi="Times New Roman"/>
        </w:rPr>
        <w:footnoteReference w:id="29"/>
      </w:r>
    </w:p>
    <w:p w:rsidR="008D43EE" w:rsidRPr="00C70B0E" w:rsidP="00983949">
      <w:pPr>
        <w:pStyle w:val="Body"/>
        <w:rPr>
          <w:rFonts w:ascii="Times New Roman" w:hAnsi="Times New Roman"/>
        </w:rPr>
      </w:pPr>
      <w:r w:rsidRPr="00C70B0E">
        <w:rPr>
          <w:rFonts w:ascii="Times New Roman" w:hAnsi="Times New Roman"/>
        </w:rPr>
        <w:t>We can argue by analogy from the compatibility with the ECHR of compulsory treatment in mental health law to the human rights law compliance of compul</w:t>
      </w:r>
      <w:r w:rsidRPr="00C70B0E">
        <w:rPr>
          <w:rFonts w:ascii="Times New Roman" w:hAnsi="Times New Roman"/>
        </w:rPr>
        <w:t xml:space="preserve">sory vaccination. </w:t>
      </w:r>
      <w:r w:rsidRPr="00C70B0E">
        <w:rPr>
          <w:rFonts w:ascii="Times New Roman" w:hAnsi="Times New Roman"/>
        </w:rPr>
        <w:t xml:space="preserve">In the context of highly infectious disease, every person is at risk of infection and a potential threat to the life and health of others—a person’s default state is of a nature and degree to warrant immunisation. </w:t>
      </w:r>
      <w:r w:rsidRPr="00C70B0E">
        <w:rPr>
          <w:rFonts w:ascii="Times New Roman" w:hAnsi="Times New Roman"/>
        </w:rPr>
        <w:t>Vaccination protects the</w:t>
      </w:r>
      <w:r w:rsidRPr="00C70B0E">
        <w:rPr>
          <w:rFonts w:ascii="Times New Roman" w:hAnsi="Times New Roman"/>
        </w:rPr>
        <w:t xml:space="preserve"> individual from possible serious harms. Vaccination also contributes to the protection of the community </w:t>
      </w:r>
      <w:r w:rsidRPr="00C70B0E">
        <w:rPr>
          <w:rFonts w:ascii="Times New Roman" w:hAnsi="Times New Roman"/>
        </w:rPr>
        <w:t xml:space="preserve">generally </w:t>
      </w:r>
      <w:r w:rsidRPr="00C70B0E">
        <w:rPr>
          <w:rFonts w:ascii="Times New Roman" w:hAnsi="Times New Roman"/>
        </w:rPr>
        <w:t>and the protection of</w:t>
      </w:r>
      <w:r w:rsidRPr="00C70B0E">
        <w:rPr>
          <w:rFonts w:ascii="Times New Roman" w:hAnsi="Times New Roman"/>
        </w:rPr>
        <w:t xml:space="preserve"> its vulnerable members specifically.</w:t>
      </w:r>
      <w:r>
        <w:rPr>
          <w:rStyle w:val="FootnoteReference"/>
          <w:rFonts w:ascii="Times New Roman" w:hAnsi="Times New Roman"/>
        </w:rPr>
        <w:footnoteReference w:id="30"/>
      </w:r>
      <w:r w:rsidRPr="00C70B0E">
        <w:rPr>
          <w:rFonts w:ascii="Times New Roman" w:hAnsi="Times New Roman"/>
        </w:rPr>
        <w:t xml:space="preserve"> </w:t>
      </w:r>
      <w:r w:rsidRPr="00C70B0E">
        <w:rPr>
          <w:rFonts w:ascii="Times New Roman" w:hAnsi="Times New Roman"/>
        </w:rPr>
        <w:t>G</w:t>
      </w:r>
      <w:r w:rsidRPr="00C70B0E">
        <w:rPr>
          <w:rFonts w:ascii="Times New Roman" w:hAnsi="Times New Roman"/>
        </w:rPr>
        <w:t xml:space="preserve">iven vaccine hesitancy, </w:t>
      </w:r>
      <w:r w:rsidRPr="00C70B0E">
        <w:rPr>
          <w:rFonts w:ascii="Times New Roman" w:hAnsi="Times New Roman"/>
        </w:rPr>
        <w:t>it may be necessary to compel vaccination</w:t>
      </w:r>
      <w:r w:rsidRPr="00C70B0E">
        <w:rPr>
          <w:rFonts w:ascii="Times New Roman" w:hAnsi="Times New Roman"/>
        </w:rPr>
        <w:t xml:space="preserve"> in order to ac</w:t>
      </w:r>
      <w:r w:rsidRPr="00C70B0E">
        <w:rPr>
          <w:rFonts w:ascii="Times New Roman" w:hAnsi="Times New Roman"/>
        </w:rPr>
        <w:t>hieve herd immunity.</w:t>
      </w:r>
      <w:r w:rsidRPr="00C70B0E">
        <w:rPr>
          <w:rFonts w:ascii="Times New Roman" w:hAnsi="Times New Roman"/>
        </w:rPr>
        <w:t xml:space="preserve"> The justifications for compulsory vaccination map onto the criteria for detention and treatment contained in the Mental Health Act 1983.</w:t>
      </w:r>
    </w:p>
    <w:p w:rsidR="00C70B0E" w:rsidP="00983949">
      <w:pPr>
        <w:pStyle w:val="Body"/>
        <w:rPr>
          <w:rFonts w:ascii="Times New Roman" w:hAnsi="Times New Roman"/>
          <w:b/>
          <w:bCs/>
        </w:rPr>
      </w:pPr>
      <w:r w:rsidRPr="00C70B0E">
        <w:rPr>
          <w:rFonts w:ascii="Times New Roman" w:hAnsi="Times New Roman"/>
          <w:b/>
          <w:bCs/>
        </w:rPr>
        <w:t>The law permits compulsory interference with bodily integrity under mental health law. This deroga</w:t>
      </w:r>
      <w:r w:rsidRPr="00C70B0E">
        <w:rPr>
          <w:rFonts w:ascii="Times New Roman" w:hAnsi="Times New Roman"/>
          <w:b/>
          <w:bCs/>
        </w:rPr>
        <w:t xml:space="preserve">tion from the common law principle of </w:t>
      </w:r>
      <w:r w:rsidRPr="00C70B0E">
        <w:rPr>
          <w:rFonts w:ascii="Times New Roman" w:hAnsi="Times New Roman"/>
          <w:b/>
          <w:bCs/>
          <w:i/>
          <w:iCs/>
        </w:rPr>
        <w:t>no treatment without consent</w:t>
      </w:r>
      <w:r w:rsidRPr="00C70B0E">
        <w:rPr>
          <w:rFonts w:ascii="Times New Roman" w:hAnsi="Times New Roman"/>
          <w:b/>
          <w:bCs/>
        </w:rPr>
        <w:t xml:space="preserve"> is compatible with the ECHR. It is arguable that if compulsory treatment under mental health law is compatible with human rights law, so too is compulsory vaccination. Importantly, </w:t>
      </w:r>
      <w:r w:rsidRPr="00C70B0E">
        <w:rPr>
          <w:rFonts w:ascii="Times New Roman" w:hAnsi="Times New Roman"/>
          <w:b/>
          <w:bCs/>
        </w:rPr>
        <w:t>the same</w:t>
      </w:r>
      <w:r w:rsidRPr="00C70B0E">
        <w:rPr>
          <w:rFonts w:ascii="Times New Roman" w:hAnsi="Times New Roman"/>
          <w:b/>
          <w:bCs/>
        </w:rPr>
        <w:t xml:space="preserve"> protected interest—that in bodily integrity—is at stake in the two contexts </w:t>
      </w:r>
      <w:r w:rsidRPr="00C70B0E">
        <w:rPr>
          <w:rFonts w:ascii="Times New Roman" w:hAnsi="Times New Roman"/>
          <w:b/>
          <w:bCs/>
        </w:rPr>
        <w:t xml:space="preserve">the </w:t>
      </w:r>
      <w:r w:rsidRPr="00C70B0E">
        <w:rPr>
          <w:rFonts w:ascii="Times New Roman" w:hAnsi="Times New Roman"/>
          <w:b/>
          <w:bCs/>
          <w:i/>
          <w:iCs/>
        </w:rPr>
        <w:t xml:space="preserve">mental health </w:t>
      </w:r>
      <w:r w:rsidRPr="00C70B0E">
        <w:rPr>
          <w:rFonts w:ascii="Times New Roman" w:hAnsi="Times New Roman"/>
          <w:b/>
          <w:bCs/>
          <w:i/>
          <w:iCs/>
        </w:rPr>
        <w:t>parity argument</w:t>
      </w:r>
      <w:r w:rsidRPr="00C70B0E">
        <w:rPr>
          <w:rFonts w:ascii="Times New Roman" w:hAnsi="Times New Roman"/>
          <w:b/>
          <w:bCs/>
        </w:rPr>
        <w:t xml:space="preserve"> </w:t>
      </w:r>
      <w:r w:rsidRPr="00C70B0E">
        <w:rPr>
          <w:rFonts w:ascii="Times New Roman" w:hAnsi="Times New Roman"/>
          <w:b/>
          <w:bCs/>
        </w:rPr>
        <w:t>compares</w:t>
      </w:r>
      <w:r w:rsidRPr="00C70B0E">
        <w:rPr>
          <w:rFonts w:ascii="Times New Roman" w:hAnsi="Times New Roman"/>
          <w:b/>
          <w:bCs/>
        </w:rPr>
        <w:t>.</w:t>
      </w:r>
    </w:p>
    <w:p w:rsidR="00C70B0E" w:rsidRPr="00C70B0E" w:rsidP="00983949">
      <w:pPr>
        <w:pStyle w:val="Body"/>
        <w:rPr>
          <w:rFonts w:ascii="Times New Roman" w:hAnsi="Times New Roman"/>
          <w:i/>
          <w:iCs/>
        </w:rPr>
      </w:pPr>
      <w:r w:rsidRPr="00C70B0E">
        <w:rPr>
          <w:rFonts w:ascii="Times New Roman" w:hAnsi="Times New Roman"/>
          <w:i/>
          <w:iCs/>
        </w:rPr>
        <w:t>22/07/2020</w:t>
      </w:r>
      <w:bookmarkStart w:id="1" w:name="_GoBack"/>
      <w:bookmarkEnd w:id="1"/>
    </w:p>
    <w:sectPr w:rsidSect="00C70B0E">
      <w:headerReference w:type="default" r:id="rId5"/>
      <w:pgSz w:w="11906" w:h="16838"/>
      <w:pgMar w:top="1701" w:right="1701" w:bottom="1350" w:left="1701"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678D1" w:rsidP="00142EB6">
      <w:r>
        <w:separator/>
      </w:r>
    </w:p>
  </w:footnote>
  <w:footnote w:type="continuationSeparator" w:id="1">
    <w:p w:rsidR="004678D1" w:rsidP="00142EB6">
      <w:r>
        <w:continuationSeparator/>
      </w:r>
    </w:p>
  </w:footnote>
  <w:footnote w:id="2">
    <w:p w:rsidR="00D57580" w:rsidRPr="00E60474">
      <w:pPr>
        <w:pStyle w:val="FootnoteText"/>
        <w:rPr>
          <w:sz w:val="20"/>
        </w:rPr>
      </w:pPr>
      <w:r w:rsidRPr="00E60474">
        <w:rPr>
          <w:sz w:val="20"/>
        </w:rPr>
        <w:t>*University of Oxford; ** University of York.</w:t>
      </w:r>
    </w:p>
    <w:p w:rsidR="006A3BA7" w:rsidRPr="00E60474">
      <w:pPr>
        <w:pStyle w:val="FootnoteText"/>
        <w:rPr>
          <w:sz w:val="20"/>
        </w:rPr>
      </w:pPr>
      <w:r w:rsidRPr="00E60474">
        <w:rPr>
          <w:rStyle w:val="FootnoteReference"/>
          <w:sz w:val="20"/>
        </w:rPr>
        <w:footnoteRef/>
      </w:r>
      <w:r w:rsidRPr="00E60474">
        <w:rPr>
          <w:sz w:val="20"/>
        </w:rPr>
        <w:t xml:space="preserve"> We note that there is disagreement about what compulsion means and as to whether different kinds of non-voluntary vaccination schemes are in fact compulsory schemes. This is in part a theoretical disagreement, and in part a practical one to do with the na</w:t>
      </w:r>
      <w:r w:rsidRPr="00E60474">
        <w:rPr>
          <w:sz w:val="20"/>
        </w:rPr>
        <w:t xml:space="preserve">ture of state sanctions that back any scheme. See </w:t>
      </w:r>
      <w:r w:rsidRPr="00E60474">
        <w:rPr>
          <w:sz w:val="20"/>
        </w:rPr>
        <w:fldChar w:fldCharType="begin"/>
      </w:r>
      <w:r w:rsidRPr="00E60474">
        <w:rPr>
          <w:sz w:val="20"/>
        </w:rPr>
        <w:instrText xml:space="preserve"> ADDIN EN.CITE &lt;EndNote&gt;&lt;Cite&gt;&lt;Author&gt;Cave&lt;/Author&gt;&lt;Year&gt;2017&lt;/Year&gt;&lt;RecNum&gt;4731&lt;/RecNum&gt;&lt;DisplayText&gt;Emma Cave, ‘Voluntary vaccination: the pandemic effect’ (2017) 37(2) LS 279-304&lt;/DisplayText&gt;&lt;record&gt;&lt;re</w:instrText>
      </w:r>
      <w:r w:rsidRPr="00E60474">
        <w:rPr>
          <w:sz w:val="20"/>
        </w:rPr>
        <w:instrText>c-number&gt;4731&lt;/rec-number&gt;&lt;foreign-keys&gt;&lt;key app="EN" db-id="29e2pr0ebtzaxkedz5b5aefxftsede200wps" timestamp="1594993001"&gt;4731&lt;/key&gt;&lt;/foreign-keys&gt;&lt;ref-type name="Journal Article"&gt;17&lt;/ref-type&gt;&lt;contributors&gt;&lt;authors&gt;&lt;author&gt;Cave, Emma&lt;/author&gt;&lt;/authors&gt;&lt;/c</w:instrText>
      </w:r>
      <w:r w:rsidRPr="00E60474">
        <w:rPr>
          <w:sz w:val="20"/>
        </w:rPr>
        <w:instrText>ontributors&gt;&lt;auth-address&gt;Durham University.&lt;/auth-address&gt;&lt;titles&gt;&lt;title&gt;Voluntary vaccination: the pandemic effect&lt;/title&gt;&lt;secondary-title&gt;Legal Studies&lt;/secondary-title&gt;&lt;/titles&gt;&lt;periodical&gt;&lt;full-title&gt;Legal Studies&lt;/full-title&gt;&lt;abbr-1&gt;LS&lt;/abbr-1&gt;&lt;/peri</w:instrText>
      </w:r>
      <w:r w:rsidRPr="00E60474">
        <w:rPr>
          <w:sz w:val="20"/>
        </w:rPr>
        <w:instrText>odical&gt;&lt;pages&gt;279-304&lt;/pages&gt;&lt;volume&gt;37&lt;/volume&gt;&lt;number&gt;2&lt;/number&gt;&lt;edition&gt;2017/06/01&lt;/edition&gt;&lt;dates&gt;&lt;year&gt;2017&lt;/year&gt;&lt;pub-dates&gt;&lt;date&gt;Jun&lt;/date&gt;&lt;/pub-dates&gt;&lt;/dates&gt;&lt;pub-location&gt;2017&lt;/pub-location&gt;&lt;isbn&gt;0261-3875 (Print)&amp;#xD;0261-3875 (Linking)&lt;/isbn&gt;&lt;ac</w:instrText>
      </w:r>
      <w:r w:rsidRPr="00E60474">
        <w:rPr>
          <w:sz w:val="20"/>
        </w:rPr>
        <w:instrText>cession-num&gt;32336855&lt;/accession-num&gt;&lt;urls&gt;&lt;related-urls&gt;&lt;url&gt;https://www.ncbi.nlm.nih.gov/pubmed/32336855&lt;/url&gt;&lt;/related-urls&gt;&lt;/urls&gt;&lt;custom2&gt;PMC7165755&lt;/custom2&gt;&lt;electronic-resource-num&gt;10.1111/lest.12144&lt;/electronic-resource-num&gt;&lt;/record&gt;&lt;/Cite&gt;&lt;/EndNote</w:instrText>
      </w:r>
      <w:r w:rsidRPr="00E60474">
        <w:rPr>
          <w:sz w:val="20"/>
        </w:rPr>
        <w:instrText>&gt;</w:instrText>
      </w:r>
      <w:r w:rsidRPr="00E60474">
        <w:rPr>
          <w:sz w:val="20"/>
        </w:rPr>
        <w:fldChar w:fldCharType="separate"/>
      </w:r>
      <w:r w:rsidRPr="00E60474">
        <w:rPr>
          <w:noProof/>
          <w:sz w:val="20"/>
        </w:rPr>
        <w:t>Emma Cave, ‘Voluntary vaccination: the pandemic effect’ (2017) 37(2) LS 279-304</w:t>
      </w:r>
      <w:r w:rsidRPr="00E60474">
        <w:rPr>
          <w:sz w:val="20"/>
        </w:rPr>
        <w:fldChar w:fldCharType="end"/>
      </w:r>
      <w:r w:rsidRPr="00E60474">
        <w:rPr>
          <w:sz w:val="20"/>
        </w:rPr>
        <w:t>. In this submission, we take a coarse-grained or bird’s eye view of the issue, that is, we will not engage here with the detail of specific policy schema for compulsory vac</w:t>
      </w:r>
      <w:r w:rsidRPr="00E60474">
        <w:rPr>
          <w:sz w:val="20"/>
        </w:rPr>
        <w:t>cination.</w:t>
      </w:r>
    </w:p>
  </w:footnote>
  <w:footnote w:id="3">
    <w:p w:rsidR="006A3BA7" w:rsidRPr="00E60474" w:rsidP="00B94D57">
      <w:pPr>
        <w:pStyle w:val="FootnoteText"/>
        <w:rPr>
          <w:sz w:val="20"/>
        </w:rPr>
      </w:pPr>
      <w:r w:rsidRPr="00E60474">
        <w:rPr>
          <w:rStyle w:val="FootnoteReference"/>
          <w:sz w:val="20"/>
        </w:rPr>
        <w:footnoteRef/>
      </w:r>
      <w:r w:rsidRPr="00E60474">
        <w:rPr>
          <w:sz w:val="20"/>
        </w:rPr>
        <w:t xml:space="preserve"> Much of our argument is applicable, </w:t>
      </w:r>
      <w:r w:rsidRPr="00E60474">
        <w:rPr>
          <w:i/>
          <w:iCs/>
          <w:sz w:val="20"/>
        </w:rPr>
        <w:t>mutatis mutandis</w:t>
      </w:r>
      <w:r w:rsidRPr="00E60474">
        <w:rPr>
          <w:sz w:val="20"/>
        </w:rPr>
        <w:t xml:space="preserve">, to </w:t>
      </w:r>
      <w:r w:rsidRPr="00E60474">
        <w:rPr>
          <w:sz w:val="20"/>
        </w:rPr>
        <w:t>Covid-19</w:t>
      </w:r>
      <w:r w:rsidRPr="00E60474">
        <w:rPr>
          <w:sz w:val="20"/>
        </w:rPr>
        <w:t xml:space="preserve"> prophylactic treatment. For clarity and brevity, we focus on vaccination.</w:t>
      </w:r>
    </w:p>
  </w:footnote>
  <w:footnote w:id="4">
    <w:p w:rsidR="008B62D0" w:rsidRPr="00E60474">
      <w:pPr>
        <w:pStyle w:val="FootnoteText"/>
        <w:rPr>
          <w:sz w:val="20"/>
        </w:rPr>
      </w:pPr>
      <w:r w:rsidRPr="00E60474">
        <w:rPr>
          <w:rStyle w:val="FootnoteReference"/>
          <w:sz w:val="20"/>
        </w:rPr>
        <w:footnoteRef/>
      </w:r>
      <w:r w:rsidRPr="00E60474">
        <w:rPr>
          <w:sz w:val="20"/>
        </w:rPr>
        <w:t xml:space="preserve"> The UK Government has purchased 190m doses of three vaccine candidates, either on risk or in principle</w:t>
      </w:r>
      <w:r w:rsidRPr="00E60474">
        <w:rPr>
          <w:sz w:val="20"/>
        </w:rPr>
        <w:t xml:space="preserve">: </w:t>
      </w:r>
      <w:r w:rsidRPr="00E60474">
        <w:rPr>
          <w:sz w:val="20"/>
        </w:rPr>
        <w:fldChar w:fldCharType="begin"/>
      </w:r>
      <w:r w:rsidRPr="00E60474">
        <w:rPr>
          <w:sz w:val="20"/>
        </w:rPr>
        <w:instrText xml:space="preserve"> ADDIN EN.CITE &lt;EndNote&gt;&lt;Cite&gt;&lt;Author&gt;Bosely&lt;/Author&gt;&lt;Year&gt;2020&lt;/Year&gt;&lt;RecNum&gt;4738&lt;/RecNum&gt;&lt;DisplayText&gt;Sarah Bosely, ‘UK secures deals for 90m doses of coronavirus vaccine’ &lt;style face="italic"&gt;The Guardian&lt;/style&gt; (20 July 2020) &lt;style face="underline"</w:instrText>
      </w:r>
      <w:r w:rsidRPr="00E60474">
        <w:rPr>
          <w:sz w:val="20"/>
        </w:rPr>
        <w:instrText>&gt;https://www.theguardian.com/world/2020/jul/20/uk-deals-doses-coronavirus-vaccine&lt;/style&gt; accessed 20/07/20&lt;/DisplayText&gt;&lt;record&gt;&lt;rec-number&gt;4738&lt;/rec-number&gt;&lt;foreign-keys&gt;&lt;key app="EN" db-id="29e2pr0ebtzaxkedz5b5aefxftsede200wps" timestamp="1595238533"&gt;47</w:instrText>
      </w:r>
      <w:r w:rsidRPr="00E60474">
        <w:rPr>
          <w:sz w:val="20"/>
        </w:rPr>
        <w:instrText>38&lt;/key&gt;&lt;/foreign-keys&gt;&lt;ref-type name="Newspaper Article"&gt;23&lt;/ref-type&gt;&lt;contributors&gt;&lt;authors&gt;&lt;author&gt;Bosely, Sarah&lt;/author&gt;&lt;/authors&gt;&lt;/contributors&gt;&lt;titles&gt;&lt;title&gt;UK secures deals for 90m doses of coronavirus vaccine&lt;/title&gt;&lt;secondary-title&gt;The Guardian&lt;/</w:instrText>
      </w:r>
      <w:r w:rsidRPr="00E60474">
        <w:rPr>
          <w:sz w:val="20"/>
        </w:rPr>
        <w:instrText>secondary-title&gt;&lt;/titles&gt;&lt;dates&gt;&lt;year&gt;2020&lt;/year&gt;&lt;pub-dates&gt;&lt;date&gt;20 July 2020&lt;/date&gt;&lt;/pub-dates&gt;&lt;/dates&gt;&lt;urls&gt;&lt;related-urls&gt;&lt;url&gt;https://www.theguardian.com/world/2020/jul/20/uk-deals-doses-coronavirus-vaccine&lt;/url&gt;&lt;/related-urls&gt;&lt;/urls&gt;&lt;access-date&gt;20/07</w:instrText>
      </w:r>
      <w:r w:rsidRPr="00E60474">
        <w:rPr>
          <w:sz w:val="20"/>
        </w:rPr>
        <w:instrText>/20&lt;/access-date&gt;&lt;/record&gt;&lt;/Cite&gt;&lt;/EndNote&gt;</w:instrText>
      </w:r>
      <w:r w:rsidRPr="00E60474">
        <w:rPr>
          <w:sz w:val="20"/>
        </w:rPr>
        <w:fldChar w:fldCharType="separate"/>
      </w:r>
      <w:r w:rsidRPr="00E60474">
        <w:rPr>
          <w:noProof/>
          <w:sz w:val="20"/>
        </w:rPr>
        <w:t xml:space="preserve">Sarah Bosely, ‘UK secures deals for 90m doses of coronavirus vaccine’ </w:t>
      </w:r>
      <w:r w:rsidRPr="00E60474">
        <w:rPr>
          <w:i/>
          <w:noProof/>
          <w:sz w:val="20"/>
        </w:rPr>
        <w:t>The Guardian</w:t>
      </w:r>
      <w:r w:rsidRPr="00E60474">
        <w:rPr>
          <w:noProof/>
          <w:sz w:val="20"/>
        </w:rPr>
        <w:t xml:space="preserve"> (20 July 2020) </w:t>
      </w:r>
      <w:r w:rsidRPr="00E60474">
        <w:rPr>
          <w:noProof/>
          <w:sz w:val="20"/>
          <w:u w:val="single"/>
        </w:rPr>
        <w:t>https://www.theguardian.com/world/2020/jul/20/uk-deals-doses-coronavirus-vaccine</w:t>
      </w:r>
      <w:r w:rsidRPr="00E60474">
        <w:rPr>
          <w:noProof/>
          <w:sz w:val="20"/>
        </w:rPr>
        <w:t xml:space="preserve"> accessed 20/07/20</w:t>
      </w:r>
      <w:r w:rsidRPr="00E60474">
        <w:rPr>
          <w:sz w:val="20"/>
        </w:rPr>
        <w:fldChar w:fldCharType="end"/>
      </w:r>
      <w:r w:rsidRPr="00E60474">
        <w:rPr>
          <w:sz w:val="20"/>
        </w:rPr>
        <w:t>.</w:t>
      </w:r>
    </w:p>
  </w:footnote>
  <w:footnote w:id="5">
    <w:p w:rsidR="00DC21BC" w:rsidRPr="00E60474" w:rsidP="00DC21BC">
      <w:pPr>
        <w:pStyle w:val="FootnoteText"/>
        <w:rPr>
          <w:sz w:val="20"/>
        </w:rPr>
      </w:pPr>
      <w:r w:rsidRPr="00E60474">
        <w:rPr>
          <w:rStyle w:val="FootnoteReference"/>
          <w:sz w:val="20"/>
        </w:rPr>
        <w:footnoteRef/>
      </w:r>
      <w:r w:rsidRPr="00E60474">
        <w:rPr>
          <w:sz w:val="20"/>
        </w:rPr>
        <w:t xml:space="preserve"> By sufficient we mean a level of vaccination in the population that achieves herd immunity.</w:t>
      </w:r>
    </w:p>
  </w:footnote>
  <w:footnote w:id="6">
    <w:p w:rsidR="00DC21BC" w:rsidRPr="00E60474" w:rsidP="00DC21BC">
      <w:pPr>
        <w:pStyle w:val="FootnoteText"/>
        <w:rPr>
          <w:sz w:val="20"/>
        </w:rPr>
      </w:pPr>
      <w:r w:rsidRPr="00E60474">
        <w:rPr>
          <w:rStyle w:val="FootnoteReference"/>
          <w:sz w:val="20"/>
        </w:rPr>
        <w:footnoteRef/>
      </w:r>
      <w:r w:rsidRPr="00E60474">
        <w:rPr>
          <w:sz w:val="20"/>
        </w:rPr>
        <w:t xml:space="preserve"> World Health Organization, ‘Ten threats to global health in 2019’ (2019) </w:t>
      </w:r>
      <w:r>
        <w:fldChar w:fldCharType="begin"/>
      </w:r>
      <w:r>
        <w:instrText xml:space="preserve"> HYPERLINK "https://www.who.int/news-room/feature-stories/ten-threats-to-global-health-in-2019" </w:instrText>
      </w:r>
      <w:r>
        <w:fldChar w:fldCharType="separate"/>
      </w:r>
      <w:r w:rsidRPr="00E60474">
        <w:rPr>
          <w:rStyle w:val="Hyperlink"/>
          <w:color w:val="auto"/>
          <w:sz w:val="20"/>
        </w:rPr>
        <w:t>https://www.who.int/news-room/feature-stories/ten-threats-to-global-health-in-2019</w:t>
      </w:r>
      <w:r>
        <w:fldChar w:fldCharType="end"/>
      </w:r>
      <w:r w:rsidRPr="00E60474">
        <w:rPr>
          <w:sz w:val="20"/>
        </w:rPr>
        <w:t xml:space="preserve"> accessed 20/07/17. See also Nuffield Council on Bioethics, ‘The rise of vaccine hesitancy’ (2019) </w:t>
      </w:r>
      <w:r>
        <w:fldChar w:fldCharType="begin"/>
      </w:r>
      <w:r>
        <w:instrText xml:space="preserve"> HYPERLINK "https://www.nuffieldbioethics.org/blog/the-rise-of-vaccine-hesitancy" </w:instrText>
      </w:r>
      <w:r>
        <w:fldChar w:fldCharType="separate"/>
      </w:r>
      <w:r w:rsidRPr="00E60474">
        <w:rPr>
          <w:rStyle w:val="Hyperlink"/>
          <w:color w:val="auto"/>
          <w:sz w:val="20"/>
        </w:rPr>
        <w:t>https://www.nuffieldbioethics.org/blog/the-rise-of-vaccine-hesitancy</w:t>
      </w:r>
      <w:r>
        <w:fldChar w:fldCharType="end"/>
      </w:r>
      <w:r w:rsidRPr="00E60474">
        <w:rPr>
          <w:sz w:val="20"/>
        </w:rPr>
        <w:t xml:space="preserve"> accessed 20/07/17.</w:t>
      </w:r>
    </w:p>
  </w:footnote>
  <w:footnote w:id="7">
    <w:p w:rsidR="00DC21BC" w:rsidRPr="00E60474" w:rsidP="00DC21BC">
      <w:pPr>
        <w:pStyle w:val="FootnoteText"/>
        <w:rPr>
          <w:sz w:val="20"/>
        </w:rPr>
      </w:pPr>
      <w:r w:rsidRPr="00E60474">
        <w:rPr>
          <w:rStyle w:val="FootnoteReference"/>
          <w:sz w:val="20"/>
        </w:rPr>
        <w:footnoteRef/>
      </w:r>
      <w:r w:rsidRPr="00E60474">
        <w:rPr>
          <w:sz w:val="20"/>
        </w:rPr>
        <w:t xml:space="preserve"> eg Among BAME communities, older people, people with pre-existing medical conditions, socio-economically disadvantaged people etc.</w:t>
      </w:r>
    </w:p>
  </w:footnote>
  <w:footnote w:id="8">
    <w:p w:rsidR="00DC21BC" w:rsidRPr="00E60474">
      <w:pPr>
        <w:pStyle w:val="FootnoteText"/>
        <w:rPr>
          <w:sz w:val="20"/>
        </w:rPr>
      </w:pPr>
      <w:r w:rsidRPr="00E60474">
        <w:rPr>
          <w:rStyle w:val="FootnoteReference"/>
          <w:sz w:val="20"/>
        </w:rPr>
        <w:footnoteRef/>
      </w:r>
      <w:r w:rsidRPr="00E60474">
        <w:rPr>
          <w:sz w:val="20"/>
        </w:rPr>
        <w:t xml:space="preserve"> The requirem</w:t>
      </w:r>
      <w:r w:rsidRPr="00E60474">
        <w:rPr>
          <w:sz w:val="20"/>
        </w:rPr>
        <w:t>ent to vaccinate need not be exceptionless. For example, it should include exclusions for individuals in whom vaccination is likely to be unsafe or ineffective. In order to minimise restriction</w:t>
      </w:r>
      <w:r w:rsidRPr="00E60474">
        <w:rPr>
          <w:sz w:val="20"/>
        </w:rPr>
        <w:t>s</w:t>
      </w:r>
      <w:r w:rsidRPr="00E60474">
        <w:rPr>
          <w:sz w:val="20"/>
        </w:rPr>
        <w:t xml:space="preserve"> on liberty, it </w:t>
      </w:r>
      <w:r w:rsidRPr="00E60474">
        <w:rPr>
          <w:sz w:val="20"/>
        </w:rPr>
        <w:t>might</w:t>
      </w:r>
      <w:r w:rsidRPr="00E60474">
        <w:rPr>
          <w:sz w:val="20"/>
        </w:rPr>
        <w:t xml:space="preserve"> also include an exclusion for individuals who are willing to lower their infectio</w:t>
      </w:r>
      <w:r w:rsidRPr="00E60474">
        <w:rPr>
          <w:sz w:val="20"/>
        </w:rPr>
        <w:t>n and transmission</w:t>
      </w:r>
      <w:r w:rsidRPr="00E60474">
        <w:rPr>
          <w:sz w:val="20"/>
        </w:rPr>
        <w:t xml:space="preserve"> risk through other means, for example, through submitting to </w:t>
      </w:r>
      <w:r w:rsidRPr="00E60474">
        <w:rPr>
          <w:sz w:val="20"/>
        </w:rPr>
        <w:t>‘lockdown’ and other mitigation measures</w:t>
      </w:r>
      <w:r w:rsidRPr="00E60474">
        <w:rPr>
          <w:sz w:val="20"/>
        </w:rPr>
        <w:t>.</w:t>
      </w:r>
      <w:r w:rsidRPr="00E60474">
        <w:rPr>
          <w:sz w:val="20"/>
        </w:rPr>
        <w:t xml:space="preserve"> The thought here is that </w:t>
      </w:r>
      <w:r w:rsidRPr="00E60474">
        <w:rPr>
          <w:sz w:val="20"/>
        </w:rPr>
        <w:t xml:space="preserve">for any one individual, </w:t>
      </w:r>
      <w:r w:rsidRPr="00E60474">
        <w:rPr>
          <w:sz w:val="20"/>
        </w:rPr>
        <w:t>eit</w:t>
      </w:r>
      <w:r w:rsidRPr="00E60474">
        <w:rPr>
          <w:sz w:val="20"/>
        </w:rPr>
        <w:t xml:space="preserve">her compulsory vaccination or other restrictions on liberty </w:t>
      </w:r>
      <w:r w:rsidRPr="00E60474">
        <w:rPr>
          <w:sz w:val="20"/>
        </w:rPr>
        <w:t>may</w:t>
      </w:r>
      <w:r w:rsidRPr="00E60474">
        <w:rPr>
          <w:sz w:val="20"/>
        </w:rPr>
        <w:t xml:space="preserve"> be consistent with human rights law, but not both</w:t>
      </w:r>
      <w:r w:rsidRPr="00E60474">
        <w:rPr>
          <w:sz w:val="20"/>
        </w:rPr>
        <w:t>, that is,</w:t>
      </w:r>
      <w:r w:rsidRPr="00E60474">
        <w:rPr>
          <w:sz w:val="20"/>
        </w:rPr>
        <w:t xml:space="preserve"> should an individual opt for restrictions on liberty, it </w:t>
      </w:r>
      <w:r w:rsidRPr="00E60474">
        <w:rPr>
          <w:sz w:val="20"/>
        </w:rPr>
        <w:t xml:space="preserve">may be </w:t>
      </w:r>
      <w:r w:rsidRPr="00E60474">
        <w:rPr>
          <w:sz w:val="20"/>
        </w:rPr>
        <w:t xml:space="preserve">hard to justify compulsory vaccination: see </w:t>
      </w:r>
      <w:r w:rsidRPr="00E60474">
        <w:rPr>
          <w:sz w:val="20"/>
        </w:rPr>
        <w:fldChar w:fldCharType="begin"/>
      </w:r>
      <w:r w:rsidRPr="00E60474">
        <w:rPr>
          <w:sz w:val="20"/>
        </w:rPr>
        <w:instrText xml:space="preserve"> ADDIN EN.CITE &lt;EndNote&gt;</w:instrText>
      </w:r>
      <w:r w:rsidRPr="00E60474">
        <w:rPr>
          <w:sz w:val="20"/>
        </w:rPr>
        <w:instrText>&lt;Cite&gt;&lt;Author&gt;Black&lt;/Author&gt;&lt;Year&gt;2018&lt;/Year&gt;&lt;RecNum&gt;2838&lt;/RecNum&gt;&lt;DisplayText&gt;Isra Black, ‘Refusing Life-Prolonging Medical Treatment and the ECHR’ (2018) 38(2) Oxford Journal of Legal Studies 299-327&lt;/DisplayText&gt;&lt;record&gt;&lt;rec-number&gt;2838&lt;/rec-number&gt;&lt;for</w:instrText>
      </w:r>
      <w:r w:rsidRPr="00E60474">
        <w:rPr>
          <w:sz w:val="20"/>
        </w:rPr>
        <w:instrText>eign-keys&gt;&lt;key app="EN" db-id="29e2pr0ebtzaxkedz5b5aefxftsede200wps" timestamp="1535130116"&gt;2838&lt;/key&gt;&lt;/foreign-keys&gt;&lt;ref-type name="Journal Article"&gt;17&lt;/ref-type&gt;&lt;contributors&gt;&lt;authors&gt;&lt;author&gt;Black, Isra&lt;/author&gt;&lt;/authors&gt;&lt;/contributors&gt;&lt;titles&gt;&lt;title&gt;Re</w:instrText>
      </w:r>
      <w:r w:rsidRPr="00E60474">
        <w:rPr>
          <w:sz w:val="20"/>
        </w:rPr>
        <w:instrText>fusing Life-Prolonging Medical Treatment and the ECHR&lt;/title&gt;&lt;secondary-title&gt;Oxford Journal of Legal Studies&lt;/secondary-title&gt;&lt;/titles&gt;&lt;periodical&gt;&lt;full-title&gt;Oxford Journal of Legal Studies&lt;/full-title&gt;&lt;/periodical&gt;&lt;pages&gt;299-327&lt;/pages&gt;&lt;volume&gt;38&lt;/volum</w:instrText>
      </w:r>
      <w:r w:rsidRPr="00E60474">
        <w:rPr>
          <w:sz w:val="20"/>
        </w:rPr>
        <w:instrText>e&gt;&lt;number&gt;2&lt;/number&gt;&lt;dates&gt;&lt;year&gt;2018&lt;/year&gt;&lt;/dates&gt;&lt;pub-location&gt;2018&lt;/pub-location&gt;&lt;isbn&gt;0143-6503&lt;/isbn&gt;&lt;urls&gt;&lt;related-urls&gt;&lt;url&gt;http://dx.doi.org/10.1093/ojls/gqy009&lt;/url&gt;&lt;url&gt;https://watermark.silverchair.com/gqy009.pdf?token=AQECAHi208BE49Ooan9kkhW_E</w:instrText>
      </w:r>
      <w:r w:rsidRPr="00E60474">
        <w:rPr>
          <w:sz w:val="20"/>
        </w:rPr>
        <w:instrText>rcy7Dm3ZL_9Cf3qfKAc485ysgAAAkwwggJIBgkqhkiG9w0BBwagggI5MIICNQIBADCCAi4GCSqGSIb3DQEHATAeBglghkgBZQMEAS4wEQQMKWYG1r6DN60fxi-2AgEQgIIB_5rcCQgRiSvPBt3PRkB4FFtAMERxA1IKPNu6PPD5drYl0aDs7XNBeJ-uMgn1T-sPXdYNxcY9qWCtHzAbr3dkW86LHFsuKh3oqox084_K3XUApV6zwiKCwDaZ15JOu</w:instrText>
      </w:r>
      <w:r w:rsidRPr="00E60474">
        <w:rPr>
          <w:sz w:val="20"/>
        </w:rPr>
        <w:instrText>_FbxtWr51mVXpz2BFIXqGp36qM3A3UAKr_h-BVtueOW0nLv9LQSUK3sp5hKKyU3Ej_dwGv-oKp8steaMsVGqumkXsV4sQ4s8neMFdWHh53S18EWjEbffioXs0rKpnOozmSEfyn-C8wE_Ac7HwmD1qX0o68el6kP9Hp3p-rKI7CIzi8e36nAuxuCwTXKpwpZ5UkDQgcYQY-Ad6hiA9G5P2l8mD4kWNZXAaOt56qyb_RATfyAyYkIO3BIRPnVI0y46</w:instrText>
      </w:r>
      <w:r w:rsidRPr="00E60474">
        <w:rPr>
          <w:sz w:val="20"/>
        </w:rPr>
        <w:instrText>zgzB6yfgl5ZOxCsg1bRPZO_e-QI_u0qNLaIgFeAhOon2QvThhPwVUmYJkzWeMpUtK2gkbxyRmEZw8YtW85xHnzRRznJEPcUO1vdke6rEbhNKJQ0MHgGDDYfNR3ZVPUma6tgYsPTiI8gbX8sIrF5xVsrX_vNoxtfk66hRtwtDZyqwbTyHI6Fiz_ls5HdYFQWRNlu-noNUcKoDiudpZBhmNvpyi4-M9HXH8RrVuDoccUc2ZvehX0LbB-0IubCjyG39</w:instrText>
      </w:r>
      <w:r w:rsidRPr="00E60474">
        <w:rPr>
          <w:sz w:val="20"/>
        </w:rPr>
        <w:instrText>c6c7NMKw7aPsUF4zxi8qYZL_1BtE25qEW_I8V0H44OIpyk&lt;/url&gt;&lt;/related-urls&gt;&lt;/urls&gt;&lt;electronic-resource-num&gt;10.1093/ojls/gqy009&lt;/electronic-resource-num&gt;&lt;/record&gt;&lt;/Cite&gt;&lt;/EndNote&gt;</w:instrText>
      </w:r>
      <w:r w:rsidRPr="00E60474">
        <w:rPr>
          <w:sz w:val="20"/>
        </w:rPr>
        <w:fldChar w:fldCharType="separate"/>
      </w:r>
      <w:r w:rsidRPr="00E60474">
        <w:rPr>
          <w:noProof/>
          <w:sz w:val="20"/>
        </w:rPr>
        <w:t>Isra Black, ‘Refusing Life-Prolonging Medical Treatment and the ECHR’ (2018) 38(2) Oxf</w:t>
      </w:r>
      <w:r w:rsidRPr="00E60474">
        <w:rPr>
          <w:noProof/>
          <w:sz w:val="20"/>
        </w:rPr>
        <w:t>ord Journal of Legal Studies 299-327</w:t>
      </w:r>
      <w:r w:rsidRPr="00E60474">
        <w:rPr>
          <w:sz w:val="20"/>
        </w:rPr>
        <w:fldChar w:fldCharType="end"/>
      </w:r>
      <w:r w:rsidRPr="00E60474">
        <w:rPr>
          <w:sz w:val="20"/>
        </w:rPr>
        <w:t>.</w:t>
      </w:r>
    </w:p>
  </w:footnote>
  <w:footnote w:id="9">
    <w:p w:rsidR="008239E6" w:rsidRPr="00E60474">
      <w:pPr>
        <w:pStyle w:val="FootnoteText"/>
        <w:rPr>
          <w:sz w:val="20"/>
        </w:rPr>
      </w:pPr>
      <w:r w:rsidRPr="00E60474">
        <w:rPr>
          <w:rStyle w:val="FootnoteReference"/>
          <w:sz w:val="20"/>
        </w:rPr>
        <w:footnoteRef/>
      </w:r>
      <w:r w:rsidRPr="00E60474">
        <w:rPr>
          <w:sz w:val="20"/>
        </w:rPr>
        <w:t xml:space="preserve"> Schedule 18 of the Coronavirus Act 2020 amends the Public Health Act (Northern Ireland) 1967, and Schedule 19 of the Coronavirus Act 2020 creates public health protection regulations </w:t>
      </w:r>
      <w:r w:rsidRPr="00E60474">
        <w:rPr>
          <w:i/>
          <w:iCs/>
          <w:sz w:val="20"/>
        </w:rPr>
        <w:t>de novo</w:t>
      </w:r>
      <w:r w:rsidRPr="00E60474">
        <w:rPr>
          <w:sz w:val="20"/>
        </w:rPr>
        <w:t>.</w:t>
      </w:r>
    </w:p>
  </w:footnote>
  <w:footnote w:id="10">
    <w:p w:rsidR="00FA7A38" w:rsidRPr="00E60474">
      <w:pPr>
        <w:pStyle w:val="FootnoteText"/>
        <w:rPr>
          <w:sz w:val="20"/>
        </w:rPr>
      </w:pPr>
      <w:r w:rsidRPr="00E60474">
        <w:rPr>
          <w:rStyle w:val="FootnoteReference"/>
          <w:sz w:val="20"/>
        </w:rPr>
        <w:footnoteRef/>
      </w:r>
      <w:r w:rsidRPr="00E60474">
        <w:rPr>
          <w:sz w:val="20"/>
        </w:rPr>
        <w:t xml:space="preserve"> PHA 1984, section 4</w:t>
      </w:r>
      <w:r w:rsidRPr="00E60474">
        <w:rPr>
          <w:sz w:val="20"/>
        </w:rPr>
        <w:t>5C(3)(c).</w:t>
      </w:r>
    </w:p>
  </w:footnote>
  <w:footnote w:id="11">
    <w:p w:rsidR="006A3BA7" w:rsidRPr="00E60474">
      <w:pPr>
        <w:pStyle w:val="FootnoteText"/>
        <w:rPr>
          <w:sz w:val="20"/>
        </w:rPr>
      </w:pPr>
      <w:r w:rsidRPr="00E60474">
        <w:rPr>
          <w:rStyle w:val="FootnoteReference"/>
          <w:sz w:val="20"/>
        </w:rPr>
        <w:footnoteRef/>
      </w:r>
      <w:r w:rsidRPr="00E60474">
        <w:rPr>
          <w:sz w:val="20"/>
        </w:rPr>
        <w:t xml:space="preserve"> See The Health Protection (Coronavirus, Restrictions) (England) Regulations 2020, The Health Protection (Coronavirus) (Restrictions) (Scotland) Regulations 2020, The Health Protection (Coronavirus Restrictions) (Wales) Regulations 2020, The Hea</w:t>
      </w:r>
      <w:r w:rsidRPr="00E60474">
        <w:rPr>
          <w:sz w:val="20"/>
        </w:rPr>
        <w:t>lth Protection (Coronavirus, Restrictions) Regulations (Northern Ireland) 2020. There have been successive iterations of these statutory instruments, as the relevant governments have eased lockdown restrictions.</w:t>
      </w:r>
    </w:p>
  </w:footnote>
  <w:footnote w:id="12">
    <w:p w:rsidR="008B62D0" w:rsidRPr="00E60474">
      <w:pPr>
        <w:pStyle w:val="FootnoteText"/>
        <w:rPr>
          <w:sz w:val="20"/>
        </w:rPr>
      </w:pPr>
      <w:r w:rsidRPr="00E60474">
        <w:rPr>
          <w:rStyle w:val="FootnoteReference"/>
          <w:sz w:val="20"/>
        </w:rPr>
        <w:footnoteRef/>
      </w:r>
      <w:r w:rsidRPr="00E60474">
        <w:rPr>
          <w:sz w:val="20"/>
        </w:rPr>
        <w:t xml:space="preserve"> The Health Protection (Coronavirus, Restri</w:t>
      </w:r>
      <w:r w:rsidRPr="00E60474">
        <w:rPr>
          <w:sz w:val="20"/>
        </w:rPr>
        <w:t>ctions) (England) Regulations 2020 (</w:t>
      </w:r>
      <w:r w:rsidRPr="00E60474">
        <w:rPr>
          <w:sz w:val="20"/>
        </w:rPr>
        <w:t>r</w:t>
      </w:r>
      <w:r w:rsidRPr="00E60474">
        <w:rPr>
          <w:sz w:val="20"/>
        </w:rPr>
        <w:t>evoked)</w:t>
      </w:r>
      <w:r w:rsidRPr="00E60474">
        <w:rPr>
          <w:sz w:val="20"/>
        </w:rPr>
        <w:t>, section 6.</w:t>
      </w:r>
    </w:p>
  </w:footnote>
  <w:footnote w:id="13">
    <w:p w:rsidR="00360F6F" w:rsidRPr="00E60474">
      <w:pPr>
        <w:pStyle w:val="FootnoteText"/>
        <w:rPr>
          <w:sz w:val="20"/>
        </w:rPr>
      </w:pPr>
      <w:r w:rsidRPr="00E60474">
        <w:rPr>
          <w:rStyle w:val="FootnoteReference"/>
          <w:sz w:val="20"/>
        </w:rPr>
        <w:footnoteRef/>
      </w:r>
      <w:r w:rsidRPr="00E60474">
        <w:rPr>
          <w:sz w:val="20"/>
        </w:rPr>
        <w:t xml:space="preserve"> The Health Protection (Coronavirus, Restrictions) (No. 2) (England) Regulations 2020, section 5; The Health Protection (Coronavirus, Restrictions) (England) Regulations 2020 (revoked), section 7.</w:t>
      </w:r>
    </w:p>
  </w:footnote>
  <w:footnote w:id="14">
    <w:p w:rsidR="00360F6F" w:rsidRPr="00E60474">
      <w:pPr>
        <w:pStyle w:val="FootnoteText"/>
        <w:rPr>
          <w:sz w:val="20"/>
        </w:rPr>
      </w:pPr>
      <w:r w:rsidRPr="00E60474">
        <w:rPr>
          <w:rStyle w:val="FootnoteReference"/>
          <w:sz w:val="20"/>
        </w:rPr>
        <w:footnoteRef/>
      </w:r>
      <w:r w:rsidRPr="00E60474">
        <w:rPr>
          <w:sz w:val="20"/>
        </w:rPr>
        <w:t xml:space="preserve"> The Health Protection (Coronavirus, Restrictions) (No. 2) (England) Regulations 2020, Schedule 2; The Health Protection (Coronavirus, Restrictions) (England) Regulations 2020 (revoked), Schedule 2.</w:t>
      </w:r>
    </w:p>
  </w:footnote>
  <w:footnote w:id="15">
    <w:p w:rsidR="006A3BA7" w:rsidRPr="00E60474">
      <w:pPr>
        <w:pStyle w:val="FootnoteText"/>
        <w:rPr>
          <w:sz w:val="20"/>
        </w:rPr>
      </w:pPr>
      <w:r w:rsidRPr="00E60474">
        <w:rPr>
          <w:rStyle w:val="FootnoteReference"/>
          <w:sz w:val="20"/>
        </w:rPr>
        <w:footnoteRef/>
      </w:r>
      <w:r w:rsidRPr="00E60474">
        <w:rPr>
          <w:sz w:val="20"/>
        </w:rPr>
        <w:t xml:space="preserve"> Coronavirus Act 2020, Schedule 18, section 25E (Norther</w:t>
      </w:r>
      <w:r w:rsidRPr="00E60474">
        <w:rPr>
          <w:sz w:val="20"/>
        </w:rPr>
        <w:t>n Ireland); Coronavirus Act 2020, Schedule 19, section 3 (Scotland). Note that the PHA 1984, section 45G(2)(a), the Coronavirus Act 2020, Schedule 18, section 25G(2)(a), the Coronavirus Act 2020, Schedule 19, section 4(2)(a) all include the requirement tha</w:t>
      </w:r>
      <w:r w:rsidRPr="00E60474">
        <w:rPr>
          <w:sz w:val="20"/>
        </w:rPr>
        <w:t>t a person submit to ‘medical examination’, which the PHA 1984, section 45T(3) and Coronavirus Act, Schedule 18, section 25Y(3) define as including ‘microbiological and toxicological tests’. The Coronavirus Act 2020, Schedule 19, does not define medical ex</w:t>
      </w:r>
      <w:r w:rsidRPr="00E60474">
        <w:rPr>
          <w:sz w:val="20"/>
        </w:rPr>
        <w:t>amination for the purposes of Scotland.</w:t>
      </w:r>
    </w:p>
  </w:footnote>
  <w:footnote w:id="16">
    <w:p w:rsidR="00995F39" w:rsidRPr="00E60474">
      <w:pPr>
        <w:pStyle w:val="FootnoteText"/>
        <w:rPr>
          <w:sz w:val="20"/>
        </w:rPr>
      </w:pPr>
      <w:r w:rsidRPr="00E60474">
        <w:rPr>
          <w:rStyle w:val="FootnoteReference"/>
          <w:sz w:val="20"/>
        </w:rPr>
        <w:footnoteRef/>
      </w:r>
      <w:r w:rsidRPr="00E60474">
        <w:rPr>
          <w:sz w:val="20"/>
        </w:rPr>
        <w:t xml:space="preserve"> Emphasis added.</w:t>
      </w:r>
    </w:p>
  </w:footnote>
  <w:footnote w:id="17">
    <w:p w:rsidR="006A3BA7" w:rsidRPr="00E60474">
      <w:pPr>
        <w:pStyle w:val="FootnoteText"/>
        <w:rPr>
          <w:sz w:val="20"/>
        </w:rPr>
      </w:pPr>
      <w:r w:rsidRPr="00E60474">
        <w:rPr>
          <w:rStyle w:val="FootnoteReference"/>
          <w:sz w:val="20"/>
        </w:rPr>
        <w:footnoteRef/>
      </w:r>
      <w:r w:rsidRPr="00E60474">
        <w:rPr>
          <w:sz w:val="20"/>
        </w:rPr>
        <w:t xml:space="preserve"> Mental Health Act 1983, sections 57, 58, 58A.</w:t>
      </w:r>
    </w:p>
  </w:footnote>
  <w:footnote w:id="18">
    <w:p w:rsidR="006A3BA7" w:rsidRPr="00E60474">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 ExcludeAuth="1"&gt;&lt;Year&gt;2002&lt;/Year&gt;&lt;RecNum&gt;1114&lt;/RecNum&gt;&lt;DisplayText&gt;&lt;style face="italic"&gt;Ms B v An NHS Hospital Trust &lt;/style&gt;[2002] EWHC 429 (Fam)&lt;/DisplayText&gt;&lt;record&gt;&lt;rec-number&gt;1114&lt;/rec-number&gt;&lt;foreign-keys&gt;&lt;key app="EN" d</w:instrText>
      </w:r>
      <w:r w:rsidRPr="00E60474">
        <w:rPr>
          <w:sz w:val="20"/>
        </w:rPr>
        <w:instrText>b-id="29e2pr0ebtzaxkedz5b5aefxftsede200wps" timestamp="1469956993"&gt;1114&lt;/key&gt;&lt;/foreign-keys&gt;&lt;ref-type name="Case (inc all UK, ECJ and ECtHR cases)"&gt;7&lt;/ref-type&gt;&lt;contributors&gt;&lt;/contributors&gt;&lt;titles&gt;&lt;title&gt;Ms B v An NHS Hospital Trust&lt;/title&gt;&lt;secondary-title</w:instrText>
      </w:r>
      <w:r w:rsidRPr="00E60474">
        <w:rPr>
          <w:sz w:val="20"/>
        </w:rPr>
        <w:instrText>&gt;[2002] EWHC 429&lt;/secondary-title&gt;&lt;/titles&gt;&lt;dates&gt;&lt;year&gt;2002&lt;/year&gt;&lt;/dates&gt;&lt;publisher&gt;Fam&lt;/publisher&gt;&lt;urls&gt;&lt;/urls&gt;&lt;/record&gt;&lt;/Cite&gt;&lt;/EndNote&gt;</w:instrText>
      </w:r>
      <w:r w:rsidRPr="00E60474">
        <w:rPr>
          <w:sz w:val="20"/>
        </w:rPr>
        <w:fldChar w:fldCharType="separate"/>
      </w:r>
      <w:r w:rsidRPr="00E60474">
        <w:rPr>
          <w:i/>
          <w:noProof/>
          <w:sz w:val="20"/>
        </w:rPr>
        <w:t xml:space="preserve">Ms B v An NHS Hospital Trust </w:t>
      </w:r>
      <w:r w:rsidRPr="00E60474">
        <w:rPr>
          <w:noProof/>
          <w:sz w:val="20"/>
        </w:rPr>
        <w:t>[2002] EWHC 429 (Fam)</w:t>
      </w:r>
      <w:r w:rsidRPr="00E60474">
        <w:rPr>
          <w:sz w:val="20"/>
        </w:rPr>
        <w:fldChar w:fldCharType="end"/>
      </w:r>
      <w:r w:rsidRPr="00E60474">
        <w:rPr>
          <w:sz w:val="20"/>
        </w:rPr>
        <w:t xml:space="preserve">; </w:t>
      </w:r>
      <w:r w:rsidRPr="00E60474">
        <w:rPr>
          <w:sz w:val="20"/>
        </w:rPr>
        <w:fldChar w:fldCharType="begin"/>
      </w:r>
      <w:r w:rsidRPr="00E60474">
        <w:rPr>
          <w:sz w:val="20"/>
        </w:rPr>
        <w:instrText xml:space="preserve"> ADDIN EN.CITE &lt;EndNote&gt;&lt;Cite ExcludeAuth="1"&gt;&lt;Year&gt;2015&lt;/Yea</w:instrText>
      </w:r>
      <w:r w:rsidRPr="00E60474">
        <w:rPr>
          <w:sz w:val="20"/>
        </w:rPr>
        <w:instrText>r&gt;&lt;RecNum&gt;2277&lt;/RecNum&gt;&lt;DisplayText&gt;&lt;style face="italic"&gt;King&amp;apos;s College NHS Foundation Trust v C &lt;/style&gt;[2015] EWCOP 80&lt;/DisplayText&gt;&lt;record&gt;&lt;rec-number&gt;2277&lt;/rec-number&gt;&lt;foreign-keys&gt;&lt;key app="EN" db-id="29e2pr0ebtzaxkedz5b5aefxftsede200wps" timesta</w:instrText>
      </w:r>
      <w:r w:rsidRPr="00E60474">
        <w:rPr>
          <w:sz w:val="20"/>
        </w:rPr>
        <w:instrText>mp="1475004636"&gt;2277&lt;/key&gt;&lt;/foreign-keys&gt;&lt;ref-type name="Case (inc all UK, ECJ and ECtHR cases)"&gt;7&lt;/ref-type&gt;&lt;contributors&gt;&lt;/contributors&gt;&lt;titles&gt;&lt;title&gt;King&amp;apos;s College NHS Foundation Trust v C&lt;/title&gt;&lt;secondary-title&gt;[2015] EWCOP 80&lt;/secondary-title&gt;&lt;</w:instrText>
      </w:r>
      <w:r w:rsidRPr="00E60474">
        <w:rPr>
          <w:sz w:val="20"/>
        </w:rPr>
        <w:instrText>/titles&gt;&lt;dates&gt;&lt;year&gt;2015&lt;/year&gt;&lt;/dates&gt;&lt;urls&gt;&lt;/urls&gt;&lt;/record&gt;&lt;/Cite&gt;&lt;/EndNote&gt;</w:instrText>
      </w:r>
      <w:r w:rsidRPr="00E60474">
        <w:rPr>
          <w:sz w:val="20"/>
        </w:rPr>
        <w:fldChar w:fldCharType="separate"/>
      </w:r>
      <w:r w:rsidRPr="00E60474">
        <w:rPr>
          <w:i/>
          <w:noProof/>
          <w:sz w:val="20"/>
        </w:rPr>
        <w:t xml:space="preserve">King's College NHS Foundation Trust v C </w:t>
      </w:r>
      <w:r w:rsidRPr="00E60474">
        <w:rPr>
          <w:noProof/>
          <w:sz w:val="20"/>
        </w:rPr>
        <w:t>[2015] EWCOP 80</w:t>
      </w:r>
      <w:r w:rsidRPr="00E60474">
        <w:rPr>
          <w:sz w:val="20"/>
        </w:rPr>
        <w:fldChar w:fldCharType="end"/>
      </w:r>
      <w:r w:rsidRPr="00E60474">
        <w:rPr>
          <w:sz w:val="20"/>
        </w:rPr>
        <w:t>.</w:t>
      </w:r>
    </w:p>
  </w:footnote>
  <w:footnote w:id="19">
    <w:p w:rsidR="006A3BA7" w:rsidRPr="00E60474">
      <w:pPr>
        <w:pStyle w:val="FootnoteText"/>
        <w:rPr>
          <w:sz w:val="20"/>
        </w:rPr>
      </w:pPr>
      <w:r w:rsidRPr="00E60474">
        <w:rPr>
          <w:rStyle w:val="FootnoteReference"/>
          <w:sz w:val="20"/>
        </w:rPr>
        <w:footnoteRef/>
      </w:r>
      <w:r w:rsidRPr="00E60474">
        <w:rPr>
          <w:sz w:val="20"/>
        </w:rPr>
        <w:t xml:space="preserve"> See </w:t>
      </w:r>
      <w:r w:rsidRPr="00E60474">
        <w:rPr>
          <w:sz w:val="20"/>
        </w:rPr>
        <w:fldChar w:fldCharType="begin"/>
      </w:r>
      <w:r w:rsidRPr="00E60474">
        <w:rPr>
          <w:sz w:val="20"/>
        </w:rPr>
        <w:instrText xml:space="preserve"> ADDIN EN.CITE &lt;EndNote&gt;&lt;Cite&gt;&lt;Author&gt;Postan&lt;/Author&gt;&lt;Year&gt;2020&lt;/Year&gt;&lt;RecNum&gt;4740&lt;/RecNum&gt;&lt;Pages&gt;footnote 1&lt;/P</w:instrText>
      </w:r>
      <w:r w:rsidRPr="00E60474">
        <w:rPr>
          <w:sz w:val="20"/>
        </w:rPr>
        <w:instrText>ages&gt;&lt;DisplayText&gt;Emily Postan, ‘Written evidence from the Mason Institute for Medicine Life Sciences and the Law, the university of Edinburgh, School of Law (COV0115)’ (&lt;style face="italic"&gt;UK Parliament Joint Committee on Human Rights&lt;/style&gt;, 2020) foot</w:instrText>
      </w:r>
      <w:r w:rsidRPr="00E60474">
        <w:rPr>
          <w:sz w:val="20"/>
        </w:rPr>
        <w:instrText>note 1 &lt;style face="underline"&gt;https://committees.parliament.uk/writtenevidence/5569/html/&lt;/style&gt; accessed 20/07/22&lt;/DisplayText&gt;&lt;record&gt;&lt;rec-number&gt;4740&lt;/rec-number&gt;&lt;foreign-keys&gt;&lt;key app="EN" db-id="29e2pr0ebtzaxkedz5b5aefxftsede200wps" timestamp="15954</w:instrText>
      </w:r>
      <w:r w:rsidRPr="00E60474">
        <w:rPr>
          <w:sz w:val="20"/>
        </w:rPr>
        <w:instrText xml:space="preserve">13485"&gt;4740&lt;/key&gt;&lt;/foreign-keys&gt;&lt;ref-type name="Web Page, Blog"&gt;12&lt;/ref-type&gt;&lt;contributors&gt;&lt;authors&gt;&lt;author&gt;Postan, Emily&lt;/author&gt;&lt;/authors&gt;&lt;/contributors&gt;&lt;titles&gt;&lt;title&gt;Written evidence from the Mason Institute for Medicine Life Sciences and the Law, the </w:instrText>
      </w:r>
      <w:r w:rsidRPr="00E60474">
        <w:rPr>
          <w:sz w:val="20"/>
        </w:rPr>
        <w:instrText>university of Edinburgh, School of Law (COV0115)&lt;/title&gt;&lt;/titles&gt;&lt;number&gt;20/07/22&lt;/number&gt;&lt;dates&gt;&lt;year&gt;2020&lt;/year&gt;&lt;/dates&gt;&lt;publisher&gt;UK Parliament Joint Committee on Human Rights&lt;/publisher&gt;&lt;urls&gt;&lt;related-urls&gt;&lt;url&gt;https://committees.parliament.uk/writtene</w:instrText>
      </w:r>
      <w:r w:rsidRPr="00E60474">
        <w:rPr>
          <w:sz w:val="20"/>
        </w:rPr>
        <w:instrText>vidence/5569/html/&lt;/url&gt;&lt;/related-urls&gt;&lt;/urls&gt;&lt;/record&gt;&lt;/Cite&gt;&lt;/EndNote&gt;</w:instrText>
      </w:r>
      <w:r w:rsidRPr="00E60474">
        <w:rPr>
          <w:sz w:val="20"/>
        </w:rPr>
        <w:fldChar w:fldCharType="separate"/>
      </w:r>
      <w:r w:rsidRPr="00E60474">
        <w:rPr>
          <w:noProof/>
          <w:sz w:val="20"/>
        </w:rPr>
        <w:t>Emily Postan, ‘Written evidence from the Mason Institute for Medicine Life Sciences and the Law, the university of Edinburgh, School of Law (COV0115)’ (</w:t>
      </w:r>
      <w:r w:rsidRPr="00E60474">
        <w:rPr>
          <w:i/>
          <w:noProof/>
          <w:sz w:val="20"/>
        </w:rPr>
        <w:t>UK Parliament Joint Committee on</w:t>
      </w:r>
      <w:r w:rsidRPr="00E60474">
        <w:rPr>
          <w:i/>
          <w:noProof/>
          <w:sz w:val="20"/>
        </w:rPr>
        <w:t xml:space="preserve"> Human Rights</w:t>
      </w:r>
      <w:r w:rsidRPr="00E60474">
        <w:rPr>
          <w:noProof/>
          <w:sz w:val="20"/>
        </w:rPr>
        <w:t xml:space="preserve">, 2020) footnote 1 </w:t>
      </w:r>
      <w:r w:rsidRPr="00E60474">
        <w:rPr>
          <w:noProof/>
          <w:sz w:val="20"/>
          <w:u w:val="single"/>
        </w:rPr>
        <w:t>https://committees.parliament.uk/writtenevidence/5569/html/</w:t>
      </w:r>
      <w:r w:rsidRPr="00E60474">
        <w:rPr>
          <w:noProof/>
          <w:sz w:val="20"/>
        </w:rPr>
        <w:t xml:space="preserve"> accessed 20/07/22</w:t>
      </w:r>
      <w:r w:rsidRPr="00E60474">
        <w:rPr>
          <w:sz w:val="20"/>
        </w:rPr>
        <w:fldChar w:fldCharType="end"/>
      </w:r>
      <w:r w:rsidRPr="00E60474">
        <w:rPr>
          <w:sz w:val="20"/>
        </w:rPr>
        <w:t>.</w:t>
      </w:r>
    </w:p>
  </w:footnote>
  <w:footnote w:id="20">
    <w:p w:rsidR="00DC728A" w:rsidRPr="00E60474" w:rsidP="00DC728A">
      <w:pPr>
        <w:pStyle w:val="FootnoteText"/>
        <w:rPr>
          <w:sz w:val="20"/>
        </w:rPr>
      </w:pPr>
      <w:r w:rsidRPr="00E60474">
        <w:rPr>
          <w:rStyle w:val="FootnoteReference"/>
          <w:sz w:val="20"/>
        </w:rPr>
        <w:footnoteRef/>
      </w:r>
      <w:r w:rsidRPr="00E60474">
        <w:rPr>
          <w:sz w:val="20"/>
        </w:rPr>
        <w:t xml:space="preserve"> We doubt whether a compulsory vaccination scheme would attain the </w:t>
      </w:r>
      <w:r w:rsidRPr="00E60474">
        <w:rPr>
          <w:i/>
          <w:iCs/>
          <w:sz w:val="20"/>
        </w:rPr>
        <w:t>minimum level of severity</w:t>
      </w:r>
      <w:r w:rsidRPr="00E60474">
        <w:rPr>
          <w:sz w:val="20"/>
        </w:rPr>
        <w:t xml:space="preserve"> so as to engage the protection of article 3 ECHR</w:t>
      </w:r>
      <w:r w:rsidRPr="00E60474">
        <w:rPr>
          <w:sz w:val="20"/>
        </w:rPr>
        <w:t xml:space="preserve">, which prohibits torture or inhuman or degrading treatment or punishment: </w:t>
      </w:r>
      <w:r w:rsidRPr="00E60474">
        <w:rPr>
          <w:sz w:val="20"/>
        </w:rPr>
        <w:fldChar w:fldCharType="begin"/>
      </w:r>
      <w:r w:rsidRPr="00E60474">
        <w:rPr>
          <w:sz w:val="20"/>
        </w:rPr>
        <w:instrText xml:space="preserve"> ADDIN EN.CITE &lt;EndNote&gt;&lt;Cite ExcludeAuth="1"&gt;&lt;Year&gt;1978&lt;/Year&gt;&lt;RecNum&gt;4732&lt;/RecNum&gt;&lt;DisplayText&gt;&lt;style face="italic"&gt;Ireland v United Kingdom &lt;/style&gt;(1979-80) 2 EHRR 25 (ECtHR)&lt;/D</w:instrText>
      </w:r>
      <w:r w:rsidRPr="00E60474">
        <w:rPr>
          <w:sz w:val="20"/>
        </w:rPr>
        <w:instrText>isplayText&gt;&lt;record&gt;&lt;rec-number&gt;4732&lt;/rec-number&gt;&lt;foreign-keys&gt;&lt;key app="EN" db-id="29e2pr0ebtzaxkedz5b5aefxftsede200wps" timestamp="1594995573"&gt;4732&lt;/key&gt;&lt;/foreign-keys&gt;&lt;ref-type name="Case (inc all UK, ECJ and ECtHR cases)"&gt;7&lt;/ref-type&gt;&lt;contributors&gt;&lt;/con</w:instrText>
      </w:r>
      <w:r w:rsidRPr="00E60474">
        <w:rPr>
          <w:sz w:val="20"/>
        </w:rPr>
        <w:instrText>tributors&gt;&lt;titles&gt;&lt;title&gt;Ireland v United Kingdom&lt;/title&gt;&lt;secondary-title&gt;(1979-80) 2 EHRR 25&lt;/secondary-title&gt;&lt;/titles&gt;&lt;dates&gt;&lt;year&gt;1978&lt;/year&gt;&lt;/dates&gt;&lt;publisher&gt;ECtHR&lt;/publisher&gt;&lt;urls&gt;&lt;/urls&gt;&lt;/record&gt;&lt;/Cite&gt;&lt;/EndNote&gt;</w:instrText>
      </w:r>
      <w:r w:rsidRPr="00E60474">
        <w:rPr>
          <w:sz w:val="20"/>
        </w:rPr>
        <w:fldChar w:fldCharType="separate"/>
      </w:r>
      <w:r w:rsidRPr="00E60474">
        <w:rPr>
          <w:i/>
          <w:noProof/>
          <w:sz w:val="20"/>
        </w:rPr>
        <w:t xml:space="preserve">Ireland v United Kingdom </w:t>
      </w:r>
      <w:r w:rsidRPr="00E60474">
        <w:rPr>
          <w:noProof/>
          <w:sz w:val="20"/>
        </w:rPr>
        <w:t xml:space="preserve">(1979-80) 2 </w:t>
      </w:r>
      <w:r w:rsidRPr="00E60474">
        <w:rPr>
          <w:noProof/>
          <w:sz w:val="20"/>
        </w:rPr>
        <w:t>EHRR 25 (ECtHR)</w:t>
      </w:r>
      <w:r w:rsidRPr="00E60474">
        <w:rPr>
          <w:sz w:val="20"/>
        </w:rPr>
        <w:fldChar w:fldCharType="end"/>
      </w:r>
      <w:r w:rsidRPr="00E60474">
        <w:rPr>
          <w:sz w:val="20"/>
        </w:rPr>
        <w:t xml:space="preserve">; </w:t>
      </w:r>
      <w:r w:rsidRPr="00E60474">
        <w:rPr>
          <w:sz w:val="20"/>
        </w:rPr>
        <w:fldChar w:fldCharType="begin"/>
      </w:r>
      <w:r w:rsidRPr="00E60474">
        <w:rPr>
          <w:sz w:val="20"/>
        </w:rPr>
        <w:instrText xml:space="preserve"> ADDIN EN.CITE &lt;EndNote&gt;&lt;Cite ExcludeAuth="1"&gt;&lt;Year&gt;1969&lt;/Year&gt;&lt;RecNum&gt;4733&lt;/RecNum&gt;&lt;DisplayText&gt;&lt;style face="italic"&gt;The Greek Case &lt;/style&gt;(1969) 12 YB 1 (ECmHR)&lt;/DisplayText&gt;&lt;record&gt;&lt;rec-number&gt;4733&lt;/rec-number&gt;&lt;foreign-keys&gt;&lt;key app</w:instrText>
      </w:r>
      <w:r w:rsidRPr="00E60474">
        <w:rPr>
          <w:sz w:val="20"/>
        </w:rPr>
        <w:instrText>="EN" db-id="29e2pr0ebtzaxkedz5b5aefxftsede200wps" timestamp="1594996013"&gt;4733&lt;/key&gt;&lt;/foreign-keys&gt;&lt;ref-type name="Case (inc all UK, ECJ and ECtHR cases)"&gt;7&lt;/ref-type&gt;&lt;contributors&gt;&lt;/contributors&gt;&lt;titles&gt;&lt;title&gt;The Greek Case&lt;/title&gt;&lt;secondary-title&gt;(1969)</w:instrText>
      </w:r>
      <w:r w:rsidRPr="00E60474">
        <w:rPr>
          <w:sz w:val="20"/>
        </w:rPr>
        <w:instrText xml:space="preserve"> 12 YB 1&lt;/secondary-title&gt;&lt;/titles&gt;&lt;dates&gt;&lt;year&gt;1969&lt;/year&gt;&lt;/dates&gt;&lt;publisher&gt;ECmHR&lt;/publisher&gt;&lt;urls&gt;&lt;/urls&gt;&lt;/record&gt;&lt;/Cite&gt;&lt;/EndNote&gt;</w:instrText>
      </w:r>
      <w:r w:rsidRPr="00E60474">
        <w:rPr>
          <w:sz w:val="20"/>
        </w:rPr>
        <w:fldChar w:fldCharType="separate"/>
      </w:r>
      <w:r w:rsidRPr="00E60474">
        <w:rPr>
          <w:i/>
          <w:noProof/>
          <w:sz w:val="20"/>
        </w:rPr>
        <w:t xml:space="preserve">The Greek Case </w:t>
      </w:r>
      <w:r w:rsidRPr="00E60474">
        <w:rPr>
          <w:noProof/>
          <w:sz w:val="20"/>
        </w:rPr>
        <w:t>(1969) 12 YB 1 (ECmHR)</w:t>
      </w:r>
      <w:r w:rsidRPr="00E60474">
        <w:rPr>
          <w:sz w:val="20"/>
        </w:rPr>
        <w:fldChar w:fldCharType="end"/>
      </w:r>
      <w:r w:rsidRPr="00E60474">
        <w:rPr>
          <w:sz w:val="20"/>
        </w:rPr>
        <w:t>.</w:t>
      </w:r>
    </w:p>
  </w:footnote>
  <w:footnote w:id="21">
    <w:p w:rsidR="006A3BA7" w:rsidRPr="00E60474">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 ExcludeAuth="1"&gt;&lt;Year&gt;2002&lt;/Year&gt;&lt;RecNum&gt;1108&lt;/R</w:instrText>
      </w:r>
      <w:r w:rsidRPr="00E60474">
        <w:rPr>
          <w:sz w:val="20"/>
        </w:rPr>
        <w:instrText>ecNum&gt;&lt;DisplayText&gt;&lt;style face="italic"&gt;Pretty v United Kingdom &lt;/style&gt;(2002) 35 EHRR 1 (ECtHR)&lt;/DisplayText&gt;&lt;record&gt;&lt;rec-number&gt;1108&lt;/rec-number&gt;&lt;foreign-keys&gt;&lt;key app="EN" db-id="29e2pr0ebtzaxkedz5b5aefxftsede200wps" timestamp="1469956992"&gt;1108&lt;/key&gt;&lt;/f</w:instrText>
      </w:r>
      <w:r w:rsidRPr="00E60474">
        <w:rPr>
          <w:sz w:val="20"/>
        </w:rPr>
        <w:instrText>oreign-keys&gt;&lt;ref-type name="Case (inc all UK, ECJ and ECtHR cases)"&gt;7&lt;/ref-type&gt;&lt;contributors&gt;&lt;/contributors&gt;&lt;titles&gt;&lt;title&gt;Pretty v United Kingdom&lt;/title&gt;&lt;secondary-title&gt;(2002) 35 EHRR 1&lt;/secondary-title&gt;&lt;short-title&gt;Pretty v UK&lt;/short-title&gt;&lt;/titles&gt;&lt;da</w:instrText>
      </w:r>
      <w:r w:rsidRPr="00E60474">
        <w:rPr>
          <w:sz w:val="20"/>
        </w:rPr>
        <w:instrText>tes&gt;&lt;year&gt;2002&lt;/year&gt;&lt;/dates&gt;&lt;publisher&gt;ECtHR&lt;/publisher&gt;&lt;urls&gt;&lt;/urls&gt;&lt;/record&gt;&lt;/Cite&gt;&lt;/EndNote&gt;</w:instrText>
      </w:r>
      <w:r w:rsidRPr="00E60474">
        <w:rPr>
          <w:sz w:val="20"/>
        </w:rPr>
        <w:fldChar w:fldCharType="separate"/>
      </w:r>
      <w:r w:rsidRPr="00E60474">
        <w:rPr>
          <w:i/>
          <w:noProof/>
          <w:sz w:val="20"/>
        </w:rPr>
        <w:t xml:space="preserve">Pretty v United Kingdom </w:t>
      </w:r>
      <w:r w:rsidRPr="00E60474">
        <w:rPr>
          <w:noProof/>
          <w:sz w:val="20"/>
        </w:rPr>
        <w:t>(2002) 35 EHRR 1 (ECtHR)</w:t>
      </w:r>
      <w:r w:rsidRPr="00E60474">
        <w:rPr>
          <w:sz w:val="20"/>
        </w:rPr>
        <w:fldChar w:fldCharType="end"/>
      </w:r>
      <w:r w:rsidRPr="00E60474">
        <w:rPr>
          <w:sz w:val="20"/>
        </w:rPr>
        <w:t xml:space="preserve"> [63].</w:t>
      </w:r>
    </w:p>
  </w:footnote>
  <w:footnote w:id="22">
    <w:p w:rsidR="006A3BA7" w:rsidRPr="00E60474">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&lt;EndNote&gt;&lt;Cite&gt;&lt;Author&gt;King&lt;/Author&gt;&lt;Year&gt;2020&lt;/Year&gt;&lt;RecNum&gt;4734&lt;/RecNum&gt;&lt;DisplayTex</w:instrText>
      </w:r>
      <w:r w:rsidRPr="00E60474">
        <w:rPr>
          <w:sz w:val="20"/>
        </w:rPr>
        <w:instrText>t&gt;Jeff King, ‘The Lockdown is Lawful’ (&lt;style face="italic"&gt;UK Constitutional Law Association&lt;/style&gt;, 2020) &lt;style face="underline"&gt;https://ukconstitutionallaw.org/2020/04/01/jeff-king-the-lockdown-is-lawful/&lt;/style&gt; accessed 2020/07/17; Jeff King, ‘The L</w:instrText>
      </w:r>
      <w:r w:rsidRPr="00E60474">
        <w:rPr>
          <w:sz w:val="20"/>
        </w:rPr>
        <w:instrText>ockdown is Lawful: Part II’ (&lt;style face="italic"&gt;UK Constitutional Law Association&lt;/style&gt;, 2020) &lt;style face="underline"&gt;https://ukconstitutionallaw.org/2020/04/01/jeff-king-the-lockdown-is-lawful/&lt;/style&gt; accessed 2020/07/17&lt;/DisplayText&gt;&lt;record&gt;&lt;rec-nu</w:instrText>
      </w:r>
      <w:r w:rsidRPr="00E60474">
        <w:rPr>
          <w:sz w:val="20"/>
        </w:rPr>
        <w:instrText>mber&gt;4734&lt;/rec-number&gt;&lt;foreign-keys&gt;&lt;key app="EN" db-id="29e2pr0ebtzaxkedz5b5aefxftsede200wps" timestamp="1594997343"&gt;4734&lt;/key&gt;&lt;/foreign-keys&gt;&lt;ref-type name="Web Page, Blog"&gt;12&lt;/ref-type&gt;&lt;contributors&gt;&lt;authors&gt;&lt;author&gt;King, Jeff&lt;/author&gt;&lt;/authors&gt;&lt;/contri</w:instrText>
      </w:r>
      <w:r w:rsidRPr="00E60474">
        <w:rPr>
          <w:sz w:val="20"/>
        </w:rPr>
        <w:instrText>butors&gt;&lt;titles&gt;&lt;title&gt;The Lockdown is Lawful&lt;/title&gt;&lt;/titles&gt;&lt;number&gt;2020/07/17&lt;/number&gt;&lt;dates&gt;&lt;year&gt;2020&lt;/year&gt;&lt;/dates&gt;&lt;publisher&gt;UK Constitutional Law Association&lt;/publisher&gt;&lt;urls&gt;&lt;related-urls&gt;&lt;url&gt;https://ukconstitutionallaw.org/2020/04/01/jeff-king-th</w:instrText>
      </w:r>
      <w:r w:rsidRPr="00E60474">
        <w:rPr>
          <w:sz w:val="20"/>
        </w:rPr>
        <w:instrText>e-lockdown-is-lawful/&lt;/url&gt;&lt;/related-urls&gt;&lt;/urls&gt;&lt;/record&gt;&lt;/Cite&gt;&lt;Cite&gt;&lt;Author&gt;King&lt;/Author&gt;&lt;Year&gt;2020&lt;/Year&gt;&lt;RecNum&gt;4735&lt;/RecNum&gt;&lt;record&gt;&lt;rec-number&gt;4735&lt;/rec-number&gt;&lt;foreign-keys&gt;&lt;key app="EN" db-id="29e2pr0ebtzaxkedz5b5aefxftsede200wps" timestamp="15949</w:instrText>
      </w:r>
      <w:r w:rsidRPr="00E60474">
        <w:rPr>
          <w:sz w:val="20"/>
        </w:rPr>
        <w:instrText>97357"&gt;4735&lt;/key&gt;&lt;/foreign-keys&gt;&lt;ref-type name="Web Page, Blog"&gt;12&lt;/ref-type&gt;&lt;contributors&gt;&lt;authors&gt;&lt;author&gt;King, Jeff&lt;/author&gt;&lt;/authors&gt;&lt;/contributors&gt;&lt;titles&gt;&lt;title&gt;The Lockdown is Lawful: Part II&lt;/title&gt;&lt;/titles&gt;&lt;number&gt;2020/07/17&lt;/number&gt;&lt;dates&gt;&lt;year&gt;2</w:instrText>
      </w:r>
      <w:r w:rsidRPr="00E60474">
        <w:rPr>
          <w:sz w:val="20"/>
        </w:rPr>
        <w:instrText>020&lt;/year&gt;&lt;/dates&gt;&lt;publisher&gt;UK Constitutional Law Association&lt;/publisher&gt;&lt;urls&gt;&lt;related-urls&gt;&lt;url&gt;https://ukconstitutionallaw.org/2020/04/01/jeff-king-the-lockdown-is-lawful/&lt;/url&gt;&lt;/related-urls&gt;&lt;/urls&gt;&lt;/record&gt;&lt;/Cite&gt;&lt;/EndNote&gt;</w:instrText>
      </w:r>
      <w:r w:rsidRPr="00E60474">
        <w:rPr>
          <w:sz w:val="20"/>
        </w:rPr>
        <w:fldChar w:fldCharType="separate"/>
      </w:r>
      <w:r w:rsidRPr="00E60474">
        <w:rPr>
          <w:noProof/>
          <w:sz w:val="20"/>
        </w:rPr>
        <w:t>Jeff King, ‘The Lockdown is</w:t>
      </w:r>
      <w:r w:rsidRPr="00E60474">
        <w:rPr>
          <w:noProof/>
          <w:sz w:val="20"/>
        </w:rPr>
        <w:t xml:space="preserve"> Lawful’ (</w:t>
      </w:r>
      <w:r w:rsidRPr="00E60474">
        <w:rPr>
          <w:i/>
          <w:noProof/>
          <w:sz w:val="20"/>
        </w:rPr>
        <w:t>UK Constitutional Law Association</w:t>
      </w:r>
      <w:r w:rsidRPr="00E60474">
        <w:rPr>
          <w:noProof/>
          <w:sz w:val="20"/>
        </w:rPr>
        <w:t xml:space="preserve">, 2020) </w:t>
      </w:r>
      <w:r w:rsidRPr="00E60474">
        <w:rPr>
          <w:noProof/>
          <w:sz w:val="20"/>
          <w:u w:val="single"/>
        </w:rPr>
        <w:t>https://ukconstitutionallaw.org/2020/04/01/jeff-king-the-lockdown-is-lawful/</w:t>
      </w:r>
      <w:r w:rsidRPr="00E60474">
        <w:rPr>
          <w:noProof/>
          <w:sz w:val="20"/>
        </w:rPr>
        <w:t xml:space="preserve"> accessed 2020/07/17; Jeff King, ‘The Lockdown is Lawful: Part II’ (</w:t>
      </w:r>
      <w:r w:rsidRPr="00E60474">
        <w:rPr>
          <w:i/>
          <w:noProof/>
          <w:sz w:val="20"/>
        </w:rPr>
        <w:t>UK Constitutional Law Association</w:t>
      </w:r>
      <w:r w:rsidRPr="00E60474">
        <w:rPr>
          <w:noProof/>
          <w:sz w:val="20"/>
        </w:rPr>
        <w:t xml:space="preserve">, 2020) </w:t>
      </w:r>
      <w:r w:rsidRPr="00E60474">
        <w:rPr>
          <w:noProof/>
          <w:sz w:val="20"/>
          <w:u w:val="single"/>
        </w:rPr>
        <w:t>https://ukconstitutionallaw.org/2020/04/01/jeff-king-the-lockdown-is-lawful/</w:t>
      </w:r>
      <w:r w:rsidRPr="00E60474">
        <w:rPr>
          <w:noProof/>
          <w:sz w:val="20"/>
        </w:rPr>
        <w:t xml:space="preserve"> accessed 2020/07/17</w:t>
      </w:r>
      <w:r w:rsidRPr="00E60474">
        <w:rPr>
          <w:sz w:val="20"/>
        </w:rPr>
        <w:fldChar w:fldCharType="end"/>
      </w:r>
      <w:r w:rsidRPr="00E60474">
        <w:rPr>
          <w:sz w:val="20"/>
        </w:rPr>
        <w:t>.</w:t>
      </w:r>
    </w:p>
  </w:footnote>
  <w:footnote w:id="23">
    <w:p w:rsidR="006A3BA7" w:rsidRPr="00E60474">
      <w:pPr>
        <w:pStyle w:val="FootnoteText"/>
        <w:rPr>
          <w:sz w:val="20"/>
        </w:rPr>
      </w:pPr>
      <w:r w:rsidRPr="00E60474">
        <w:rPr>
          <w:rStyle w:val="FootnoteReference"/>
          <w:sz w:val="20"/>
        </w:rPr>
        <w:footnoteRef/>
      </w:r>
      <w:r w:rsidRPr="00E60474">
        <w:rPr>
          <w:sz w:val="20"/>
        </w:rPr>
        <w:t xml:space="preserve"> For a flavour of the academic debate, cf Jeff King (n </w:t>
      </w:r>
      <w:r w:rsidRPr="00E60474">
        <w:rPr>
          <w:sz w:val="20"/>
        </w:rPr>
        <w:t>2</w:t>
      </w:r>
      <w:r w:rsidRPr="00E60474">
        <w:rPr>
          <w:sz w:val="20"/>
        </w:rPr>
        <w:t>1</w:t>
      </w:r>
      <w:r w:rsidRPr="00E60474">
        <w:rPr>
          <w:sz w:val="20"/>
        </w:rPr>
        <w:t xml:space="preserve">) and </w:t>
      </w:r>
      <w:r w:rsidRPr="00E60474">
        <w:rPr>
          <w:sz w:val="20"/>
        </w:rPr>
        <w:fldChar w:fldCharType="begin"/>
      </w:r>
      <w:r w:rsidRPr="00E60474">
        <w:rPr>
          <w:sz w:val="20"/>
        </w:rPr>
        <w:instrText xml:space="preserve"> ADDIN EN.CITE &lt;EndNote&gt;&lt;Cite&gt;&lt;Author&gt;Greene&lt;/Author&gt;&lt;Year&gt;2020&lt;/Year&gt;&lt;RecNum&gt;4736&lt;/RecNum&gt;</w:instrText>
      </w:r>
      <w:r w:rsidRPr="00E60474">
        <w:rPr>
          <w:sz w:val="20"/>
        </w:rPr>
        <w:instrText>&lt;DisplayText&gt;Alan Greene, ‘States should declare a State of Emergency using Article 15 ECHR to confront the Coronavirus Pandemic’ (&lt;style face="italic"&gt;Strasbourg Observers&lt;/style&gt;, 2020) &lt;style face="underline"&gt;https://strasbourgobservers.com/2020/04/01/s</w:instrText>
      </w:r>
      <w:r w:rsidRPr="00E60474">
        <w:rPr>
          <w:sz w:val="20"/>
        </w:rPr>
        <w:instrText>tates-should-declare-a-state-of-emergency-using-article-15-echr-to-confront-the-coronavirus-pandemic/&lt;/style&gt; accessed 20/07/17&lt;/DisplayText&gt;&lt;record&gt;&lt;rec-number&gt;4736&lt;/rec-number&gt;&lt;foreign-keys&gt;&lt;key app="EN" db-id="29e2pr0ebtzaxkedz5b5aefxftsede200wps" times</w:instrText>
      </w:r>
      <w:r w:rsidRPr="00E60474">
        <w:rPr>
          <w:sz w:val="20"/>
        </w:rPr>
        <w:instrText>tamp="1594998438"&gt;4736&lt;/key&gt;&lt;/foreign-keys&gt;&lt;ref-type name="Web Page, Blog"&gt;12&lt;/ref-type&gt;&lt;contributors&gt;&lt;authors&gt;&lt;author&gt;Greene, Alan&lt;/author&gt;&lt;/authors&gt;&lt;/contributors&gt;&lt;titles&gt;&lt;title&gt;States should declare a State of Emergency using Article 15 ECHR to confront</w:instrText>
      </w:r>
      <w:r w:rsidRPr="00E60474">
        <w:rPr>
          <w:sz w:val="20"/>
        </w:rPr>
        <w:instrText xml:space="preserve"> the Coronavirus Pandemic&lt;/title&gt;&lt;/titles&gt;&lt;number&gt;20/07/17&lt;/number&gt;&lt;dates&gt;&lt;year&gt;2020&lt;/year&gt;&lt;/dates&gt;&lt;publisher&gt;Strasbourg Observers&lt;/publisher&gt;&lt;urls&gt;&lt;related-urls&gt;&lt;url&gt;https://strasbourgobservers.com/2020/04/01/states-should-declare-a-state-of-emergency-usi</w:instrText>
      </w:r>
      <w:r w:rsidRPr="00E60474">
        <w:rPr>
          <w:sz w:val="20"/>
        </w:rPr>
        <w:instrText>ng-article-15-echr-to-confront-the-coronavirus-pandemic/&lt;/url&gt;&lt;/related-urls&gt;&lt;/urls&gt;&lt;/record&gt;&lt;/Cite&gt;&lt;/EndNote&gt;</w:instrText>
      </w:r>
      <w:r w:rsidRPr="00E60474">
        <w:rPr>
          <w:sz w:val="20"/>
        </w:rPr>
        <w:fldChar w:fldCharType="separate"/>
      </w:r>
      <w:r w:rsidRPr="00E60474">
        <w:rPr>
          <w:noProof/>
          <w:sz w:val="20"/>
        </w:rPr>
        <w:t>Alan Greene, ‘States should declare a State of Emergency using Article 15 ECHR to confront the Coronavirus Pandemic’ (</w:t>
      </w:r>
      <w:r w:rsidRPr="00E60474">
        <w:rPr>
          <w:i/>
          <w:noProof/>
          <w:sz w:val="20"/>
        </w:rPr>
        <w:t>Strasbourg Observers</w:t>
      </w:r>
      <w:r w:rsidRPr="00E60474">
        <w:rPr>
          <w:noProof/>
          <w:sz w:val="20"/>
        </w:rPr>
        <w:t xml:space="preserve">, 2020) </w:t>
      </w:r>
      <w:r w:rsidRPr="00E60474">
        <w:rPr>
          <w:noProof/>
          <w:sz w:val="20"/>
          <w:u w:val="single"/>
        </w:rPr>
        <w:t>https://strasbourgobservers.com/2020/04/01/states-should-declare-a-state-of-emergency-using-article-15-echr-to-confront-the-coronavirus-pandemic/</w:t>
      </w:r>
      <w:r w:rsidRPr="00E60474">
        <w:rPr>
          <w:noProof/>
          <w:sz w:val="20"/>
        </w:rPr>
        <w:t xml:space="preserve"> accessed 20/07/17</w:t>
      </w:r>
      <w:r w:rsidRPr="00E60474">
        <w:rPr>
          <w:sz w:val="20"/>
        </w:rPr>
        <w:fldChar w:fldCharType="end"/>
      </w:r>
      <w:r w:rsidRPr="00E60474">
        <w:rPr>
          <w:sz w:val="20"/>
        </w:rPr>
        <w:t xml:space="preserve">. </w:t>
      </w:r>
      <w:r w:rsidRPr="00E60474">
        <w:rPr>
          <w:sz w:val="20"/>
        </w:rPr>
        <w:t xml:space="preserve">See also the following </w:t>
      </w:r>
      <w:r w:rsidRPr="00E60474">
        <w:rPr>
          <w:sz w:val="20"/>
        </w:rPr>
        <w:t>written evidence to the Committee</w:t>
      </w:r>
      <w:r w:rsidRPr="00E60474">
        <w:rPr>
          <w:sz w:val="20"/>
        </w:rPr>
        <w:t xml:space="preserve">: </w:t>
      </w:r>
      <w:r w:rsidRPr="00E60474">
        <w:rPr>
          <w:sz w:val="20"/>
        </w:rPr>
        <w:fldChar w:fldCharType="begin"/>
      </w:r>
      <w:r w:rsidRPr="00E60474">
        <w:rPr>
          <w:sz w:val="20"/>
        </w:rPr>
        <w:instrText xml:space="preserve"> ADDIN EN.CITE </w:instrText>
      </w:r>
      <w:r w:rsidRPr="00E60474">
        <w:rPr>
          <w:sz w:val="20"/>
        </w:rPr>
        <w:fldChar w:fldCharType="begin"/>
      </w:r>
      <w:r w:rsidRPr="00E60474">
        <w:rPr>
          <w:sz w:val="20"/>
        </w:rPr>
        <w:instrText xml:space="preserve"> ADDIN EN.CITE.</w:instrText>
      </w:r>
      <w:r w:rsidRPr="00E60474">
        <w:rPr>
          <w:sz w:val="20"/>
        </w:rPr>
        <w:instrText xml:space="preserve">DATA </w:instrText>
      </w:r>
      <w:r w:rsidRPr="00E60474">
        <w:rPr>
          <w:sz w:val="20"/>
        </w:rPr>
        <w:fldChar w:fldCharType="separate"/>
      </w:r>
      <w:r w:rsidRPr="00E60474">
        <w:rPr>
          <w:sz w:val="20"/>
        </w:rPr>
        <w:fldChar w:fldCharType="end"/>
      </w:r>
      <w:r w:rsidRPr="00E60474">
        <w:rPr>
          <w:sz w:val="20"/>
        </w:rPr>
        <w:fldChar w:fldCharType="separate"/>
      </w:r>
      <w:r w:rsidRPr="00E60474">
        <w:rPr>
          <w:noProof/>
          <w:sz w:val="20"/>
        </w:rPr>
        <w:t>Merris Amos, ‘Written evidence from Merris Amos, Professor of Human Rights Law, Queen Mary University of London (COV0026)’ (</w:t>
      </w:r>
      <w:r w:rsidRPr="00E60474">
        <w:rPr>
          <w:i/>
          <w:noProof/>
          <w:sz w:val="20"/>
        </w:rPr>
        <w:t>UK Parliament Joint Committee on Human Rights</w:t>
      </w:r>
      <w:r w:rsidRPr="00E60474">
        <w:rPr>
          <w:noProof/>
          <w:sz w:val="20"/>
        </w:rPr>
        <w:t xml:space="preserve">, 2020) </w:t>
      </w:r>
      <w:r w:rsidRPr="00E60474">
        <w:rPr>
          <w:noProof/>
          <w:sz w:val="20"/>
          <w:u w:val="single"/>
        </w:rPr>
        <w:t>https://committees.parliament.uk/writtenevidence/1624/html/</w:t>
      </w:r>
      <w:r w:rsidRPr="00E60474">
        <w:rPr>
          <w:noProof/>
          <w:sz w:val="20"/>
        </w:rPr>
        <w:t xml:space="preserve"> accessed 20/</w:t>
      </w:r>
      <w:r w:rsidRPr="00E60474">
        <w:rPr>
          <w:noProof/>
          <w:sz w:val="20"/>
        </w:rPr>
        <w:t>07/22; Merris Amos, ‘Human Rights Law and the COVID-19 Pandemic in the United Kingdom Part 2 (COV0029)’ (</w:t>
      </w:r>
      <w:r w:rsidRPr="00E60474">
        <w:rPr>
          <w:i/>
          <w:noProof/>
          <w:sz w:val="20"/>
        </w:rPr>
        <w:t>UK Parliament Joint Committee on Human Rights</w:t>
      </w:r>
      <w:r w:rsidRPr="00E60474">
        <w:rPr>
          <w:noProof/>
          <w:sz w:val="20"/>
        </w:rPr>
        <w:t xml:space="preserve">, 2020) </w:t>
      </w:r>
      <w:r w:rsidRPr="00E60474">
        <w:rPr>
          <w:noProof/>
          <w:sz w:val="20"/>
          <w:u w:val="single"/>
        </w:rPr>
        <w:t>https://committees.parliament.uk/writtenevidence/1739/html/</w:t>
      </w:r>
      <w:r w:rsidRPr="00E60474">
        <w:rPr>
          <w:noProof/>
          <w:sz w:val="20"/>
        </w:rPr>
        <w:t xml:space="preserve"> accessed 20/07/22; David Mead, ‘Writte</w:t>
      </w:r>
      <w:r w:rsidRPr="00E60474">
        <w:rPr>
          <w:noProof/>
          <w:sz w:val="20"/>
        </w:rPr>
        <w:t>n evidence from Professor David Mead, School of Law, University of East Anglia (COV0077)’ (</w:t>
      </w:r>
      <w:r w:rsidRPr="00E60474">
        <w:rPr>
          <w:i/>
          <w:noProof/>
          <w:sz w:val="20"/>
        </w:rPr>
        <w:t>UK Parliament Joint Committee on Human Rights</w:t>
      </w:r>
      <w:r w:rsidRPr="00E60474">
        <w:rPr>
          <w:noProof/>
          <w:sz w:val="20"/>
        </w:rPr>
        <w:t xml:space="preserve">, 2020) </w:t>
      </w:r>
      <w:r w:rsidRPr="00E60474">
        <w:rPr>
          <w:noProof/>
          <w:sz w:val="20"/>
          <w:u w:val="single"/>
        </w:rPr>
        <w:t>https://committees.parliament.uk/writtenevidence/2881/html/</w:t>
      </w:r>
      <w:r w:rsidRPr="00E60474">
        <w:rPr>
          <w:noProof/>
          <w:sz w:val="20"/>
        </w:rPr>
        <w:t xml:space="preserve"> accessed 20/07/22; David Mead and Joe Purshouse, ‘Wr</w:t>
      </w:r>
      <w:r w:rsidRPr="00E60474">
        <w:rPr>
          <w:noProof/>
          <w:sz w:val="20"/>
        </w:rPr>
        <w:t>itten evidence from Professor David Mead and Dr Joe Purshouse, School of Law, University of East Anglia (COV0068)’ (</w:t>
      </w:r>
      <w:r w:rsidRPr="00E60474">
        <w:rPr>
          <w:i/>
          <w:noProof/>
          <w:sz w:val="20"/>
        </w:rPr>
        <w:t>UK Parliament Joint Committee on Human Rights</w:t>
      </w:r>
      <w:r w:rsidRPr="00E60474">
        <w:rPr>
          <w:noProof/>
          <w:sz w:val="20"/>
        </w:rPr>
        <w:t xml:space="preserve">, 2020) </w:t>
      </w:r>
      <w:r w:rsidRPr="00E60474">
        <w:rPr>
          <w:noProof/>
          <w:sz w:val="20"/>
          <w:u w:val="single"/>
        </w:rPr>
        <w:t>https://committees.parliament.uk/writtenevidence/2783/html/</w:t>
      </w:r>
      <w:r w:rsidRPr="00E60474">
        <w:rPr>
          <w:noProof/>
          <w:sz w:val="20"/>
        </w:rPr>
        <w:t xml:space="preserve"> accessed 20/07/22; David Me</w:t>
      </w:r>
      <w:r w:rsidRPr="00E60474">
        <w:rPr>
          <w:noProof/>
          <w:sz w:val="20"/>
        </w:rPr>
        <w:t>ad and Joe Purshouse, ‘Written evidence from Professor David Mead and Dr Joe Purshouse, School of Law, University of East Anglia (COV0069)’ (</w:t>
      </w:r>
      <w:r w:rsidRPr="00E60474">
        <w:rPr>
          <w:i/>
          <w:noProof/>
          <w:sz w:val="20"/>
        </w:rPr>
        <w:t>UK Parliament Joint Committee on Human Rights</w:t>
      </w:r>
      <w:r w:rsidRPr="00E60474">
        <w:rPr>
          <w:noProof/>
          <w:sz w:val="20"/>
        </w:rPr>
        <w:t xml:space="preserve">, 2020) </w:t>
      </w:r>
      <w:r w:rsidRPr="00E60474">
        <w:rPr>
          <w:noProof/>
          <w:sz w:val="20"/>
          <w:u w:val="single"/>
        </w:rPr>
        <w:t>https://committees.parliament.uk/writtenevidence/2783/html/</w:t>
      </w:r>
      <w:r w:rsidRPr="00E60474">
        <w:rPr>
          <w:noProof/>
          <w:sz w:val="20"/>
        </w:rPr>
        <w:t xml:space="preserve"> accessed 20/07/22</w:t>
      </w:r>
      <w:r w:rsidRPr="00E60474">
        <w:rPr>
          <w:sz w:val="20"/>
        </w:rPr>
        <w:fldChar w:fldCharType="end"/>
      </w:r>
    </w:p>
  </w:footnote>
  <w:footnote w:id="24">
    <w:p w:rsidR="006A3BA7" w:rsidRPr="00E60474">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 ExcludeAuth="1"&gt;&lt;Year&gt;2020&lt;/Year&gt;&lt;RecNum&gt;4737&lt;/RecNum&gt;&lt;DisplayText&gt;&lt;style face="italic"&gt;Dolan &amp;amp; Ors v Secretary of State for Health And Social Care &amp;amp; Anor &lt;/style&gt;[2020] EWHC 1786 (Admin)&lt;/Displ</w:instrText>
      </w:r>
      <w:r w:rsidRPr="00E60474">
        <w:rPr>
          <w:sz w:val="20"/>
        </w:rPr>
        <w:instrText>ayText&gt;&lt;record&gt;&lt;rec-number&gt;4737&lt;/rec-number&gt;&lt;foreign-keys&gt;&lt;key app="EN" db-id="29e2pr0ebtzaxkedz5b5aefxftsede200wps" timestamp="1594998972"&gt;4737&lt;/key&gt;&lt;/foreign-keys&gt;&lt;ref-type name="Case (inc all UK, ECJ and ECtHR cases)"&gt;7&lt;/ref-type&gt;&lt;contributors&gt;&lt;/contrib</w:instrText>
      </w:r>
      <w:r w:rsidRPr="00E60474">
        <w:rPr>
          <w:sz w:val="20"/>
        </w:rPr>
        <w:instrText>utors&gt;&lt;titles&gt;&lt;title&gt;Dolan &amp;amp; Ors v Secretary of State for Health And Social Care &amp;amp; Anor&lt;/title&gt;&lt;secondary-title&gt;[2020] EWHC 1786&lt;/secondary-title&gt;&lt;/titles&gt;&lt;dates&gt;&lt;year&gt;2020&lt;/year&gt;&lt;/dates&gt;&lt;publisher&gt;Admin&lt;/publisher&gt;&lt;urls&gt;&lt;/urls&gt;&lt;/record&gt;&lt;/Cite&gt;&lt;/En</w:instrText>
      </w:r>
      <w:r w:rsidRPr="00E60474">
        <w:rPr>
          <w:sz w:val="20"/>
        </w:rPr>
        <w:instrText>dNote&gt;</w:instrText>
      </w:r>
      <w:r w:rsidRPr="00E60474">
        <w:rPr>
          <w:sz w:val="20"/>
        </w:rPr>
        <w:fldChar w:fldCharType="separate"/>
      </w:r>
      <w:r w:rsidRPr="00E60474">
        <w:rPr>
          <w:i/>
          <w:noProof/>
          <w:sz w:val="20"/>
        </w:rPr>
        <w:t xml:space="preserve">Dolan &amp; Ors v Secretary of State for Health And Social Care &amp; Anor </w:t>
      </w:r>
      <w:r w:rsidRPr="00E60474">
        <w:rPr>
          <w:noProof/>
          <w:sz w:val="20"/>
        </w:rPr>
        <w:t>[2020] EWHC 1786 (Admin)</w:t>
      </w:r>
      <w:r w:rsidRPr="00E60474">
        <w:rPr>
          <w:sz w:val="20"/>
        </w:rPr>
        <w:fldChar w:fldCharType="end"/>
      </w:r>
      <w:r w:rsidRPr="00E60474">
        <w:rPr>
          <w:sz w:val="20"/>
        </w:rPr>
        <w:t>.</w:t>
      </w:r>
    </w:p>
  </w:footnote>
  <w:footnote w:id="25">
    <w:p w:rsidR="006A3BA7" w:rsidRPr="00E60474">
      <w:pPr>
        <w:pStyle w:val="FootnoteText"/>
        <w:rPr>
          <w:sz w:val="20"/>
        </w:rPr>
      </w:pPr>
      <w:r w:rsidRPr="00E60474">
        <w:rPr>
          <w:rStyle w:val="FootnoteReference"/>
          <w:sz w:val="20"/>
        </w:rPr>
        <w:footnoteRef/>
      </w:r>
      <w:r w:rsidRPr="00E60474">
        <w:rPr>
          <w:sz w:val="20"/>
        </w:rPr>
        <w:t xml:space="preserve"> Save in the case of article 5 ECHR, where the restriction on staying overnight at a place other than one’s residence was held not to constitute a depriv</w:t>
      </w:r>
      <w:r w:rsidRPr="00E60474">
        <w:rPr>
          <w:sz w:val="20"/>
        </w:rPr>
        <w:t xml:space="preserve">ation of liberty within the meaning of the ECHR: </w:t>
      </w:r>
      <w:r w:rsidRPr="00E60474">
        <w:rPr>
          <w:i/>
          <w:iCs/>
          <w:sz w:val="20"/>
        </w:rPr>
        <w:t xml:space="preserve">Dolan </w:t>
      </w:r>
      <w:r w:rsidRPr="00E60474">
        <w:rPr>
          <w:sz w:val="20"/>
        </w:rPr>
        <w:t>(</w:t>
      </w:r>
      <w:r w:rsidRPr="00E60474">
        <w:rPr>
          <w:sz w:val="20"/>
        </w:rPr>
        <w:t xml:space="preserve">n </w:t>
      </w:r>
      <w:r w:rsidRPr="00E60474">
        <w:rPr>
          <w:sz w:val="20"/>
        </w:rPr>
        <w:t>23</w:t>
      </w:r>
      <w:r w:rsidRPr="00E60474">
        <w:rPr>
          <w:sz w:val="20"/>
        </w:rPr>
        <w:t>) [71]-[73].</w:t>
      </w:r>
    </w:p>
  </w:footnote>
  <w:footnote w:id="26">
    <w:p w:rsidR="00140A82" w:rsidRPr="00E60474">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 ExcludeAuth="1"&gt;&lt;Year&gt;2000&lt;/Year&gt;&lt;RecNum&gt;1096&lt;/RecNum&gt;&lt;DisplayText&gt;&lt;style face="italic"&gt;Osman v United Kingdom &lt;/style&gt;(2000) 29 EHRR 245 (ECtHR)&lt;/Disp</w:instrText>
      </w:r>
      <w:r w:rsidRPr="00E60474">
        <w:rPr>
          <w:sz w:val="20"/>
        </w:rPr>
        <w:instrText>layText&gt;&lt;record&gt;&lt;rec-number&gt;1096&lt;/rec-number&gt;&lt;foreign-keys&gt;&lt;key app="EN" db-id="29e2pr0ebtzaxkedz5b5aefxftsede200wps" timestamp="1469956992"&gt;1096&lt;/key&gt;&lt;/foreign-keys&gt;&lt;ref-type name="Case (inc all UK, ECJ and ECtHR cases)"&gt;7&lt;/ref-type&gt;&lt;contributors&gt;&lt;/contri</w:instrText>
      </w:r>
      <w:r w:rsidRPr="00E60474">
        <w:rPr>
          <w:sz w:val="20"/>
        </w:rPr>
        <w:instrText>butors&gt;&lt;titles&gt;&lt;title&gt;Osman v United Kingdom&lt;/title&gt;&lt;secondary-title&gt;(2000) 29 EHRR 245&lt;/secondary-title&gt;&lt;/titles&gt;&lt;dates&gt;&lt;year&gt;2000&lt;/year&gt;&lt;/dates&gt;&lt;publisher&gt;ECtHR&lt;/publisher&gt;&lt;urls&gt;&lt;/urls&gt;&lt;/record&gt;&lt;/Cite&gt;&lt;/EndNote&gt;</w:instrText>
      </w:r>
      <w:r w:rsidRPr="00E60474">
        <w:rPr>
          <w:sz w:val="20"/>
        </w:rPr>
        <w:fldChar w:fldCharType="separate"/>
      </w:r>
      <w:r w:rsidRPr="00E60474">
        <w:rPr>
          <w:i/>
          <w:noProof/>
          <w:sz w:val="20"/>
        </w:rPr>
        <w:t xml:space="preserve">Osman v United Kingdom </w:t>
      </w:r>
      <w:r w:rsidRPr="00E60474">
        <w:rPr>
          <w:noProof/>
          <w:sz w:val="20"/>
        </w:rPr>
        <w:t>(2000) 29 EHRR 245 (</w:t>
      </w:r>
      <w:r w:rsidRPr="00E60474">
        <w:rPr>
          <w:noProof/>
          <w:sz w:val="20"/>
        </w:rPr>
        <w:t>ECtHR)</w:t>
      </w:r>
      <w:r w:rsidRPr="00E60474">
        <w:rPr>
          <w:sz w:val="20"/>
        </w:rPr>
        <w:fldChar w:fldCharType="end"/>
      </w:r>
      <w:r w:rsidRPr="00E60474">
        <w:rPr>
          <w:sz w:val="20"/>
        </w:rPr>
        <w:t>.</w:t>
      </w:r>
    </w:p>
  </w:footnote>
  <w:footnote w:id="27">
    <w:p w:rsidR="00D17631" w:rsidRPr="00E60474">
      <w:pPr>
        <w:pStyle w:val="FootnoteText"/>
        <w:rPr>
          <w:sz w:val="20"/>
        </w:rPr>
      </w:pPr>
      <w:r w:rsidRPr="00E60474">
        <w:rPr>
          <w:rStyle w:val="FootnoteReference"/>
          <w:sz w:val="20"/>
        </w:rPr>
        <w:footnoteRef/>
      </w:r>
      <w:r w:rsidRPr="00E60474">
        <w:rPr>
          <w:sz w:val="20"/>
        </w:rPr>
        <w:t xml:space="preserve"> </w:t>
      </w:r>
      <w:r w:rsidRPr="00E60474">
        <w:rPr>
          <w:i/>
          <w:iCs/>
          <w:sz w:val="20"/>
        </w:rPr>
        <w:t>Dolan</w:t>
      </w:r>
      <w:r w:rsidRPr="00E60474">
        <w:rPr>
          <w:sz w:val="20"/>
        </w:rPr>
        <w:t xml:space="preserve"> (n 2</w:t>
      </w:r>
      <w:r w:rsidRPr="00E60474">
        <w:rPr>
          <w:sz w:val="20"/>
        </w:rPr>
        <w:t>3</w:t>
      </w:r>
      <w:r w:rsidRPr="00E60474">
        <w:rPr>
          <w:sz w:val="20"/>
        </w:rPr>
        <w:t xml:space="preserve">) [95]-[96]. We note that the more extensive ‘lockdown’ restrictions introduced in March 2020 were not litigated in </w:t>
      </w:r>
      <w:r w:rsidRPr="00E60474">
        <w:rPr>
          <w:i/>
          <w:iCs/>
          <w:sz w:val="20"/>
        </w:rPr>
        <w:t>Dolan</w:t>
      </w:r>
      <w:r w:rsidRPr="00E60474">
        <w:rPr>
          <w:sz w:val="20"/>
        </w:rPr>
        <w:t>, due to their revocation. As such, their compatibility with human rights law has not been established. However</w:t>
      </w:r>
      <w:r w:rsidRPr="00E60474">
        <w:rPr>
          <w:sz w:val="20"/>
        </w:rPr>
        <w:t xml:space="preserve">, it is plausible that a court faced with a challenge to those regulations would reach similar outcome to </w:t>
      </w:r>
      <w:r w:rsidRPr="00E60474">
        <w:rPr>
          <w:i/>
          <w:iCs/>
          <w:sz w:val="20"/>
        </w:rPr>
        <w:t>Dolan</w:t>
      </w:r>
      <w:r w:rsidRPr="00E60474">
        <w:rPr>
          <w:sz w:val="20"/>
        </w:rPr>
        <w:t>.</w:t>
      </w:r>
    </w:p>
  </w:footnote>
  <w:footnote w:id="28">
    <w:p w:rsidR="008B4BED" w:rsidRPr="00E60474">
      <w:pPr>
        <w:pStyle w:val="FootnoteText"/>
        <w:rPr>
          <w:sz w:val="20"/>
        </w:rPr>
      </w:pPr>
      <w:r w:rsidRPr="00E60474">
        <w:rPr>
          <w:rStyle w:val="FootnoteReference"/>
          <w:sz w:val="20"/>
        </w:rPr>
        <w:footnoteRef/>
      </w:r>
      <w:r w:rsidRPr="00E60474">
        <w:rPr>
          <w:sz w:val="20"/>
        </w:rPr>
        <w:t xml:space="preserve"> eg </w:t>
      </w:r>
      <w:r w:rsidRPr="00E60474">
        <w:rPr>
          <w:sz w:val="20"/>
        </w:rPr>
        <w:t>women subjected to domestic abuse</w:t>
      </w:r>
      <w:r w:rsidRPr="00E60474">
        <w:rPr>
          <w:sz w:val="20"/>
        </w:rPr>
        <w:t xml:space="preserve"> or </w:t>
      </w:r>
      <w:r w:rsidRPr="00E60474">
        <w:rPr>
          <w:sz w:val="20"/>
        </w:rPr>
        <w:t>violence and black and minority ethnic</w:t>
      </w:r>
      <w:r w:rsidRPr="00E60474">
        <w:rPr>
          <w:sz w:val="20"/>
        </w:rPr>
        <w:t xml:space="preserve"> people</w:t>
      </w:r>
      <w:r w:rsidRPr="00E60474">
        <w:rPr>
          <w:sz w:val="20"/>
        </w:rPr>
        <w:t>: see Emily Postan (n 1</w:t>
      </w:r>
      <w:r w:rsidRPr="00E60474">
        <w:rPr>
          <w:sz w:val="20"/>
        </w:rPr>
        <w:t>8</w:t>
      </w:r>
      <w:r w:rsidRPr="00E60474">
        <w:rPr>
          <w:sz w:val="20"/>
        </w:rPr>
        <w:t>).</w:t>
      </w:r>
    </w:p>
  </w:footnote>
  <w:footnote w:id="29">
    <w:p w:rsidR="00C0416E" w:rsidRPr="00E60474" w:rsidP="00C0416E">
      <w:pPr>
        <w:pStyle w:val="FootnoteText"/>
        <w:rPr>
          <w:sz w:val="20"/>
        </w:rPr>
      </w:pPr>
      <w:r w:rsidRPr="00E60474">
        <w:rPr>
          <w:rStyle w:val="FootnoteReference"/>
          <w:sz w:val="20"/>
        </w:rPr>
        <w:footnoteRef/>
      </w:r>
      <w:r w:rsidRPr="00E60474">
        <w:rPr>
          <w:sz w:val="20"/>
        </w:rPr>
        <w:t xml:space="preserve"> </w:t>
      </w:r>
      <w:r w:rsidRPr="00E60474">
        <w:rPr>
          <w:sz w:val="20"/>
        </w:rPr>
        <w:fldChar w:fldCharType="begin"/>
      </w:r>
      <w:r w:rsidRPr="00E60474">
        <w:rPr>
          <w:sz w:val="20"/>
        </w:rPr>
        <w:instrText xml:space="preserve"> ADDIN EN.CITE &lt;EndNote&gt;&lt;Cite ExcludeAuth="1"&gt;&lt;Year&gt;1993&lt;/Year&gt;&lt;RecNum&gt;1587&lt;/RecNum&gt;&lt;DisplayText&gt;&lt;style face="italic"&gt;Herczegfalvy v Austria &lt;/style&gt;(1993) 15 EHRR 437; &lt;style face="italic"&gt;R (on the application of B) v S (Responsible Medical Officer, Broa</w:instrText>
      </w:r>
      <w:r w:rsidRPr="00E60474">
        <w:rPr>
          <w:sz w:val="20"/>
        </w:rPr>
        <w:instrText xml:space="preserve">dmoor Hospital) &lt;/style&gt;[2006] EWCA Civ 28&lt;/DisplayText&gt;&lt;record&gt;&lt;rec-number&gt;1587&lt;/rec-number&gt;&lt;foreign-keys&gt;&lt;key app="EN" db-id="29e2pr0ebtzaxkedz5b5aefxftsede200wps" timestamp="1469957692"&gt;1587&lt;/key&gt;&lt;/foreign-keys&gt;&lt;ref-type name="Case (inc all UK, ECJ and </w:instrText>
      </w:r>
      <w:r w:rsidRPr="00E60474">
        <w:rPr>
          <w:sz w:val="20"/>
        </w:rPr>
        <w:instrText>ECtHR cases)"&gt;7&lt;/ref-type&gt;&lt;contributors&gt;&lt;/contributors&gt;&lt;titles&gt;&lt;title&gt;Herczegfalvy v Austria&lt;/title&gt;&lt;secondary-title&gt;(1993) 15 EHRR 437&lt;/secondary-title&gt;&lt;/titles&gt;&lt;dates&gt;&lt;year&gt;1993&lt;/year&gt;&lt;/dates&gt;&lt;urls&gt;&lt;/urls&gt;&lt;/record&gt;&lt;/Cite&gt;&lt;Cite ExcludeAuth="1"&gt;&lt;Year&gt;2006&lt;</w:instrText>
      </w:r>
      <w:r w:rsidRPr="00E60474">
        <w:rPr>
          <w:sz w:val="20"/>
        </w:rPr>
        <w:instrText>/Year&gt;&lt;RecNum&gt;4739&lt;/RecNum&gt;&lt;record&gt;&lt;rec-number&gt;4739&lt;/rec-number&gt;&lt;foreign-keys&gt;&lt;key app="EN" db-id="29e2pr0ebtzaxkedz5b5aefxftsede200wps" timestamp="1595251185"&gt;4739&lt;/key&gt;&lt;/foreign-keys&gt;&lt;ref-type name="Case (inc all UK, ECJ and ECtHR cases)"&gt;7&lt;/ref-type&gt;&lt;co</w:instrText>
      </w:r>
      <w:r w:rsidRPr="00E60474">
        <w:rPr>
          <w:sz w:val="20"/>
        </w:rPr>
        <w:instrText>ntributors&gt;&lt;/contributors&gt;&lt;titles&gt;&lt;title&gt;R (on the application of B) v S (Responsible Medical Officer, Broadmoor Hospital)&lt;/title&gt;&lt;secondary-title&gt;[2006] EWCA Civ 28&lt;/secondary-title&gt;&lt;/titles&gt;&lt;dates&gt;&lt;year&gt;2006&lt;/year&gt;&lt;/dates&gt;&lt;urls&gt;&lt;/urls&gt;&lt;/record&gt;&lt;/Cite&gt;&lt;/E</w:instrText>
      </w:r>
      <w:r w:rsidRPr="00E60474">
        <w:rPr>
          <w:sz w:val="20"/>
        </w:rPr>
        <w:instrText>ndNote&gt;</w:instrText>
      </w:r>
      <w:r w:rsidRPr="00E60474">
        <w:rPr>
          <w:sz w:val="20"/>
        </w:rPr>
        <w:fldChar w:fldCharType="separate"/>
      </w:r>
      <w:r w:rsidRPr="00E60474">
        <w:rPr>
          <w:i/>
          <w:noProof/>
          <w:sz w:val="20"/>
        </w:rPr>
        <w:t xml:space="preserve">Herczegfalvy v Austria </w:t>
      </w:r>
      <w:r w:rsidRPr="00E60474">
        <w:rPr>
          <w:noProof/>
          <w:sz w:val="20"/>
        </w:rPr>
        <w:t xml:space="preserve">(1993) 15 EHRR 437; </w:t>
      </w:r>
      <w:r w:rsidRPr="00E60474">
        <w:rPr>
          <w:i/>
          <w:noProof/>
          <w:sz w:val="20"/>
        </w:rPr>
        <w:t xml:space="preserve">R (on the application of B) v S (Responsible Medical Officer, Broadmoor Hospital) </w:t>
      </w:r>
      <w:r w:rsidRPr="00E60474">
        <w:rPr>
          <w:noProof/>
          <w:sz w:val="20"/>
        </w:rPr>
        <w:t>[2006] EWCA Civ 28</w:t>
      </w:r>
      <w:r w:rsidRPr="00E60474">
        <w:rPr>
          <w:sz w:val="20"/>
        </w:rPr>
        <w:fldChar w:fldCharType="end"/>
      </w:r>
      <w:r w:rsidRPr="00E60474">
        <w:rPr>
          <w:sz w:val="20"/>
        </w:rPr>
        <w:t>.</w:t>
      </w:r>
    </w:p>
  </w:footnote>
  <w:footnote w:id="30">
    <w:p w:rsidR="00770822" w:rsidRPr="00E60474">
      <w:pPr>
        <w:pStyle w:val="FootnoteText"/>
        <w:rPr>
          <w:sz w:val="20"/>
        </w:rPr>
      </w:pPr>
      <w:r w:rsidRPr="00E60474">
        <w:rPr>
          <w:rStyle w:val="FootnoteReference"/>
          <w:sz w:val="20"/>
        </w:rPr>
        <w:footnoteRef/>
      </w:r>
      <w:r w:rsidRPr="00E60474">
        <w:rPr>
          <w:sz w:val="20"/>
        </w:rPr>
        <w:t xml:space="preserve"> Including those who cannot safely undergo immunisation.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964">
    <w:pPr>
      <w:pStyle w:val="Header"/>
    </w:pPr>
  </w:p>
  <w:p w:rsidR="006729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890997"/>
    <w:multiLevelType w:val="hybridMultilevel"/>
    <w:tmpl w:val="3EE2EBE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2678A6"/>
    <w:multiLevelType w:val="hybridMultilevel"/>
    <w:tmpl w:val="1B086A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163FDC"/>
    <w:multiLevelType w:val="hybridMultilevel"/>
    <w:tmpl w:val="341A36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10C59B5"/>
    <w:multiLevelType w:val="hybridMultilevel"/>
    <w:tmpl w:val="656AEB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68BD781C"/>
    <w:multiLevelType w:val="multilevel"/>
    <w:tmpl w:val="EEBE8E0C"/>
    <w:lvl w:ilvl="0">
      <w:start w:val="1"/>
      <w:numFmt w:val="decimal"/>
      <w:pStyle w:val="Heading1"/>
      <w:suff w:val="space"/>
      <w:lvlText w:val="%1."/>
      <w:lvlJc w:val="left"/>
      <w:pPr>
        <w:ind w:left="0" w:firstLine="0"/>
      </w:pPr>
      <w:rPr>
        <w:rFonts w:hint="default"/>
        <w:sz w:val="20"/>
        <w:szCs w:val="20"/>
      </w:rPr>
    </w:lvl>
    <w:lvl w:ilvl="1">
      <w:start w:val="1"/>
      <w:numFmt w:val="decimal"/>
      <w:pStyle w:val="Heading2"/>
      <w:suff w:val="space"/>
      <w:lvlText w:val="%1.%2."/>
      <w:lvlJc w:val="left"/>
      <w:pPr>
        <w:ind w:left="284" w:firstLine="0"/>
      </w:pPr>
      <w:rPr>
        <w:rFonts w:ascii="Candara" w:hAnsi="Candara" w:hint="default"/>
        <w:b w:val="0"/>
        <w:bCs/>
        <w:sz w:val="20"/>
        <w:szCs w:val="20"/>
      </w:rPr>
    </w:lvl>
    <w:lvl w:ilvl="2">
      <w:start w:val="1"/>
      <w:numFmt w:val="decimal"/>
      <w:pStyle w:val="Heading3"/>
      <w:suff w:val="space"/>
      <w:lvlText w:val="%1.%2.%3."/>
      <w:lvlJc w:val="left"/>
      <w:pPr>
        <w:ind w:left="567" w:firstLine="0"/>
      </w:pPr>
      <w:rPr>
        <w:rFonts w:hint="default"/>
        <w:b w:val="0"/>
        <w:bCs/>
      </w:rPr>
    </w:lvl>
    <w:lvl w:ilvl="3">
      <w:start w:val="1"/>
      <w:numFmt w:val="decimal"/>
      <w:pStyle w:val="Heading4"/>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rPr>
    </w:lvl>
    <w:lvl w:ilvl="7">
      <w:start w:val="1"/>
      <w:numFmt w:val="decimal"/>
      <w:suff w:val="space"/>
      <w:lvlText w:val="%1.%2.%3.%4.%5.%6.%7.%8."/>
      <w:lvlJc w:val="left"/>
      <w:pPr>
        <w:ind w:left="1985" w:firstLine="0"/>
      </w:pPr>
      <w:rPr>
        <w:rFonts w:hint="default"/>
      </w:rPr>
    </w:lvl>
    <w:lvl w:ilvl="8">
      <w:start w:val="1"/>
      <w:numFmt w:val="decimal"/>
      <w:suff w:val="space"/>
      <w:lvlText w:val="%1.%2.%3.%4.%5.%6.%7.%8.%9."/>
      <w:lvlJc w:val="left"/>
      <w:pPr>
        <w:ind w:left="2268" w:firstLine="0"/>
      </w:pPr>
      <w:rPr>
        <w:rFonts w:hint="default"/>
      </w:rPr>
    </w:lvl>
  </w:abstractNum>
  <w:abstractNum w:abstractNumId="5">
    <w:nsid w:val="699C452F"/>
    <w:multiLevelType w:val="hybridMultilevel"/>
    <w:tmpl w:val="EB76A0EE"/>
    <w:lvl w:ilvl="0">
      <w:start w:val="1"/>
      <w:numFmt w:val="lowerLetter"/>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2"/>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OSCOLA 4th (Isra)&lt;/Style&gt;&lt;LeftDelim&gt;{&lt;/LeftDelim&gt;&lt;RightDelim&gt;}&lt;/RightDelim&gt;&lt;FontName&gt;Goudy Old Style&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e2pr0ebtzaxkedz5b5aefxftsede200wps&quot;&gt;Isra Black&lt;record-ids&gt;&lt;item&gt;1096&lt;/item&gt;&lt;item&gt;1108&lt;/item&gt;&lt;item&gt;1114&lt;/item&gt;&lt;item&gt;1587&lt;/item&gt;&lt;item&gt;2277&lt;/item&gt;&lt;item&gt;2838&lt;/item&gt;&lt;item&gt;4731&lt;/item&gt;&lt;item&gt;4732&lt;/item&gt;&lt;item&gt;4733&lt;/item&gt;&lt;item&gt;4734&lt;/item&gt;&lt;item&gt;4735&lt;/item&gt;&lt;item&gt;4736&lt;/item&gt;&lt;item&gt;4737&lt;/item&gt;&lt;item&gt;4738&lt;/item&gt;&lt;item&gt;4739&lt;/item&gt;&lt;item&gt;4740&lt;/item&gt;&lt;item&gt;4741&lt;/item&gt;&lt;item&gt;4742&lt;/item&gt;&lt;item&gt;4743&lt;/item&gt;&lt;item&gt;4744&lt;/item&gt;&lt;item&gt;4745&lt;/item&gt;&lt;/record-ids&gt;&lt;/item&gt;&lt;/Libraries&gt;"/>
  </w:docVars>
  <m:mathPr>
    <m:mathFont m:val="Cambria Math"/>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uiPriority w:val="10"/>
    <w:unhideWhenUsed/>
    <w:qFormat/>
    <w:rsid w:val="008C2DC9"/>
    <w:pPr>
      <w:spacing w:after="0" w:line="240" w:lineRule="auto"/>
    </w:pPr>
    <w:rPr>
      <w:rFonts w:ascii="Goudy Old Style" w:hAnsi="Goudy Old Style" w:cs="Times New Roman"/>
      <w:sz w:val="24"/>
      <w:szCs w:val="24"/>
    </w:rPr>
  </w:style>
  <w:style w:type="paragraph" w:styleId="Heading1">
    <w:name w:val="heading 1"/>
    <w:basedOn w:val="ListParagraph"/>
    <w:next w:val="Body"/>
    <w:link w:val="Heading1Char"/>
    <w:uiPriority w:val="9"/>
    <w:qFormat/>
    <w:rsid w:val="002F72C7"/>
    <w:pPr>
      <w:numPr>
        <w:numId w:val="8"/>
      </w:numPr>
      <w:spacing w:before="240"/>
      <w:outlineLvl w:val="0"/>
    </w:pPr>
    <w:rPr>
      <w:b/>
      <w:szCs w:val="28"/>
    </w:rPr>
  </w:style>
  <w:style w:type="paragraph" w:styleId="Heading2">
    <w:name w:val="heading 2"/>
    <w:basedOn w:val="ListParagraph"/>
    <w:next w:val="Body"/>
    <w:link w:val="Heading2Char"/>
    <w:uiPriority w:val="9"/>
    <w:unhideWhenUsed/>
    <w:qFormat/>
    <w:rsid w:val="002F72C7"/>
    <w:pPr>
      <w:numPr>
        <w:ilvl w:val="1"/>
        <w:numId w:val="8"/>
      </w:numPr>
      <w:spacing w:before="240"/>
      <w:contextualSpacing w:val="0"/>
      <w:outlineLvl w:val="1"/>
    </w:pPr>
    <w:rPr>
      <w:b/>
    </w:rPr>
  </w:style>
  <w:style w:type="paragraph" w:styleId="Heading3">
    <w:name w:val="heading 3"/>
    <w:basedOn w:val="ListParagraph"/>
    <w:next w:val="Body"/>
    <w:link w:val="Heading3Char"/>
    <w:uiPriority w:val="9"/>
    <w:unhideWhenUsed/>
    <w:qFormat/>
    <w:rsid w:val="002F72C7"/>
    <w:pPr>
      <w:numPr>
        <w:ilvl w:val="2"/>
        <w:numId w:val="8"/>
      </w:numPr>
      <w:spacing w:before="240"/>
      <w:contextualSpacing w:val="0"/>
      <w:outlineLvl w:val="2"/>
    </w:pPr>
    <w:rPr>
      <w:b/>
    </w:rPr>
  </w:style>
  <w:style w:type="paragraph" w:styleId="Heading4">
    <w:name w:val="heading 4"/>
    <w:basedOn w:val="Heading3"/>
    <w:next w:val="Body"/>
    <w:link w:val="Heading4Char"/>
    <w:uiPriority w:val="9"/>
    <w:unhideWhenUsed/>
    <w:qFormat/>
    <w:rsid w:val="002F72C7"/>
    <w:pPr>
      <w:numPr>
        <w:ilvl w:val="3"/>
      </w:numPr>
      <w:outlineLvl w:val="3"/>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1"/>
    <w:qFormat/>
    <w:rsid w:val="002F72C7"/>
    <w:pPr>
      <w:spacing w:before="240"/>
      <w:jc w:val="both"/>
    </w:pPr>
  </w:style>
  <w:style w:type="character" w:customStyle="1" w:styleId="Heading1Char">
    <w:name w:val="Heading 1 Char"/>
    <w:basedOn w:val="DefaultParagraphFont"/>
    <w:link w:val="Heading1"/>
    <w:uiPriority w:val="9"/>
    <w:rsid w:val="002F72C7"/>
    <w:rPr>
      <w:rFonts w:ascii="Candara" w:hAnsi="Candara"/>
      <w:b/>
      <w:sz w:val="20"/>
      <w:szCs w:val="28"/>
    </w:rPr>
  </w:style>
  <w:style w:type="paragraph" w:styleId="ListParagraph">
    <w:name w:val="List Paragraph"/>
    <w:basedOn w:val="Normal"/>
    <w:uiPriority w:val="34"/>
    <w:unhideWhenUsed/>
    <w:rsid w:val="002F72C7"/>
    <w:pPr>
      <w:ind w:left="720"/>
      <w:contextualSpacing/>
    </w:pPr>
  </w:style>
  <w:style w:type="character" w:customStyle="1" w:styleId="Heading2Char">
    <w:name w:val="Heading 2 Char"/>
    <w:basedOn w:val="DefaultParagraphFont"/>
    <w:link w:val="Heading2"/>
    <w:uiPriority w:val="9"/>
    <w:rsid w:val="002F72C7"/>
    <w:rPr>
      <w:rFonts w:ascii="Candara" w:hAnsi="Candara"/>
      <w:b/>
      <w:sz w:val="20"/>
    </w:rPr>
  </w:style>
  <w:style w:type="character" w:customStyle="1" w:styleId="Heading3Char">
    <w:name w:val="Heading 3 Char"/>
    <w:basedOn w:val="DefaultParagraphFont"/>
    <w:link w:val="Heading3"/>
    <w:uiPriority w:val="9"/>
    <w:rsid w:val="002F72C7"/>
    <w:rPr>
      <w:rFonts w:ascii="Candara" w:hAnsi="Candara"/>
      <w:b/>
      <w:sz w:val="20"/>
    </w:rPr>
  </w:style>
  <w:style w:type="character" w:customStyle="1" w:styleId="Heading4Char">
    <w:name w:val="Heading 4 Char"/>
    <w:basedOn w:val="DefaultParagraphFont"/>
    <w:link w:val="Heading4"/>
    <w:uiPriority w:val="9"/>
    <w:rsid w:val="002F72C7"/>
    <w:rPr>
      <w:rFonts w:ascii="Candara" w:hAnsi="Candara"/>
      <w:sz w:val="20"/>
    </w:rPr>
  </w:style>
  <w:style w:type="paragraph" w:styleId="FootnoteText">
    <w:name w:val="footnote text"/>
    <w:basedOn w:val="Normal"/>
    <w:link w:val="FootnoteTextChar"/>
    <w:uiPriority w:val="99"/>
    <w:semiHidden/>
    <w:unhideWhenUsed/>
    <w:rsid w:val="002F72C7"/>
    <w:rPr>
      <w:szCs w:val="20"/>
    </w:rPr>
  </w:style>
  <w:style w:type="character" w:customStyle="1" w:styleId="FootnoteTextChar">
    <w:name w:val="Footnote Text Char"/>
    <w:basedOn w:val="DefaultParagraphFont"/>
    <w:link w:val="FootnoteText"/>
    <w:uiPriority w:val="99"/>
    <w:semiHidden/>
    <w:rsid w:val="002F72C7"/>
    <w:rPr>
      <w:rFonts w:ascii="Candara" w:hAnsi="Candara"/>
      <w:sz w:val="20"/>
      <w:szCs w:val="20"/>
    </w:rPr>
  </w:style>
  <w:style w:type="character" w:styleId="FootnoteReference">
    <w:name w:val="footnote reference"/>
    <w:basedOn w:val="DefaultParagraphFont"/>
    <w:uiPriority w:val="99"/>
    <w:semiHidden/>
    <w:unhideWhenUsed/>
    <w:rsid w:val="002F72C7"/>
    <w:rPr>
      <w:vertAlign w:val="superscript"/>
    </w:rPr>
  </w:style>
  <w:style w:type="paragraph" w:styleId="Title">
    <w:name w:val="Title"/>
    <w:basedOn w:val="Normal"/>
    <w:next w:val="Body"/>
    <w:link w:val="TitleChar"/>
    <w:qFormat/>
    <w:rsid w:val="002F72C7"/>
    <w:pPr>
      <w:jc w:val="center"/>
    </w:pPr>
    <w:rPr>
      <w:b/>
      <w:bCs/>
      <w:szCs w:val="20"/>
    </w:rPr>
  </w:style>
  <w:style w:type="character" w:customStyle="1" w:styleId="TitleChar">
    <w:name w:val="Title Char"/>
    <w:basedOn w:val="DefaultParagraphFont"/>
    <w:link w:val="Title"/>
    <w:rsid w:val="002F72C7"/>
    <w:rPr>
      <w:rFonts w:ascii="Candara" w:hAnsi="Candara"/>
      <w:b/>
      <w:bCs/>
      <w:sz w:val="20"/>
      <w:szCs w:val="20"/>
    </w:rPr>
  </w:style>
  <w:style w:type="paragraph" w:styleId="Quote">
    <w:name w:val="Quote"/>
    <w:basedOn w:val="Body"/>
    <w:next w:val="Body"/>
    <w:link w:val="QuoteChar"/>
    <w:uiPriority w:val="2"/>
    <w:qFormat/>
    <w:rsid w:val="002F72C7"/>
    <w:pPr>
      <w:ind w:left="284"/>
    </w:pPr>
  </w:style>
  <w:style w:type="character" w:customStyle="1" w:styleId="QuoteChar">
    <w:name w:val="Quote Char"/>
    <w:basedOn w:val="DefaultParagraphFont"/>
    <w:link w:val="Quote"/>
    <w:uiPriority w:val="2"/>
    <w:rsid w:val="002F72C7"/>
    <w:rPr>
      <w:rFonts w:ascii="Candara" w:hAnsi="Candara"/>
      <w:sz w:val="20"/>
    </w:rPr>
  </w:style>
  <w:style w:type="paragraph" w:customStyle="1" w:styleId="EndNoteBibliography">
    <w:name w:val="EndNote Bibliography"/>
    <w:basedOn w:val="Normal"/>
    <w:link w:val="EndNoteBibliographyChar"/>
    <w:rsid w:val="00BF322D"/>
    <w:rPr>
      <w:noProof/>
    </w:rPr>
  </w:style>
  <w:style w:type="character" w:customStyle="1" w:styleId="EndNoteBibliographyChar">
    <w:name w:val="EndNote Bibliography Char"/>
    <w:basedOn w:val="DefaultParagraphFont"/>
    <w:link w:val="EndNoteBibliography"/>
    <w:rsid w:val="00BF322D"/>
    <w:rPr>
      <w:rFonts w:ascii="Goudy Old Style" w:hAnsi="Goudy Old Style" w:cs="Times New Roman"/>
      <w:noProof/>
      <w:sz w:val="24"/>
      <w:szCs w:val="24"/>
    </w:rPr>
  </w:style>
  <w:style w:type="paragraph" w:customStyle="1" w:styleId="EndNoteBibliographyTitle">
    <w:name w:val="EndNote Bibliography Title"/>
    <w:basedOn w:val="Normal"/>
    <w:link w:val="EndNoteBibliographyTitleChar"/>
    <w:rsid w:val="00BF322D"/>
    <w:rPr>
      <w:noProof/>
    </w:rPr>
  </w:style>
  <w:style w:type="character" w:customStyle="1" w:styleId="EndNoteBibliographyTitleChar">
    <w:name w:val="EndNote Bibliography Title Char"/>
    <w:basedOn w:val="DefaultParagraphFont"/>
    <w:link w:val="EndNoteBibliographyTitle"/>
    <w:rsid w:val="00BF322D"/>
    <w:rPr>
      <w:rFonts w:ascii="Goudy Old Style" w:hAnsi="Goudy Old Style" w:cs="Times New Roman"/>
      <w:noProof/>
      <w:sz w:val="24"/>
      <w:szCs w:val="24"/>
    </w:rPr>
  </w:style>
  <w:style w:type="paragraph" w:customStyle="1" w:styleId="Mumford">
    <w:name w:val="Mumford"/>
    <w:basedOn w:val="Body"/>
    <w:uiPriority w:val="10"/>
    <w:qFormat/>
    <w:rsid w:val="004A288F"/>
    <w:pPr>
      <w:spacing w:before="120"/>
      <w:ind w:left="284" w:hanging="284"/>
      <w:jc w:val="left"/>
    </w:pPr>
    <w:rPr>
      <w:szCs w:val="20"/>
    </w:rPr>
  </w:style>
  <w:style w:type="paragraph" w:customStyle="1" w:styleId="MumfordQuote">
    <w:name w:val="Mumford Quote"/>
    <w:basedOn w:val="Mumford"/>
    <w:next w:val="Mumford"/>
    <w:uiPriority w:val="10"/>
    <w:qFormat/>
    <w:rsid w:val="00EC458D"/>
    <w:pPr>
      <w:ind w:firstLine="0"/>
    </w:pPr>
  </w:style>
  <w:style w:type="paragraph" w:styleId="CommentText">
    <w:name w:val="annotation text"/>
    <w:basedOn w:val="Normal"/>
    <w:link w:val="CommentTextChar"/>
    <w:uiPriority w:val="99"/>
    <w:semiHidden/>
    <w:unhideWhenUsed/>
    <w:rsid w:val="002F72C7"/>
    <w:rPr>
      <w:szCs w:val="20"/>
    </w:rPr>
  </w:style>
  <w:style w:type="character" w:customStyle="1" w:styleId="CommentTextChar">
    <w:name w:val="Comment Text Char"/>
    <w:basedOn w:val="DefaultParagraphFont"/>
    <w:link w:val="CommentText"/>
    <w:uiPriority w:val="99"/>
    <w:semiHidden/>
    <w:rsid w:val="002F72C7"/>
    <w:rPr>
      <w:rFonts w:ascii="Candara" w:hAnsi="Candara"/>
      <w:sz w:val="20"/>
      <w:szCs w:val="20"/>
    </w:rPr>
  </w:style>
  <w:style w:type="paragraph" w:styleId="Header">
    <w:name w:val="header"/>
    <w:basedOn w:val="Normal"/>
    <w:link w:val="HeaderChar"/>
    <w:uiPriority w:val="99"/>
    <w:unhideWhenUsed/>
    <w:rsid w:val="002F72C7"/>
    <w:pPr>
      <w:tabs>
        <w:tab w:val="center" w:pos="4513"/>
        <w:tab w:val="right" w:pos="9026"/>
      </w:tabs>
    </w:pPr>
  </w:style>
  <w:style w:type="character" w:customStyle="1" w:styleId="HeaderChar">
    <w:name w:val="Header Char"/>
    <w:basedOn w:val="DefaultParagraphFont"/>
    <w:link w:val="Header"/>
    <w:uiPriority w:val="99"/>
    <w:rsid w:val="002F72C7"/>
    <w:rPr>
      <w:rFonts w:ascii="Candara" w:hAnsi="Candara"/>
      <w:sz w:val="20"/>
    </w:rPr>
  </w:style>
  <w:style w:type="paragraph" w:styleId="Footer">
    <w:name w:val="footer"/>
    <w:basedOn w:val="Normal"/>
    <w:link w:val="FooterChar"/>
    <w:uiPriority w:val="99"/>
    <w:unhideWhenUsed/>
    <w:rsid w:val="002F72C7"/>
    <w:pPr>
      <w:tabs>
        <w:tab w:val="center" w:pos="4513"/>
        <w:tab w:val="right" w:pos="9026"/>
      </w:tabs>
    </w:pPr>
  </w:style>
  <w:style w:type="character" w:customStyle="1" w:styleId="FooterChar">
    <w:name w:val="Footer Char"/>
    <w:basedOn w:val="DefaultParagraphFont"/>
    <w:link w:val="Footer"/>
    <w:uiPriority w:val="99"/>
    <w:rsid w:val="002F72C7"/>
    <w:rPr>
      <w:rFonts w:ascii="Candara" w:hAnsi="Candara"/>
      <w:sz w:val="20"/>
    </w:rPr>
  </w:style>
  <w:style w:type="character" w:styleId="CommentReference">
    <w:name w:val="annotation reference"/>
    <w:basedOn w:val="DefaultParagraphFont"/>
    <w:uiPriority w:val="99"/>
    <w:semiHidden/>
    <w:unhideWhenUsed/>
    <w:rsid w:val="002F72C7"/>
    <w:rPr>
      <w:sz w:val="16"/>
      <w:szCs w:val="16"/>
    </w:rPr>
  </w:style>
  <w:style w:type="paragraph" w:styleId="CommentSubject">
    <w:name w:val="annotation subject"/>
    <w:basedOn w:val="CommentText"/>
    <w:next w:val="CommentText"/>
    <w:link w:val="CommentSubjectChar"/>
    <w:uiPriority w:val="99"/>
    <w:semiHidden/>
    <w:unhideWhenUsed/>
    <w:rsid w:val="002F72C7"/>
    <w:rPr>
      <w:b/>
      <w:bCs/>
    </w:rPr>
  </w:style>
  <w:style w:type="character" w:customStyle="1" w:styleId="CommentSubjectChar">
    <w:name w:val="Comment Subject Char"/>
    <w:basedOn w:val="CommentTextChar"/>
    <w:link w:val="CommentSubject"/>
    <w:uiPriority w:val="99"/>
    <w:semiHidden/>
    <w:rsid w:val="002F72C7"/>
    <w:rPr>
      <w:rFonts w:ascii="Candara" w:hAnsi="Candara"/>
      <w:b/>
      <w:bCs/>
      <w:sz w:val="20"/>
      <w:szCs w:val="20"/>
    </w:rPr>
  </w:style>
  <w:style w:type="paragraph" w:styleId="BalloonText">
    <w:name w:val="Balloon Text"/>
    <w:basedOn w:val="Normal"/>
    <w:link w:val="BalloonTextChar"/>
    <w:uiPriority w:val="99"/>
    <w:semiHidden/>
    <w:unhideWhenUsed/>
    <w:rsid w:val="002F7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2C7"/>
    <w:rPr>
      <w:rFonts w:ascii="Segoe UI" w:hAnsi="Segoe UI" w:cs="Segoe UI"/>
      <w:sz w:val="18"/>
      <w:szCs w:val="18"/>
    </w:rPr>
  </w:style>
  <w:style w:type="character" w:styleId="Hyperlink">
    <w:name w:val="Hyperlink"/>
    <w:basedOn w:val="DefaultParagraphFont"/>
    <w:uiPriority w:val="99"/>
    <w:unhideWhenUsed/>
    <w:rsid w:val="00CB47D0"/>
    <w:rPr>
      <w:color w:val="0563C1" w:themeColor="hyperlink"/>
      <w:u w:val="single"/>
    </w:rPr>
  </w:style>
  <w:style w:type="character" w:customStyle="1" w:styleId="UnresolvedMention1">
    <w:name w:val="Unresolved Mention1"/>
    <w:basedOn w:val="DefaultParagraphFont"/>
    <w:uiPriority w:val="99"/>
    <w:semiHidden/>
    <w:unhideWhenUsed/>
    <w:rsid w:val="00CB47D0"/>
    <w:rPr>
      <w:color w:val="605E5C"/>
      <w:shd w:val="clear" w:color="auto" w:fill="E1DFDD"/>
    </w:rPr>
  </w:style>
  <w:style w:type="paragraph" w:styleId="Revision">
    <w:name w:val="Revision"/>
    <w:hidden/>
    <w:uiPriority w:val="99"/>
    <w:semiHidden/>
    <w:rsid w:val="0016601E"/>
    <w:pPr>
      <w:spacing w:after="0" w:line="240" w:lineRule="auto"/>
    </w:pPr>
    <w:rPr>
      <w:rFonts w:ascii="Goudy Old Style" w:hAnsi="Goudy Old Style" w:cs="Times New Roman"/>
      <w:sz w:val="24"/>
      <w:szCs w:val="24"/>
    </w:rPr>
  </w:style>
  <w:style w:type="character" w:styleId="LineNumber">
    <w:name w:val="line number"/>
    <w:basedOn w:val="DefaultParagraphFont"/>
    <w:uiPriority w:val="99"/>
    <w:semiHidden/>
    <w:unhideWhenUsed/>
    <w:rsid w:val="001C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