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B589A" w:rsidRPr="00C21F07" w:rsidP="00C21F07">
      <w:pPr>
        <w:spacing w:line="360" w:lineRule="auto"/>
        <w:jc w:val="both"/>
        <w:rPr>
          <w:b/>
          <w:bCs/>
        </w:rPr>
      </w:pPr>
      <w:bookmarkStart w:id="0" w:name="_GoBack"/>
      <w:bookmarkEnd w:id="0"/>
      <w:r w:rsidRPr="00C21F07">
        <w:rPr>
          <w:b/>
          <w:bCs/>
        </w:rPr>
        <w:t xml:space="preserve">Written evidence from </w:t>
      </w:r>
      <w:r w:rsidRPr="00C21F07">
        <w:rPr>
          <w:b/>
          <w:bCs/>
          <w:lang w:val="en-US"/>
        </w:rPr>
        <w:t>Stephen Colman</w:t>
      </w:r>
      <w:r w:rsidRPr="00C21F07">
        <w:rPr>
          <w:b/>
          <w:bCs/>
          <w:lang w:val="en-US"/>
        </w:rPr>
        <w:t xml:space="preserve">, </w:t>
      </w:r>
      <w:r w:rsidRPr="00C21F07">
        <w:rPr>
          <w:b/>
          <w:bCs/>
          <w:lang w:val="en-US"/>
        </w:rPr>
        <w:t>Senior Lecturer in Law</w:t>
      </w:r>
      <w:r w:rsidRPr="00C21F07">
        <w:rPr>
          <w:b/>
          <w:bCs/>
          <w:lang w:val="en-US"/>
        </w:rPr>
        <w:t xml:space="preserve">, </w:t>
      </w:r>
      <w:r w:rsidRPr="00C21F07">
        <w:rPr>
          <w:b/>
          <w:bCs/>
          <w:lang w:val="en-US"/>
        </w:rPr>
        <w:t>University of Suffolk</w:t>
      </w:r>
      <w:r w:rsidRPr="00C21F07">
        <w:rPr>
          <w:b/>
          <w:bCs/>
          <w:lang w:val="en-US"/>
        </w:rPr>
        <w:t xml:space="preserve"> (PPS0014)</w:t>
      </w:r>
    </w:p>
    <w:p w:rsidR="005B589A" w:rsidP="00043532">
      <w:pPr>
        <w:spacing w:line="360" w:lineRule="auto"/>
        <w:jc w:val="both"/>
      </w:pPr>
    </w:p>
    <w:p w:rsidR="005B589A" w:rsidP="00043532">
      <w:pPr>
        <w:spacing w:line="360" w:lineRule="auto"/>
        <w:jc w:val="both"/>
      </w:pPr>
      <w:r>
        <w:t xml:space="preserve">I am a Senior Lecturer in Law at the University of Suffolk.  My areas of specialism are Criminal Law, Criminal Procedure and Evidence, and Public Law.  I am currently writing up my PhD research into the ways in which victims can challenge decisions not to </w:t>
      </w:r>
      <w:r>
        <w:t xml:space="preserve">prosecute; one </w:t>
      </w:r>
      <w:r>
        <w:t>aspect of</w:t>
      </w:r>
      <w:r>
        <w:t xml:space="preserve"> my thesis is private prosecutions.  Prior to becoming a legal academic in 2016, I was employed by the Crown Prosecution Service as a Senior Crown Prosecutor since 2003.</w:t>
      </w:r>
    </w:p>
    <w:p w:rsidR="009D403C" w:rsidP="00043532">
      <w:pPr>
        <w:spacing w:line="360" w:lineRule="auto"/>
        <w:jc w:val="both"/>
      </w:pPr>
    </w:p>
    <w:p w:rsidR="00E77B02" w:rsidP="00043532">
      <w:pPr>
        <w:spacing w:line="360" w:lineRule="auto"/>
        <w:jc w:val="both"/>
      </w:pPr>
      <w:r>
        <w:t>This submission will focus on the current regulatory framewor</w:t>
      </w:r>
      <w:r>
        <w:t xml:space="preserve">k for private prosecutions together with possible additional safeguards which could be implemented in the future. </w:t>
      </w:r>
    </w:p>
    <w:p w:rsidR="008F447C" w:rsidP="00043532">
      <w:pPr>
        <w:spacing w:line="360" w:lineRule="auto"/>
        <w:jc w:val="both"/>
      </w:pPr>
    </w:p>
    <w:p w:rsidR="008F447C" w:rsidRPr="008F447C" w:rsidP="00043532">
      <w:pPr>
        <w:spacing w:line="360" w:lineRule="auto"/>
        <w:jc w:val="both"/>
        <w:rPr>
          <w:b/>
          <w:bCs/>
          <w:lang w:val="en-US"/>
        </w:rPr>
      </w:pPr>
      <w:r w:rsidRPr="008F447C">
        <w:rPr>
          <w:b/>
          <w:bCs/>
          <w:u w:val="single"/>
        </w:rPr>
        <w:t>The role of the Crown Prosecution Service in taking over private prosecutions and the effectiveness of existing safeguards that regulate pr</w:t>
      </w:r>
      <w:r w:rsidRPr="008F447C">
        <w:rPr>
          <w:b/>
          <w:bCs/>
          <w:u w:val="single"/>
        </w:rPr>
        <w:t>ivate prosecutions</w:t>
      </w:r>
    </w:p>
    <w:p w:rsidR="008F447C" w:rsidP="00043532">
      <w:pPr>
        <w:spacing w:line="360" w:lineRule="auto"/>
        <w:jc w:val="both"/>
        <w:rPr>
          <w:lang w:val="en-US"/>
        </w:rPr>
      </w:pPr>
    </w:p>
    <w:p w:rsidR="009621BB" w:rsidP="00043532">
      <w:pPr>
        <w:spacing w:line="360" w:lineRule="auto"/>
        <w:jc w:val="both"/>
        <w:rPr>
          <w:lang w:val="en-US"/>
        </w:rPr>
      </w:pPr>
      <w:r>
        <w:rPr>
          <w:lang w:val="en-US"/>
        </w:rPr>
        <w:t xml:space="preserve">Some of the concerns about large organisations bringing private prosecutions are similar to the reasons for creating the CPS as a prosecuting body independent of the police. </w:t>
      </w:r>
      <w:r w:rsidRPr="00DA188A">
        <w:rPr>
          <w:lang w:val="en-US"/>
        </w:rPr>
        <w:t>Th</w:t>
      </w:r>
      <w:r>
        <w:rPr>
          <w:lang w:val="en-US"/>
        </w:rPr>
        <w:t>e</w:t>
      </w:r>
      <w:r w:rsidRPr="00DA188A">
        <w:rPr>
          <w:lang w:val="en-US"/>
        </w:rPr>
        <w:t xml:space="preserve"> Royal Commission established under the chairmanship of Sir</w:t>
      </w:r>
      <w:r w:rsidRPr="00DA188A">
        <w:rPr>
          <w:lang w:val="en-US"/>
        </w:rPr>
        <w:t xml:space="preserve"> Cyril Philips in 1980 to examine the investigation of offences and prosecution of offenders</w:t>
      </w:r>
      <w:r>
        <w:rPr>
          <w:lang w:val="en-US"/>
        </w:rPr>
        <w:t xml:space="preserve"> identified concerns about the police acting as both the investigator and prosecutor of criminal offences</w:t>
      </w:r>
      <w:r w:rsidRPr="00DA188A">
        <w:rPr>
          <w:lang w:val="en-US"/>
        </w:rPr>
        <w:t>.</w:t>
      </w:r>
      <w:r>
        <w:rPr>
          <w:rStyle w:val="FootnoteReference"/>
        </w:rPr>
        <w:footnoteReference w:id="2"/>
      </w:r>
      <w:r w:rsidRPr="00DA188A">
        <w:rPr>
          <w:lang w:val="en-US"/>
        </w:rPr>
        <w:t xml:space="preserve">  The </w:t>
      </w:r>
      <w:r>
        <w:rPr>
          <w:lang w:val="en-US"/>
        </w:rPr>
        <w:t>report</w:t>
      </w:r>
      <w:r w:rsidRPr="00DA188A">
        <w:rPr>
          <w:lang w:val="en-US"/>
        </w:rPr>
        <w:t xml:space="preserve"> noted the lack of uniformity across the coun</w:t>
      </w:r>
      <w:r w:rsidRPr="00DA188A">
        <w:rPr>
          <w:lang w:val="en-US"/>
        </w:rPr>
        <w:t>try with a mixture of prosecuting solicitors departments and privately instructed solicitors conducting the prosecutions.  The report also observed that the relationship between the Chief Constable and his prosecuting solicitor was one of client and solici</w:t>
      </w:r>
      <w:r w:rsidRPr="00DA188A">
        <w:rPr>
          <w:lang w:val="en-US"/>
        </w:rPr>
        <w:t>tor.</w:t>
      </w:r>
      <w:r>
        <w:rPr>
          <w:rStyle w:val="FootnoteReference"/>
        </w:rPr>
        <w:footnoteReference w:id="3"/>
      </w:r>
      <w:r w:rsidRPr="00DA188A">
        <w:rPr>
          <w:lang w:val="en-US"/>
        </w:rPr>
        <w:t xml:space="preserve">  As a result, the police were not obliged to seek legal advice from the prosecuting solicitor and even if they did </w:t>
      </w:r>
      <w:r>
        <w:rPr>
          <w:lang w:val="en-US"/>
        </w:rPr>
        <w:t xml:space="preserve">so </w:t>
      </w:r>
      <w:r w:rsidRPr="00DA188A">
        <w:rPr>
          <w:lang w:val="en-US"/>
        </w:rPr>
        <w:t>they were not obliged to follow it.  Ultimately, the decision whether to prosecute was one for the police and not the legal advisor.</w:t>
      </w:r>
      <w:r>
        <w:rPr>
          <w:lang w:val="en-US"/>
        </w:rPr>
        <w:t xml:space="preserve">  The Prosecution of Offences Act 1985 which established the CPS overcame this phenomenon by dividing the investigation and prosecution roles between the two separate organisations.</w:t>
      </w:r>
    </w:p>
    <w:p w:rsidR="009A6CA0" w:rsidP="00043532">
      <w:pPr>
        <w:spacing w:line="360" w:lineRule="auto"/>
        <w:jc w:val="both"/>
      </w:pPr>
    </w:p>
    <w:p w:rsidR="008F447C" w:rsidP="00043532">
      <w:pPr>
        <w:spacing w:line="360" w:lineRule="auto"/>
        <w:jc w:val="both"/>
      </w:pPr>
      <w:r>
        <w:t>Section 10 of the Prosecution of Offences Act 1985 requires the DPP to pu</w:t>
      </w:r>
      <w:r>
        <w:t xml:space="preserve">blish a Code for Crown Prosecutors to guide prosecutors on when proceedings should be brought or </w:t>
      </w:r>
      <w:r>
        <w:t xml:space="preserve">discontinued.  </w:t>
      </w:r>
      <w:r>
        <w:t xml:space="preserve">Central to the </w:t>
      </w:r>
      <w:r>
        <w:t xml:space="preserve">code </w:t>
      </w:r>
      <w:r>
        <w:t>is</w:t>
      </w:r>
      <w:r>
        <w:t xml:space="preserve"> the Full Code Test as a standard way of determining whether a prosecution should be brought by the application of </w:t>
      </w:r>
      <w:r>
        <w:t>two sta</w:t>
      </w:r>
      <w:r>
        <w:t xml:space="preserve">ges:  </w:t>
      </w:r>
      <w:r>
        <w:t>the evidential and public interest stages.</w:t>
      </w:r>
      <w:r>
        <w:rPr>
          <w:rStyle w:val="FootnoteReference"/>
        </w:rPr>
        <w:footnoteReference w:id="4"/>
      </w:r>
      <w:r>
        <w:t xml:space="preserve">  A public prosecution will only be brought by the CPS if both stages of the test are met.  </w:t>
      </w:r>
      <w:r w:rsidRPr="00993DE5">
        <w:t>Unlike the public prosecutor, there is no overarching test that the private prosecutor must apply in relation to ei</w:t>
      </w:r>
      <w:r w:rsidRPr="00993DE5">
        <w:t>ther the evidence in the case or the public interest.</w:t>
      </w:r>
      <w:r>
        <w:t xml:space="preserve"> </w:t>
      </w:r>
      <w:r>
        <w:t xml:space="preserve"> As such there is a risk of inconsistency in relation to private prosecutions with different organisations and individuals applying different standards as to when a prosecution should be brought.  Furth</w:t>
      </w:r>
      <w:r>
        <w:t xml:space="preserve">ermore, the Code for Crown Prosecutors is supplemented by a wide range of policy and guidance documents to ensure </w:t>
      </w:r>
      <w:r>
        <w:t xml:space="preserve">consistent and rational prosecutorial decision-making.  </w:t>
      </w:r>
      <w:r w:rsidRPr="00993DE5">
        <w:t>A private prosecutor could consider any such policy, but would not be bound by</w:t>
      </w:r>
      <w:r>
        <w:t xml:space="preserve"> it</w:t>
      </w:r>
      <w:r w:rsidRPr="00993DE5">
        <w:t xml:space="preserve"> or i</w:t>
      </w:r>
      <w:r w:rsidRPr="00993DE5">
        <w:t>ndeed required to take it into account when making a decision as to whether to bring a prosecution.</w:t>
      </w:r>
      <w:r>
        <w:t xml:space="preserve">  </w:t>
      </w:r>
      <w:r w:rsidRPr="00993DE5">
        <w:t xml:space="preserve">  </w:t>
      </w:r>
    </w:p>
    <w:p w:rsidR="00344AC9" w:rsidP="00043532">
      <w:pPr>
        <w:spacing w:line="360" w:lineRule="auto"/>
        <w:jc w:val="both"/>
      </w:pPr>
    </w:p>
    <w:p w:rsidR="008F447C" w:rsidRPr="008F447C" w:rsidP="00043532">
      <w:pPr>
        <w:spacing w:line="360" w:lineRule="auto"/>
        <w:jc w:val="both"/>
        <w:rPr>
          <w:u w:val="single"/>
        </w:rPr>
      </w:pPr>
      <w:r w:rsidRPr="008F447C">
        <w:rPr>
          <w:u w:val="single"/>
        </w:rPr>
        <w:t xml:space="preserve">The </w:t>
      </w:r>
      <w:r>
        <w:rPr>
          <w:u w:val="single"/>
        </w:rPr>
        <w:t xml:space="preserve">CPS </w:t>
      </w:r>
      <w:r w:rsidRPr="008F447C">
        <w:rPr>
          <w:u w:val="single"/>
        </w:rPr>
        <w:t>power to take prosecutions over</w:t>
      </w:r>
    </w:p>
    <w:p w:rsidR="008F447C" w:rsidP="00043532">
      <w:pPr>
        <w:spacing w:line="360" w:lineRule="auto"/>
        <w:jc w:val="both"/>
      </w:pPr>
    </w:p>
    <w:p w:rsidR="009A6CA0" w:rsidP="00043532">
      <w:pPr>
        <w:spacing w:line="360" w:lineRule="auto"/>
        <w:jc w:val="both"/>
      </w:pPr>
      <w:r>
        <w:t>The most significant safeguard against the improper use of private prosecution</w:t>
      </w:r>
      <w:r>
        <w:t>s</w:t>
      </w:r>
      <w:r>
        <w:t xml:space="preserve"> is the power of the DPP to take over private prosecutions.</w:t>
      </w:r>
      <w:r>
        <w:rPr>
          <w:rStyle w:val="FootnoteReference"/>
        </w:rPr>
        <w:footnoteReference w:id="5"/>
      </w:r>
      <w:r>
        <w:t xml:space="preserve">  Although the DPP can use this power to take over the case and prosecute it, it can</w:t>
      </w:r>
      <w:r w:rsidRPr="00993DE5">
        <w:t xml:space="preserve"> also be exercised in combination with the power to discontinue proceedings under section 23 of the Act to bring</w:t>
      </w:r>
      <w:r w:rsidRPr="00993DE5">
        <w:t xml:space="preserve"> the prosecution to an end.  Therefore, </w:t>
      </w:r>
      <w:r>
        <w:t>a fundamental</w:t>
      </w:r>
      <w:r w:rsidRPr="00993DE5">
        <w:t xml:space="preserve"> issue is the cir</w:t>
      </w:r>
      <w:r>
        <w:t>cumstances in which the DPP</w:t>
      </w:r>
      <w:r w:rsidRPr="00993DE5">
        <w:t xml:space="preserve"> will </w:t>
      </w:r>
      <w:r>
        <w:t>take over</w:t>
      </w:r>
      <w:r w:rsidRPr="00993DE5">
        <w:t xml:space="preserve"> the prosecution and potentially terminate it.  As </w:t>
      </w:r>
      <w:r>
        <w:t xml:space="preserve">neither the legislation nor </w:t>
      </w:r>
      <w:r w:rsidRPr="00993DE5">
        <w:t>the Code for Crown Prosecutors</w:t>
      </w:r>
      <w:r>
        <w:t xml:space="preserve"> specifies</w:t>
      </w:r>
      <w:r w:rsidRPr="00993DE5">
        <w:t xml:space="preserve"> the circumstances</w:t>
      </w:r>
      <w:r>
        <w:t xml:space="preserve"> in whi</w:t>
      </w:r>
      <w:r>
        <w:t>ch</w:t>
      </w:r>
      <w:r w:rsidRPr="00993DE5">
        <w:t xml:space="preserve"> the CPS should tak</w:t>
      </w:r>
      <w:r>
        <w:t>e</w:t>
      </w:r>
      <w:r w:rsidRPr="00993DE5">
        <w:t xml:space="preserve"> over the prosecution or the criteria to be applied, reference needs to be made to the </w:t>
      </w:r>
      <w:r>
        <w:t>CPS policy on private prosecutions</w:t>
      </w:r>
      <w:r w:rsidRPr="00993DE5">
        <w:t>.</w:t>
      </w:r>
    </w:p>
    <w:p w:rsidR="0016303A" w:rsidRPr="00993DE5" w:rsidP="00043532">
      <w:pPr>
        <w:spacing w:line="360" w:lineRule="auto"/>
        <w:jc w:val="both"/>
      </w:pPr>
    </w:p>
    <w:p w:rsidR="00940D93" w:rsidP="00043532">
      <w:pPr>
        <w:spacing w:line="360" w:lineRule="auto"/>
        <w:jc w:val="both"/>
        <w:rPr>
          <w:lang w:val="en-US"/>
        </w:rPr>
      </w:pPr>
      <w:r>
        <w:t>T</w:t>
      </w:r>
      <w:r w:rsidRPr="00993DE5">
        <w:t>he current policy</w:t>
      </w:r>
      <w:r>
        <w:t xml:space="preserve"> applies the same test to private prosecutions as public prosecutions and</w:t>
      </w:r>
      <w:r w:rsidRPr="00993DE5">
        <w:t xml:space="preserve"> states:  ‘A privat</w:t>
      </w:r>
      <w:r w:rsidRPr="00993DE5">
        <w:t>e prosecution should be taken over and stopped if, upon review of the case papers, either the evidential sufficiency stage o</w:t>
      </w:r>
      <w:r>
        <w:t>r</w:t>
      </w:r>
      <w:r w:rsidRPr="00993DE5">
        <w:t xml:space="preserve"> the public interest stage of the Full Code Test is not met.’</w:t>
      </w:r>
      <w:r>
        <w:rPr>
          <w:rStyle w:val="FootnoteReference"/>
        </w:rPr>
        <w:footnoteReference w:id="6"/>
      </w:r>
      <w:r>
        <w:t xml:space="preserve">  Therefore, when the CPS reviews a private prosecution it will deter</w:t>
      </w:r>
      <w:r>
        <w:t xml:space="preserve">mine whether the prosecution should continue in the same way as </w:t>
      </w:r>
      <w:r>
        <w:t>if</w:t>
      </w:r>
      <w:r>
        <w:t xml:space="preserve"> </w:t>
      </w:r>
      <w:r>
        <w:t xml:space="preserve">the </w:t>
      </w:r>
      <w:r>
        <w:t>prosecution</w:t>
      </w:r>
      <w:r>
        <w:t xml:space="preserve"> was</w:t>
      </w:r>
      <w:r>
        <w:t xml:space="preserve"> </w:t>
      </w:r>
      <w:r>
        <w:t>brought</w:t>
      </w:r>
      <w:r>
        <w:t xml:space="preserve"> by the CPS.  </w:t>
      </w:r>
      <w:r>
        <w:rPr>
          <w:lang w:val="en-US"/>
        </w:rPr>
        <w:t xml:space="preserve">In the case of </w:t>
      </w:r>
      <w:r w:rsidRPr="00853538">
        <w:rPr>
          <w:i/>
          <w:iCs/>
          <w:lang w:val="en-US"/>
        </w:rPr>
        <w:t>Gujra</w:t>
      </w:r>
      <w:r>
        <w:rPr>
          <w:lang w:val="en-US"/>
        </w:rPr>
        <w:t xml:space="preserve"> a </w:t>
      </w:r>
      <w:r>
        <w:rPr>
          <w:lang w:val="en-US"/>
        </w:rPr>
        <w:t xml:space="preserve">3:2 </w:t>
      </w:r>
      <w:r>
        <w:rPr>
          <w:lang w:val="en-US"/>
        </w:rPr>
        <w:t>majority in the</w:t>
      </w:r>
      <w:r>
        <w:rPr>
          <w:lang w:val="en-US"/>
        </w:rPr>
        <w:t xml:space="preserve"> Supreme Court held that the CPS policy to apply the </w:t>
      </w:r>
      <w:r>
        <w:rPr>
          <w:lang w:val="en-US"/>
        </w:rPr>
        <w:t>same test to private prosecutions was lawful</w:t>
      </w:r>
      <w:r>
        <w:rPr>
          <w:lang w:val="en-US"/>
        </w:rPr>
        <w:t xml:space="preserve"> and did </w:t>
      </w:r>
      <w:r>
        <w:rPr>
          <w:lang w:val="en-US"/>
        </w:rPr>
        <w:t>not frustrate the power of citizens to bring private prosecution preserved by section 6 of the Prosecution of Offences Act 1985.</w:t>
      </w:r>
      <w:r>
        <w:rPr>
          <w:rStyle w:val="FootnoteReference"/>
          <w:lang w:val="en-US"/>
        </w:rPr>
        <w:footnoteReference w:id="7"/>
      </w:r>
      <w:r>
        <w:rPr>
          <w:lang w:val="en-US"/>
        </w:rPr>
        <w:t xml:space="preserve">  </w:t>
      </w:r>
      <w:r>
        <w:rPr>
          <w:lang w:val="en-US"/>
        </w:rPr>
        <w:t>The DPP may, therefore, take over and terminate a private prosecution on the basis that the CPS review has concluded that the</w:t>
      </w:r>
      <w:r>
        <w:rPr>
          <w:lang w:val="en-US"/>
        </w:rPr>
        <w:t xml:space="preserve">re is insufficient evidence for a realistic prospect of conviction or that it is not in the public interest to prosecute.  </w:t>
      </w:r>
      <w:r>
        <w:rPr>
          <w:lang w:val="en-US"/>
        </w:rPr>
        <w:t xml:space="preserve">Potentially, this provision is a powerful safeguard against evidentially weak private prosecutions or those brought in circumstances which run counter to the public interest.  </w:t>
      </w:r>
    </w:p>
    <w:p w:rsidR="00940D93" w:rsidP="00043532">
      <w:pPr>
        <w:spacing w:line="360" w:lineRule="auto"/>
        <w:jc w:val="both"/>
        <w:rPr>
          <w:lang w:val="en-US"/>
        </w:rPr>
      </w:pPr>
    </w:p>
    <w:p w:rsidR="003B79E0" w:rsidP="00043532">
      <w:pPr>
        <w:spacing w:line="360" w:lineRule="auto"/>
        <w:jc w:val="both"/>
        <w:rPr>
          <w:lang w:val="en-US"/>
        </w:rPr>
      </w:pPr>
      <w:r>
        <w:rPr>
          <w:lang w:val="en-US"/>
        </w:rPr>
        <w:t>The CPS may alternatively decide to take a prosecution over and continue it as</w:t>
      </w:r>
      <w:r>
        <w:rPr>
          <w:lang w:val="en-US"/>
        </w:rPr>
        <w:t xml:space="preserve"> a public prosecution.  However, t</w:t>
      </w:r>
      <w:r>
        <w:rPr>
          <w:lang w:val="en-US"/>
        </w:rPr>
        <w:t xml:space="preserve">he CPS will only </w:t>
      </w:r>
      <w:r>
        <w:rPr>
          <w:lang w:val="en-US"/>
        </w:rPr>
        <w:t>do so</w:t>
      </w:r>
      <w:r>
        <w:rPr>
          <w:lang w:val="en-US"/>
        </w:rPr>
        <w:t xml:space="preserve"> if both stages of the Full Code Test are met and ‘there is a particular need for the CPS to take over the prosecution.’</w:t>
      </w:r>
      <w:r>
        <w:rPr>
          <w:rStyle w:val="FootnoteReference"/>
          <w:lang w:val="en-US"/>
        </w:rPr>
        <w:footnoteReference w:id="8"/>
      </w:r>
      <w:r>
        <w:rPr>
          <w:lang w:val="en-US"/>
        </w:rPr>
        <w:t xml:space="preserve">  Therefore, </w:t>
      </w:r>
      <w:r>
        <w:rPr>
          <w:lang w:val="en-US"/>
        </w:rPr>
        <w:t>if the CPS conclude</w:t>
      </w:r>
      <w:r>
        <w:rPr>
          <w:lang w:val="en-US"/>
        </w:rPr>
        <w:t>s</w:t>
      </w:r>
      <w:r>
        <w:rPr>
          <w:lang w:val="en-US"/>
        </w:rPr>
        <w:t xml:space="preserve"> that the test for prosecution</w:t>
      </w:r>
      <w:r>
        <w:rPr>
          <w:lang w:val="en-US"/>
        </w:rPr>
        <w:t xml:space="preserve"> is met</w:t>
      </w:r>
      <w:r>
        <w:rPr>
          <w:lang w:val="en-US"/>
        </w:rPr>
        <w:t xml:space="preserve">, </w:t>
      </w:r>
      <w:r>
        <w:rPr>
          <w:lang w:val="en-US"/>
        </w:rPr>
        <w:t>it</w:t>
      </w:r>
      <w:r>
        <w:rPr>
          <w:lang w:val="en-US"/>
        </w:rPr>
        <w:t xml:space="preserve"> may </w:t>
      </w:r>
      <w:r>
        <w:rPr>
          <w:lang w:val="en-US"/>
        </w:rPr>
        <w:t>not take over the prosecution unless there are particular reasons why the matter should be brought by the CPS rather than the private prosecutor.</w:t>
      </w:r>
      <w:r>
        <w:rPr>
          <w:lang w:val="en-US"/>
        </w:rPr>
        <w:t xml:space="preserve">  When the prosecution is being brought by an established organization with a background of prosecuting matters</w:t>
      </w:r>
      <w:r>
        <w:rPr>
          <w:lang w:val="en-US"/>
        </w:rPr>
        <w:t xml:space="preserve"> of a similar type, there may be no obvious need to intervene.</w:t>
      </w:r>
    </w:p>
    <w:p w:rsidR="005F1362" w:rsidP="00043532">
      <w:pPr>
        <w:spacing w:line="360" w:lineRule="auto"/>
        <w:jc w:val="both"/>
        <w:rPr>
          <w:lang w:val="en-US"/>
        </w:rPr>
      </w:pPr>
    </w:p>
    <w:p w:rsidR="005F07BB" w:rsidRPr="00D94DB7" w:rsidP="00043532">
      <w:pPr>
        <w:spacing w:line="360" w:lineRule="auto"/>
        <w:jc w:val="both"/>
        <w:rPr>
          <w:lang w:val="en-US"/>
        </w:rPr>
      </w:pPr>
      <w:r>
        <w:rPr>
          <w:lang w:val="en-US"/>
        </w:rPr>
        <w:t>A</w:t>
      </w:r>
      <w:r>
        <w:rPr>
          <w:lang w:val="en-US"/>
        </w:rPr>
        <w:t xml:space="preserve"> primary limitation of the power to take prosecutions over is that the CPS is not automatically notified of private prosecutions.  In reality, this power relies on either the defendant</w:t>
      </w:r>
      <w:r>
        <w:rPr>
          <w:lang w:val="en-US"/>
        </w:rPr>
        <w:t xml:space="preserve">, </w:t>
      </w:r>
      <w:r>
        <w:rPr>
          <w:lang w:val="en-US"/>
        </w:rPr>
        <w:t>the c</w:t>
      </w:r>
      <w:r>
        <w:rPr>
          <w:lang w:val="en-US"/>
        </w:rPr>
        <w:t>ourt</w:t>
      </w:r>
      <w:r>
        <w:rPr>
          <w:lang w:val="en-US"/>
        </w:rPr>
        <w:t xml:space="preserve"> or a third party</w:t>
      </w:r>
      <w:r>
        <w:rPr>
          <w:lang w:val="en-US"/>
        </w:rPr>
        <w:t xml:space="preserve"> requesting that the CPS review the case.  </w:t>
      </w:r>
      <w:r>
        <w:rPr>
          <w:lang w:val="en-US"/>
        </w:rPr>
        <w:t>An individual defendant may not be aware of th</w:t>
      </w:r>
      <w:r>
        <w:rPr>
          <w:lang w:val="en-US"/>
        </w:rPr>
        <w:t xml:space="preserve">e prospect of a CPS review </w:t>
      </w:r>
      <w:r>
        <w:rPr>
          <w:lang w:val="en-US"/>
        </w:rPr>
        <w:t>and even if such a request is made there would likely to be a degree of delay before the case is reviewed</w:t>
      </w:r>
      <w:r>
        <w:rPr>
          <w:lang w:val="en-US"/>
        </w:rPr>
        <w:t xml:space="preserve"> and resolved</w:t>
      </w:r>
      <w:r>
        <w:rPr>
          <w:lang w:val="en-US"/>
        </w:rPr>
        <w:t>.</w:t>
      </w:r>
      <w:r>
        <w:rPr>
          <w:lang w:val="en-US"/>
        </w:rPr>
        <w:t xml:space="preserve">  A further limitation is that the review of the evidence and public interest aspects of the prosecution does not regulate </w:t>
      </w:r>
      <w:r>
        <w:rPr>
          <w:lang w:val="en-US"/>
        </w:rPr>
        <w:t xml:space="preserve">how </w:t>
      </w:r>
      <w:r>
        <w:rPr>
          <w:lang w:val="en-US"/>
        </w:rPr>
        <w:t xml:space="preserve">the </w:t>
      </w:r>
      <w:r>
        <w:rPr>
          <w:lang w:val="en-US"/>
        </w:rPr>
        <w:t xml:space="preserve">private </w:t>
      </w:r>
      <w:r>
        <w:rPr>
          <w:lang w:val="en-US"/>
        </w:rPr>
        <w:t>prosecut</w:t>
      </w:r>
      <w:r>
        <w:rPr>
          <w:lang w:val="en-US"/>
        </w:rPr>
        <w:t>or</w:t>
      </w:r>
      <w:r>
        <w:rPr>
          <w:lang w:val="en-US"/>
        </w:rPr>
        <w:t xml:space="preserve"> conduct</w:t>
      </w:r>
      <w:r>
        <w:rPr>
          <w:lang w:val="en-US"/>
        </w:rPr>
        <w:t>s</w:t>
      </w:r>
      <w:r>
        <w:rPr>
          <w:lang w:val="en-US"/>
        </w:rPr>
        <w:t xml:space="preserve"> </w:t>
      </w:r>
      <w:r>
        <w:rPr>
          <w:lang w:val="en-US"/>
        </w:rPr>
        <w:t xml:space="preserve">the prosecution; </w:t>
      </w:r>
      <w:r>
        <w:rPr>
          <w:lang w:val="en-US"/>
        </w:rPr>
        <w:t>the review potentially takes place at one point in time and does not involve ong</w:t>
      </w:r>
      <w:r>
        <w:rPr>
          <w:lang w:val="en-US"/>
        </w:rPr>
        <w:t>oing oversight of the case by the CPS</w:t>
      </w:r>
      <w:r>
        <w:rPr>
          <w:lang w:val="en-US"/>
        </w:rPr>
        <w:t xml:space="preserve">.  There is the </w:t>
      </w:r>
      <w:r>
        <w:rPr>
          <w:lang w:val="en-US"/>
        </w:rPr>
        <w:t>possibility</w:t>
      </w:r>
      <w:r>
        <w:rPr>
          <w:lang w:val="en-US"/>
        </w:rPr>
        <w:t xml:space="preserve"> that having been allowed to continue the prosecution, the private prosecutor </w:t>
      </w:r>
      <w:r>
        <w:rPr>
          <w:lang w:val="en-US"/>
        </w:rPr>
        <w:t xml:space="preserve">subsequently </w:t>
      </w:r>
      <w:r>
        <w:rPr>
          <w:lang w:val="en-US"/>
        </w:rPr>
        <w:t>makes questionable decisions which are at odds with how the public prosecutor would have conducted th</w:t>
      </w:r>
      <w:r>
        <w:rPr>
          <w:lang w:val="en-US"/>
        </w:rPr>
        <w:t>e proceedings.</w:t>
      </w:r>
      <w:r>
        <w:rPr>
          <w:lang w:val="en-US"/>
        </w:rPr>
        <w:t xml:space="preserve">  Such decisions could be detriment</w:t>
      </w:r>
      <w:r>
        <w:rPr>
          <w:lang w:val="en-US"/>
        </w:rPr>
        <w:t>al to the interests</w:t>
      </w:r>
      <w:r>
        <w:rPr>
          <w:lang w:val="en-US"/>
        </w:rPr>
        <w:t xml:space="preserve"> of the defendant who, i</w:t>
      </w:r>
      <w:r>
        <w:rPr>
          <w:lang w:val="en-US"/>
        </w:rPr>
        <w:t xml:space="preserve">n such circumstances, </w:t>
      </w:r>
      <w:r>
        <w:rPr>
          <w:lang w:val="en-US"/>
        </w:rPr>
        <w:t xml:space="preserve">could </w:t>
      </w:r>
      <w:r>
        <w:rPr>
          <w:lang w:val="en-US"/>
        </w:rPr>
        <w:t xml:space="preserve">only </w:t>
      </w:r>
      <w:r>
        <w:rPr>
          <w:lang w:val="en-US"/>
        </w:rPr>
        <w:t xml:space="preserve">attempt to refer the matter back to the CPS for a further review or </w:t>
      </w:r>
      <w:r>
        <w:rPr>
          <w:lang w:val="en-US"/>
        </w:rPr>
        <w:t xml:space="preserve">rely on the </w:t>
      </w:r>
      <w:r>
        <w:rPr>
          <w:lang w:val="en-US"/>
        </w:rPr>
        <w:t xml:space="preserve">standard </w:t>
      </w:r>
      <w:r>
        <w:rPr>
          <w:lang w:val="en-US"/>
        </w:rPr>
        <w:t>safeguards within the trial process that a</w:t>
      </w:r>
      <w:r>
        <w:rPr>
          <w:lang w:val="en-US"/>
        </w:rPr>
        <w:t>re available to all defendants.</w:t>
      </w:r>
    </w:p>
    <w:p w:rsidR="00E77B02" w:rsidP="00043532">
      <w:pPr>
        <w:spacing w:line="360" w:lineRule="auto"/>
        <w:jc w:val="both"/>
      </w:pPr>
    </w:p>
    <w:p w:rsidR="00E77B02" w:rsidP="00043532">
      <w:pPr>
        <w:spacing w:line="360" w:lineRule="auto"/>
        <w:jc w:val="both"/>
        <w:rPr>
          <w:u w:val="single"/>
          <w:lang w:val="en-US"/>
        </w:rPr>
      </w:pPr>
      <w:r>
        <w:rPr>
          <w:u w:val="single"/>
          <w:lang w:val="en-US"/>
        </w:rPr>
        <w:t>Consents to prosecute</w:t>
      </w:r>
    </w:p>
    <w:p w:rsidR="00E77B02" w:rsidRPr="00A57B99" w:rsidP="00043532">
      <w:pPr>
        <w:spacing w:line="360" w:lineRule="auto"/>
        <w:jc w:val="both"/>
        <w:rPr>
          <w:u w:val="single"/>
          <w:lang w:val="en-US"/>
        </w:rPr>
      </w:pPr>
    </w:p>
    <w:p w:rsidR="00E77B02" w:rsidP="00043532">
      <w:pPr>
        <w:spacing w:line="360" w:lineRule="auto"/>
        <w:jc w:val="both"/>
      </w:pPr>
      <w:r>
        <w:t xml:space="preserve">An existing </w:t>
      </w:r>
      <w:r>
        <w:t>measure</w:t>
      </w:r>
      <w:r>
        <w:t xml:space="preserve"> that regulates</w:t>
      </w:r>
      <w:r w:rsidRPr="00993DE5">
        <w:t xml:space="preserve"> private prosecution</w:t>
      </w:r>
      <w:r>
        <w:t>s</w:t>
      </w:r>
      <w:r w:rsidRPr="00993DE5">
        <w:t xml:space="preserve"> is</w:t>
      </w:r>
      <w:r>
        <w:t xml:space="preserve"> that</w:t>
      </w:r>
      <w:r w:rsidRPr="00993DE5">
        <w:t xml:space="preserve"> </w:t>
      </w:r>
      <w:r>
        <w:t xml:space="preserve">the </w:t>
      </w:r>
      <w:r w:rsidRPr="00993DE5">
        <w:t>consent of either the DPP or Attorney General</w:t>
      </w:r>
      <w:r>
        <w:t xml:space="preserve"> is required by statute to</w:t>
      </w:r>
      <w:r w:rsidRPr="00993DE5">
        <w:t xml:space="preserve"> bring proceedings for </w:t>
      </w:r>
      <w:r>
        <w:t>some</w:t>
      </w:r>
      <w:r w:rsidRPr="00993DE5">
        <w:t xml:space="preserve"> offences.</w:t>
      </w:r>
      <w:r>
        <w:rPr>
          <w:rStyle w:val="FootnoteReference"/>
        </w:rPr>
        <w:footnoteReference w:id="9"/>
      </w:r>
      <w:r w:rsidRPr="00993DE5">
        <w:t xml:space="preserve">  The list of offences for which there is a statutory consent requirement </w:t>
      </w:r>
      <w:r>
        <w:t xml:space="preserve">was </w:t>
      </w:r>
      <w:r w:rsidRPr="00993DE5">
        <w:t>described by the Law Commission as ‘haphazard’ as the regime lacks clear principles and consistency.</w:t>
      </w:r>
      <w:r>
        <w:rPr>
          <w:rStyle w:val="FootnoteReference"/>
        </w:rPr>
        <w:footnoteReference w:id="10"/>
      </w:r>
      <w:r w:rsidRPr="00993DE5">
        <w:t xml:space="preserve">  </w:t>
      </w:r>
      <w:r>
        <w:t>Although the consents regime could be seen as an effective safeguard in rel</w:t>
      </w:r>
      <w:r>
        <w:t xml:space="preserve">ation to those offences to which it applies, in its current form it offers no protection in relation to offences which do not have a </w:t>
      </w:r>
      <w:r>
        <w:t xml:space="preserve">statutory </w:t>
      </w:r>
      <w:r>
        <w:t>consent requirement.</w:t>
      </w:r>
      <w:r>
        <w:t xml:space="preserve">  Therefore, </w:t>
      </w:r>
      <w:r>
        <w:t>the current arrangements</w:t>
      </w:r>
      <w:r>
        <w:t xml:space="preserve"> </w:t>
      </w:r>
      <w:r>
        <w:t xml:space="preserve">are </w:t>
      </w:r>
      <w:r>
        <w:t>of limited value in</w:t>
      </w:r>
      <w:r>
        <w:t xml:space="preserve"> regulating private prosecutions</w:t>
      </w:r>
      <w:r>
        <w:t xml:space="preserve"> </w:t>
      </w:r>
      <w:r>
        <w:t xml:space="preserve">more </w:t>
      </w:r>
      <w:r>
        <w:t>generally</w:t>
      </w:r>
      <w:r>
        <w:t xml:space="preserve">. </w:t>
      </w:r>
    </w:p>
    <w:p w:rsidR="009D403C" w:rsidP="00043532">
      <w:pPr>
        <w:spacing w:line="360" w:lineRule="auto"/>
        <w:jc w:val="both"/>
      </w:pPr>
    </w:p>
    <w:p w:rsidR="009D403C" w:rsidP="00043532">
      <w:pPr>
        <w:spacing w:line="360" w:lineRule="auto"/>
        <w:jc w:val="both"/>
        <w:rPr>
          <w:u w:val="single"/>
        </w:rPr>
      </w:pPr>
      <w:r>
        <w:rPr>
          <w:u w:val="single"/>
        </w:rPr>
        <w:t>Other sanctions</w:t>
      </w:r>
    </w:p>
    <w:p w:rsidR="009D403C" w:rsidP="00043532">
      <w:pPr>
        <w:spacing w:line="360" w:lineRule="auto"/>
        <w:jc w:val="both"/>
        <w:rPr>
          <w:u w:val="single"/>
        </w:rPr>
      </w:pPr>
    </w:p>
    <w:p w:rsidR="00BC1C54" w:rsidRPr="00993DE5" w:rsidP="00043532">
      <w:pPr>
        <w:spacing w:line="360" w:lineRule="auto"/>
        <w:jc w:val="both"/>
      </w:pPr>
      <w:r>
        <w:t xml:space="preserve">There is the potential for the courts to impose costs orders against private prosecutors as a result of inappropriate conduct.  In </w:t>
      </w:r>
      <w:r w:rsidRPr="00BC1C54">
        <w:rPr>
          <w:i/>
          <w:iCs/>
        </w:rPr>
        <w:t>Holloway</w:t>
      </w:r>
      <w:r>
        <w:rPr>
          <w:i/>
          <w:iCs/>
        </w:rPr>
        <w:t>,</w:t>
      </w:r>
      <w:r>
        <w:t xml:space="preserve"> the High Court indicated that private prosecutors have an obligation to conduct an objective analysis of the evidence to determine whether there is a realistic prospect of conviction and failing to refer the matter to the authorities or to take legal advi</w:t>
      </w:r>
      <w:r>
        <w:t>ce may ‘give rise to an inference that a private prosecutor was determined to go ahead regardless of the prospects of success.’</w:t>
      </w:r>
      <w:r>
        <w:rPr>
          <w:rStyle w:val="FootnoteReference"/>
        </w:rPr>
        <w:footnoteReference w:id="11"/>
      </w:r>
      <w:r>
        <w:t xml:space="preserve">  The possibility of a costs order therefore represents a real risk to the private prosecutor if the court subsequently conclude</w:t>
      </w:r>
      <w:r>
        <w:t xml:space="preserve">s that a case was pursued which did not reach the required evidential threshold.  However, as with a potential claim of malicious prosecution, sanctions of this type do not really regulate private prosecutions as </w:t>
      </w:r>
      <w:r>
        <w:t>such but</w:t>
      </w:r>
      <w:r>
        <w:t xml:space="preserve"> provide an </w:t>
      </w:r>
      <w:r w:rsidRPr="00B508B1">
        <w:rPr>
          <w:i/>
          <w:iCs/>
        </w:rPr>
        <w:t>ex post facto</w:t>
      </w:r>
      <w:r>
        <w:t xml:space="preserve"> </w:t>
      </w:r>
      <w:r>
        <w:t>sanction</w:t>
      </w:r>
      <w:r>
        <w:t xml:space="preserve"> </w:t>
      </w:r>
      <w:r>
        <w:t xml:space="preserve">for </w:t>
      </w:r>
      <w:r>
        <w:t>private prosecution</w:t>
      </w:r>
      <w:r>
        <w:t>s that</w:t>
      </w:r>
      <w:r>
        <w:t xml:space="preserve"> w</w:t>
      </w:r>
      <w:r>
        <w:t>ere</w:t>
      </w:r>
      <w:r>
        <w:t xml:space="preserve"> either inappropriate</w:t>
      </w:r>
      <w:r>
        <w:t>ly</w:t>
      </w:r>
      <w:r>
        <w:t xml:space="preserve"> brought or </w:t>
      </w:r>
      <w:r>
        <w:t xml:space="preserve">poorly </w:t>
      </w:r>
      <w:r>
        <w:t xml:space="preserve">conducted. </w:t>
      </w:r>
    </w:p>
    <w:p w:rsidR="00C21F07" w:rsidP="00043532">
      <w:pPr>
        <w:spacing w:line="360" w:lineRule="auto"/>
        <w:jc w:val="both"/>
        <w:rPr>
          <w:b/>
          <w:bCs/>
          <w:u w:val="single"/>
        </w:rPr>
      </w:pPr>
    </w:p>
    <w:p w:rsidR="005B589A" w:rsidRPr="00217175" w:rsidP="00043532">
      <w:pPr>
        <w:spacing w:line="360" w:lineRule="auto"/>
        <w:jc w:val="both"/>
        <w:rPr>
          <w:b/>
          <w:bCs/>
          <w:u w:val="single"/>
        </w:rPr>
      </w:pPr>
      <w:r w:rsidRPr="00217175">
        <w:rPr>
          <w:b/>
          <w:bCs/>
          <w:u w:val="single"/>
        </w:rPr>
        <w:t>Whether the existing investigatory standards and duties of disclosure that apply to private prosecutions are effective</w:t>
      </w:r>
    </w:p>
    <w:p w:rsidR="009214B9" w:rsidP="00043532">
      <w:pPr>
        <w:spacing w:line="360" w:lineRule="auto"/>
        <w:jc w:val="both"/>
      </w:pPr>
    </w:p>
    <w:p w:rsidR="009214B9" w:rsidRPr="009214B9" w:rsidP="00043532">
      <w:pPr>
        <w:spacing w:line="360" w:lineRule="auto"/>
        <w:jc w:val="both"/>
        <w:rPr>
          <w:u w:val="single"/>
        </w:rPr>
      </w:pPr>
      <w:r w:rsidRPr="009214B9">
        <w:rPr>
          <w:u w:val="single"/>
        </w:rPr>
        <w:t>Disclosure</w:t>
      </w:r>
    </w:p>
    <w:p w:rsidR="009214B9" w:rsidP="00043532">
      <w:pPr>
        <w:spacing w:line="360" w:lineRule="auto"/>
        <w:jc w:val="both"/>
      </w:pPr>
    </w:p>
    <w:p w:rsidR="00B020C5" w:rsidP="00043532">
      <w:pPr>
        <w:spacing w:line="360" w:lineRule="auto"/>
        <w:jc w:val="both"/>
      </w:pPr>
      <w:r w:rsidRPr="00993DE5">
        <w:t xml:space="preserve">The private prosecutor has a duty to comply with both the statutory disclosure regime under the Criminal Procedure and Investigations Act 1996 and the common law duty of disclosure under </w:t>
      </w:r>
      <w:r w:rsidRPr="00993DE5">
        <w:rPr>
          <w:i/>
        </w:rPr>
        <w:t>ex p Lee.</w:t>
      </w:r>
      <w:r>
        <w:rPr>
          <w:rStyle w:val="FootnoteReference"/>
        </w:rPr>
        <w:footnoteReference w:id="12"/>
      </w:r>
      <w:r w:rsidRPr="00993DE5">
        <w:rPr>
          <w:i/>
        </w:rPr>
        <w:t xml:space="preserve">  </w:t>
      </w:r>
      <w:r w:rsidRPr="00993DE5">
        <w:t xml:space="preserve">The prosecutor is required under section 3 of the Act to </w:t>
      </w:r>
      <w:r w:rsidRPr="00993DE5">
        <w:t>disclose to the defence any unused material which ‘might reasonably be considered capable of undermining the case for the prosecution against the accused, or of assisting the case for the accused.’</w:t>
      </w:r>
    </w:p>
    <w:p w:rsidR="00B020C5" w:rsidP="00043532">
      <w:pPr>
        <w:spacing w:line="360" w:lineRule="auto"/>
        <w:jc w:val="both"/>
      </w:pPr>
    </w:p>
    <w:p w:rsidR="00912217" w:rsidRPr="00993DE5" w:rsidP="00043532">
      <w:pPr>
        <w:spacing w:line="360" w:lineRule="auto"/>
        <w:jc w:val="both"/>
      </w:pPr>
      <w:r w:rsidRPr="00993DE5">
        <w:t xml:space="preserve">The nuances of the disclosure regime are complex to even </w:t>
      </w:r>
      <w:r w:rsidRPr="00993DE5">
        <w:t xml:space="preserve">experienced prosecutors </w:t>
      </w:r>
      <w:r>
        <w:t>with disclosure failures being linked to miscarriages of justice.</w:t>
      </w:r>
      <w:r>
        <w:rPr>
          <w:rStyle w:val="FootnoteReference"/>
        </w:rPr>
        <w:footnoteReference w:id="13"/>
      </w:r>
      <w:r>
        <w:t xml:space="preserve">  </w:t>
      </w:r>
      <w:r>
        <w:t>Decisions relating to t</w:t>
      </w:r>
      <w:r>
        <w:t>he disclosure of unused material</w:t>
      </w:r>
      <w:r>
        <w:t xml:space="preserve"> requires </w:t>
      </w:r>
      <w:r>
        <w:t xml:space="preserve">specialist knowledge </w:t>
      </w:r>
      <w:r>
        <w:t xml:space="preserve">of the disclosure regime </w:t>
      </w:r>
      <w:r>
        <w:t>and may not be available to private prosecutors.  A r</w:t>
      </w:r>
      <w:r>
        <w:t>eview in 2018 recommended a joint CPS/Police disclosure Improvement Plan and national processes for managing disclosure issues relating to digital media.</w:t>
      </w:r>
      <w:r>
        <w:rPr>
          <w:rStyle w:val="FootnoteReference"/>
        </w:rPr>
        <w:footnoteReference w:id="14"/>
      </w:r>
      <w:r>
        <w:t xml:space="preserve">  This resulted in a National Disclosure Improvement Plan which committed to mandatory disclosure trai</w:t>
      </w:r>
      <w:r>
        <w:t>ning for CPS prosecutors</w:t>
      </w:r>
      <w:r>
        <w:t>.</w:t>
      </w:r>
      <w:r>
        <w:rPr>
          <w:rStyle w:val="FootnoteReference"/>
        </w:rPr>
        <w:footnoteReference w:id="15"/>
      </w:r>
      <w:r>
        <w:t xml:space="preserve">  This highlights how the disclosure of unused material can be a complex area </w:t>
      </w:r>
      <w:r>
        <w:t xml:space="preserve">requiring  a high </w:t>
      </w:r>
      <w:r>
        <w:t xml:space="preserve">the level of specialist training that the CPS has put in place to ensure that prosecutors are competent in this area.  It is unlikely </w:t>
      </w:r>
      <w:r>
        <w:t>that the majority of private prosecutors will have this level of training and thus the risk</w:t>
      </w:r>
      <w:r>
        <w:t xml:space="preserve"> miscarriages of justice</w:t>
      </w:r>
      <w:r>
        <w:t xml:space="preserve"> could be increased.  </w:t>
      </w:r>
    </w:p>
    <w:p w:rsidR="005B589A" w:rsidP="00043532">
      <w:pPr>
        <w:spacing w:line="360" w:lineRule="auto"/>
        <w:jc w:val="both"/>
      </w:pPr>
    </w:p>
    <w:p w:rsidR="005B589A" w:rsidRPr="00217175" w:rsidP="00043532">
      <w:pPr>
        <w:spacing w:line="360" w:lineRule="auto"/>
        <w:jc w:val="both"/>
        <w:rPr>
          <w:b/>
          <w:bCs/>
          <w:u w:val="single"/>
        </w:rPr>
      </w:pPr>
      <w:r w:rsidRPr="00217175">
        <w:rPr>
          <w:b/>
          <w:bCs/>
          <w:u w:val="single"/>
        </w:rPr>
        <w:t>The role of the courts in private prosecutions;</w:t>
      </w:r>
    </w:p>
    <w:p w:rsidR="00217175" w:rsidP="00043532">
      <w:pPr>
        <w:spacing w:line="360" w:lineRule="auto"/>
        <w:jc w:val="both"/>
      </w:pPr>
    </w:p>
    <w:p w:rsidR="00E77B02" w:rsidRPr="00E77B02" w:rsidP="00043532">
      <w:pPr>
        <w:spacing w:line="360" w:lineRule="auto"/>
        <w:jc w:val="both"/>
        <w:rPr>
          <w:u w:val="single"/>
        </w:rPr>
      </w:pPr>
      <w:r w:rsidRPr="00E77B02">
        <w:rPr>
          <w:u w:val="single"/>
        </w:rPr>
        <w:t>Issuing proceedings</w:t>
      </w:r>
    </w:p>
    <w:p w:rsidR="00E77B02" w:rsidP="00043532">
      <w:pPr>
        <w:spacing w:line="360" w:lineRule="auto"/>
        <w:jc w:val="both"/>
      </w:pPr>
    </w:p>
    <w:p w:rsidR="00151A0B" w:rsidP="00043532">
      <w:pPr>
        <w:spacing w:line="360" w:lineRule="auto"/>
        <w:jc w:val="both"/>
      </w:pPr>
      <w:r>
        <w:t>To commence</w:t>
      </w:r>
      <w:r w:rsidRPr="00993DE5">
        <w:t xml:space="preserve"> a private prosecution, </w:t>
      </w:r>
      <w:r>
        <w:t>t</w:t>
      </w:r>
      <w:r w:rsidRPr="00993DE5">
        <w:t xml:space="preserve">he </w:t>
      </w:r>
      <w:r>
        <w:t xml:space="preserve">private </w:t>
      </w:r>
      <w:r>
        <w:t xml:space="preserve">prosecutor </w:t>
      </w:r>
      <w:r w:rsidRPr="00993DE5">
        <w:t>needs to lay an information for a summons or warrant under section 1 of the Magistrates’ Court Act 1980.  This is not an automatic process and a formal application does have to be made which can result in a refusal as the court does have a gate-</w:t>
      </w:r>
      <w:r w:rsidRPr="00993DE5">
        <w:t xml:space="preserve">keeping role </w:t>
      </w:r>
      <w:r>
        <w:t>in the procedure</w:t>
      </w:r>
      <w:r w:rsidRPr="00993DE5">
        <w:t xml:space="preserve">.  </w:t>
      </w:r>
      <w:r w:rsidRPr="00993DE5">
        <w:t xml:space="preserve">The judgment of Silber J in </w:t>
      </w:r>
      <w:r w:rsidRPr="00993DE5">
        <w:rPr>
          <w:i/>
        </w:rPr>
        <w:t xml:space="preserve">R (Charlson) v Guildford Magistrates’ Court </w:t>
      </w:r>
      <w:r w:rsidRPr="00993DE5">
        <w:t>sets out the principles that the magistrates’ court should apply when considering such an application.</w:t>
      </w:r>
      <w:r>
        <w:rPr>
          <w:rStyle w:val="FootnoteReference"/>
        </w:rPr>
        <w:footnoteReference w:id="16"/>
      </w:r>
      <w:r w:rsidRPr="00993DE5">
        <w:t xml:space="preserve">  </w:t>
      </w:r>
      <w:r>
        <w:t>T</w:t>
      </w:r>
      <w:r w:rsidRPr="00993DE5">
        <w:t xml:space="preserve">he court should consider a number of </w:t>
      </w:r>
      <w:r w:rsidRPr="00993DE5">
        <w:t xml:space="preserve">factors such as whether the offence is known to law, the essential ingredients are present, </w:t>
      </w:r>
      <w:r w:rsidRPr="00993DE5">
        <w:t>whether it is time-barred, whether the court has jurisdiction, whether any statutory consents to prosecute have been obtained and any other relevant facts.</w:t>
      </w:r>
      <w:r>
        <w:rPr>
          <w:rStyle w:val="FootnoteReference"/>
        </w:rPr>
        <w:footnoteReference w:id="17"/>
      </w:r>
      <w:r>
        <w:t xml:space="preserve">  </w:t>
      </w:r>
      <w:r>
        <w:t>T</w:t>
      </w:r>
      <w:r w:rsidRPr="00993DE5">
        <w:t>he</w:t>
      </w:r>
      <w:r>
        <w:t xml:space="preserve"> co</w:t>
      </w:r>
      <w:r>
        <w:t xml:space="preserve">urt should </w:t>
      </w:r>
      <w:r>
        <w:t xml:space="preserve">also </w:t>
      </w:r>
      <w:r>
        <w:t>refuse the application</w:t>
      </w:r>
      <w:r w:rsidRPr="00993DE5">
        <w:t xml:space="preserve"> </w:t>
      </w:r>
      <w:r>
        <w:t xml:space="preserve">for a summons </w:t>
      </w:r>
      <w:r w:rsidRPr="00993DE5">
        <w:t>whe</w:t>
      </w:r>
      <w:r>
        <w:t>n a prosecution</w:t>
      </w:r>
      <w:r w:rsidRPr="00993DE5">
        <w:t xml:space="preserve"> would be vexatious or improper.</w:t>
      </w:r>
      <w:r>
        <w:rPr>
          <w:rStyle w:val="FootnoteReference"/>
        </w:rPr>
        <w:footnoteReference w:id="18"/>
      </w:r>
      <w:r w:rsidRPr="00993DE5">
        <w:t xml:space="preserve">  </w:t>
      </w:r>
      <w:r>
        <w:t>The Administrative Court has quashed decisions to issue summons for private prosecutions where there has been insufficient judicial consideration of w</w:t>
      </w:r>
      <w:r>
        <w:t>hether the essential elements of the offence are present and whether or not the allegation is vexatious.</w:t>
      </w:r>
      <w:r>
        <w:rPr>
          <w:rStyle w:val="FootnoteReference"/>
        </w:rPr>
        <w:footnoteReference w:id="19"/>
      </w:r>
      <w:r>
        <w:t xml:space="preserve">  </w:t>
      </w:r>
    </w:p>
    <w:p w:rsidR="002954D2" w:rsidP="00043532">
      <w:pPr>
        <w:spacing w:line="360" w:lineRule="auto"/>
        <w:jc w:val="both"/>
      </w:pPr>
    </w:p>
    <w:p w:rsidR="002954D2" w:rsidP="00043532">
      <w:pPr>
        <w:spacing w:line="360" w:lineRule="auto"/>
        <w:jc w:val="both"/>
      </w:pPr>
      <w:r>
        <w:t xml:space="preserve">Arguably, this is not currently the most effective way of regulating private prosecutions, particularly those brought by organisations rather than </w:t>
      </w:r>
      <w:r>
        <w:t xml:space="preserve">private individuals.  The court only has limited information available to determine whether a summons should be issued and does not routinely engage in a full enquiry into the reasons for the prosecution or factors such as the strength of the evidence. </w:t>
      </w:r>
    </w:p>
    <w:p w:rsidR="00E77B02" w:rsidP="00043532">
      <w:pPr>
        <w:spacing w:line="360" w:lineRule="auto"/>
        <w:jc w:val="both"/>
        <w:rPr>
          <w:b/>
          <w:bCs/>
          <w:u w:val="single"/>
        </w:rPr>
      </w:pPr>
    </w:p>
    <w:p w:rsidR="006256C6" w:rsidP="00043532">
      <w:pPr>
        <w:spacing w:line="360" w:lineRule="auto"/>
        <w:jc w:val="both"/>
        <w:rPr>
          <w:b/>
          <w:bCs/>
          <w:u w:val="single"/>
        </w:rPr>
      </w:pPr>
      <w:r w:rsidRPr="00217175">
        <w:rPr>
          <w:b/>
          <w:bCs/>
          <w:u w:val="single"/>
        </w:rPr>
        <w:t>A</w:t>
      </w:r>
      <w:r w:rsidRPr="00217175">
        <w:rPr>
          <w:b/>
          <w:bCs/>
          <w:u w:val="single"/>
        </w:rPr>
        <w:t>lternative legislative, legal and administrative safeguards that could be used to regulate the way in which large organisations use the right to bring private prosecutions;</w:t>
      </w:r>
    </w:p>
    <w:p w:rsidR="006256C6" w:rsidRPr="00217175" w:rsidP="00043532">
      <w:pPr>
        <w:spacing w:line="360" w:lineRule="auto"/>
        <w:ind w:left="360"/>
        <w:jc w:val="both"/>
        <w:rPr>
          <w:b/>
          <w:bCs/>
          <w:u w:val="single"/>
        </w:rPr>
      </w:pPr>
    </w:p>
    <w:p w:rsidR="0002378E" w:rsidP="00043532">
      <w:pPr>
        <w:spacing w:line="360" w:lineRule="auto"/>
        <w:jc w:val="both"/>
        <w:rPr>
          <w:lang w:val="en-US"/>
        </w:rPr>
      </w:pPr>
      <w:r>
        <w:rPr>
          <w:lang w:val="en-US"/>
        </w:rPr>
        <w:t>There are a number of possible additional safeguards which could be implemented to</w:t>
      </w:r>
      <w:r>
        <w:rPr>
          <w:lang w:val="en-US"/>
        </w:rPr>
        <w:t xml:space="preserve"> increase the regulation of private prosecutions.  Some options would</w:t>
      </w:r>
      <w:r>
        <w:rPr>
          <w:lang w:val="en-US"/>
        </w:rPr>
        <w:t xml:space="preserve"> strengthen</w:t>
      </w:r>
      <w:r>
        <w:rPr>
          <w:lang w:val="en-US"/>
        </w:rPr>
        <w:t xml:space="preserve"> the </w:t>
      </w:r>
      <w:r>
        <w:rPr>
          <w:lang w:val="en-US"/>
        </w:rPr>
        <w:t xml:space="preserve">existing </w:t>
      </w:r>
      <w:r>
        <w:rPr>
          <w:lang w:val="en-US"/>
        </w:rPr>
        <w:t xml:space="preserve">provisions that are already in place; others would be new initiatives. </w:t>
      </w:r>
      <w:r>
        <w:rPr>
          <w:lang w:val="en-US"/>
        </w:rPr>
        <w:t xml:space="preserve"> Realistically, </w:t>
      </w:r>
      <w:r>
        <w:rPr>
          <w:lang w:val="en-US"/>
        </w:rPr>
        <w:t>reinforcing</w:t>
      </w:r>
      <w:r>
        <w:rPr>
          <w:lang w:val="en-US"/>
        </w:rPr>
        <w:t xml:space="preserve"> the regulation of private prosecution</w:t>
      </w:r>
      <w:r>
        <w:rPr>
          <w:lang w:val="en-US"/>
        </w:rPr>
        <w:t>s</w:t>
      </w:r>
      <w:r>
        <w:rPr>
          <w:lang w:val="en-US"/>
        </w:rPr>
        <w:t xml:space="preserve"> requires increasing the </w:t>
      </w:r>
      <w:r>
        <w:rPr>
          <w:lang w:val="en-US"/>
        </w:rPr>
        <w:t xml:space="preserve">gatekeeping role of either the courts or the CPS.  </w:t>
      </w:r>
      <w:r>
        <w:rPr>
          <w:lang w:val="en-US"/>
        </w:rPr>
        <w:t>De Than and Elvin</w:t>
      </w:r>
      <w:r>
        <w:rPr>
          <w:lang w:val="en-US"/>
        </w:rPr>
        <w:t xml:space="preserve"> have recommended a statutory code to regulate private prosecutions which would involve the CPS or the court as a filtering mechanism.</w:t>
      </w:r>
      <w:r>
        <w:rPr>
          <w:rStyle w:val="FootnoteReference"/>
          <w:lang w:val="en-US"/>
        </w:rPr>
        <w:footnoteReference w:id="20"/>
      </w:r>
      <w:r>
        <w:rPr>
          <w:lang w:val="en-US"/>
        </w:rPr>
        <w:t xml:space="preserve">  </w:t>
      </w:r>
      <w:r>
        <w:rPr>
          <w:lang w:val="en-US"/>
        </w:rPr>
        <w:t>There are different options as to the form that thi</w:t>
      </w:r>
      <w:r>
        <w:rPr>
          <w:lang w:val="en-US"/>
        </w:rPr>
        <w:t>s could take</w:t>
      </w:r>
      <w:r>
        <w:rPr>
          <w:lang w:val="en-US"/>
        </w:rPr>
        <w:t>; an overview of some of these options is set out below</w:t>
      </w:r>
      <w:r>
        <w:rPr>
          <w:lang w:val="en-US"/>
        </w:rPr>
        <w:t xml:space="preserve">.  </w:t>
      </w:r>
      <w:r>
        <w:rPr>
          <w:lang w:val="en-US"/>
        </w:rPr>
        <w:t>This could involve a</w:t>
      </w:r>
      <w:r>
        <w:rPr>
          <w:lang w:val="en-US"/>
        </w:rPr>
        <w:t xml:space="preserve">dministrative procedures </w:t>
      </w:r>
      <w:r>
        <w:rPr>
          <w:lang w:val="en-US"/>
        </w:rPr>
        <w:t>being</w:t>
      </w:r>
      <w:r>
        <w:rPr>
          <w:lang w:val="en-US"/>
        </w:rPr>
        <w:t xml:space="preserve"> put in place to notify the CPS of private prosecution</w:t>
      </w:r>
      <w:r>
        <w:rPr>
          <w:lang w:val="en-US"/>
        </w:rPr>
        <w:t>s</w:t>
      </w:r>
      <w:r>
        <w:rPr>
          <w:lang w:val="en-US"/>
        </w:rPr>
        <w:t xml:space="preserve"> to facilitate a review of the case </w:t>
      </w:r>
      <w:r>
        <w:rPr>
          <w:lang w:val="en-US"/>
        </w:rPr>
        <w:t>under</w:t>
      </w:r>
      <w:r>
        <w:rPr>
          <w:lang w:val="en-US"/>
        </w:rPr>
        <w:t xml:space="preserve"> the Code for Crown Prosecutors.  This w</w:t>
      </w:r>
      <w:r>
        <w:rPr>
          <w:lang w:val="en-US"/>
        </w:rPr>
        <w:t>ould</w:t>
      </w:r>
      <w:r>
        <w:rPr>
          <w:lang w:val="en-US"/>
        </w:rPr>
        <w:t xml:space="preserve"> ensure that all private prosecutions were reviewed by the CPS as the primary prosecution organization in England and Wales</w:t>
      </w:r>
      <w:r>
        <w:rPr>
          <w:lang w:val="en-US"/>
        </w:rPr>
        <w:t>.</w:t>
      </w:r>
      <w:r>
        <w:rPr>
          <w:lang w:val="en-US"/>
        </w:rPr>
        <w:t xml:space="preserve">  Th</w:t>
      </w:r>
      <w:r>
        <w:rPr>
          <w:lang w:val="en-US"/>
        </w:rPr>
        <w:t>ere</w:t>
      </w:r>
      <w:r>
        <w:rPr>
          <w:lang w:val="en-US"/>
        </w:rPr>
        <w:t xml:space="preserve"> could be a statutory requirement on the courts</w:t>
      </w:r>
      <w:r>
        <w:rPr>
          <w:lang w:val="en-US"/>
        </w:rPr>
        <w:t xml:space="preserve"> to inform the CPS of impending private prosecutions</w:t>
      </w:r>
      <w:r>
        <w:rPr>
          <w:lang w:val="en-US"/>
        </w:rPr>
        <w:t>.</w:t>
      </w:r>
      <w:r>
        <w:rPr>
          <w:lang w:val="en-US"/>
        </w:rPr>
        <w:t xml:space="preserve">  On receipt of an application for a summons</w:t>
      </w:r>
      <w:r>
        <w:rPr>
          <w:lang w:val="en-US"/>
        </w:rPr>
        <w:t xml:space="preserve"> from a private prosecutor</w:t>
      </w:r>
      <w:r>
        <w:rPr>
          <w:lang w:val="en-US"/>
        </w:rPr>
        <w:t xml:space="preserve">, the magistrates’ court </w:t>
      </w:r>
      <w:r>
        <w:rPr>
          <w:lang w:val="en-US"/>
        </w:rPr>
        <w:t xml:space="preserve">would </w:t>
      </w:r>
      <w:r>
        <w:rPr>
          <w:lang w:val="en-US"/>
        </w:rPr>
        <w:t xml:space="preserve">notify the CPS of the </w:t>
      </w:r>
      <w:r>
        <w:rPr>
          <w:lang w:val="en-US"/>
        </w:rPr>
        <w:t xml:space="preserve">hearing date and provide copies of </w:t>
      </w:r>
      <w:r>
        <w:rPr>
          <w:lang w:val="en-US"/>
        </w:rPr>
        <w:t xml:space="preserve">the </w:t>
      </w:r>
      <w:r>
        <w:rPr>
          <w:lang w:val="en-US"/>
        </w:rPr>
        <w:t xml:space="preserve">relevant papers. </w:t>
      </w:r>
      <w:r>
        <w:rPr>
          <w:lang w:val="en-US"/>
        </w:rPr>
        <w:t xml:space="preserve"> </w:t>
      </w:r>
      <w:r>
        <w:rPr>
          <w:lang w:val="en-US"/>
        </w:rPr>
        <w:t>The CPS could then be in attendance at the hearing which would also alert th</w:t>
      </w:r>
      <w:r>
        <w:rPr>
          <w:lang w:val="en-US"/>
        </w:rPr>
        <w:t xml:space="preserve">e defendant to the possibility of requesting a CPS review.  </w:t>
      </w:r>
      <w:r>
        <w:rPr>
          <w:lang w:val="en-US"/>
        </w:rPr>
        <w:t>One</w:t>
      </w:r>
      <w:r>
        <w:rPr>
          <w:lang w:val="en-US"/>
        </w:rPr>
        <w:t xml:space="preserve"> difficulty of this approach would be facilitating the CPS to have access to the full case file.</w:t>
      </w:r>
      <w:r>
        <w:rPr>
          <w:lang w:val="en-US"/>
        </w:rPr>
        <w:t xml:space="preserve">  It may be necessary to introduce a statutory obligation on private prosecutors to provide certa</w:t>
      </w:r>
      <w:r>
        <w:rPr>
          <w:lang w:val="en-US"/>
        </w:rPr>
        <w:t xml:space="preserve">in key documents to the court or the CPS to enable an effective review to take place. </w:t>
      </w:r>
      <w:r>
        <w:rPr>
          <w:lang w:val="en-US"/>
        </w:rPr>
        <w:t xml:space="preserve"> </w:t>
      </w:r>
    </w:p>
    <w:p w:rsidR="0002378E" w:rsidP="00043532">
      <w:pPr>
        <w:spacing w:line="360" w:lineRule="auto"/>
        <w:jc w:val="both"/>
        <w:rPr>
          <w:lang w:val="en-US"/>
        </w:rPr>
      </w:pPr>
    </w:p>
    <w:p w:rsidR="006E6CD0" w:rsidP="00043532">
      <w:pPr>
        <w:spacing w:line="360" w:lineRule="auto"/>
        <w:jc w:val="both"/>
        <w:rPr>
          <w:lang w:val="en-US"/>
        </w:rPr>
      </w:pPr>
      <w:r>
        <w:rPr>
          <w:lang w:val="en-US"/>
        </w:rPr>
        <w:t xml:space="preserve">An alternative approach would to amend the Prosecution of Offences Act 1985 to require private prosecutors to apply </w:t>
      </w:r>
      <w:r>
        <w:rPr>
          <w:lang w:val="en-US"/>
        </w:rPr>
        <w:t xml:space="preserve">direct </w:t>
      </w:r>
      <w:r>
        <w:rPr>
          <w:lang w:val="en-US"/>
        </w:rPr>
        <w:t>to the CPS for authority to bring a prosecut</w:t>
      </w:r>
      <w:r>
        <w:rPr>
          <w:lang w:val="en-US"/>
        </w:rPr>
        <w:t xml:space="preserve">ion.  </w:t>
      </w:r>
      <w:r>
        <w:rPr>
          <w:lang w:val="en-US"/>
        </w:rPr>
        <w:t xml:space="preserve">The Philips Commission </w:t>
      </w:r>
      <w:r w:rsidRPr="0002378E">
        <w:rPr>
          <w:lang w:val="en-US"/>
        </w:rPr>
        <w:t>recommended that private citizens should be required to apply to the Crown Prosecutor prior to bringing proceedings who would apply the same test as for public prosecutions.  The</w:t>
      </w:r>
      <w:r>
        <w:rPr>
          <w:lang w:val="en-US"/>
        </w:rPr>
        <w:t xml:space="preserve"> Commission also suggested that there </w:t>
      </w:r>
      <w:r w:rsidRPr="0002378E">
        <w:rPr>
          <w:lang w:val="en-US"/>
        </w:rPr>
        <w:t xml:space="preserve">would be a </w:t>
      </w:r>
      <w:r w:rsidRPr="0002378E">
        <w:rPr>
          <w:lang w:val="en-US"/>
        </w:rPr>
        <w:t>right of appeal to the magistrates’ court against the decision of the Crown Prosecutor.</w:t>
      </w:r>
      <w:r>
        <w:rPr>
          <w:rStyle w:val="FootnoteReference"/>
        </w:rPr>
        <w:footnoteReference w:id="21"/>
      </w:r>
      <w:r>
        <w:rPr>
          <w:lang w:val="en-US"/>
        </w:rPr>
        <w:t xml:space="preserve">  These principles could apply to all private prosecutions including those brought by large organisations.  </w:t>
      </w:r>
      <w:r>
        <w:rPr>
          <w:lang w:val="en-US"/>
        </w:rPr>
        <w:t xml:space="preserve">This approach </w:t>
      </w:r>
      <w:r>
        <w:rPr>
          <w:lang w:val="en-US"/>
        </w:rPr>
        <w:t xml:space="preserve">would essentially </w:t>
      </w:r>
      <w:r>
        <w:rPr>
          <w:lang w:val="en-US"/>
        </w:rPr>
        <w:t>introduce</w:t>
      </w:r>
      <w:r>
        <w:rPr>
          <w:lang w:val="en-US"/>
        </w:rPr>
        <w:t xml:space="preserve"> a </w:t>
      </w:r>
      <w:r>
        <w:rPr>
          <w:lang w:val="en-US"/>
        </w:rPr>
        <w:t>consent requirem</w:t>
      </w:r>
      <w:r>
        <w:rPr>
          <w:lang w:val="en-US"/>
        </w:rPr>
        <w:t xml:space="preserve">ent based on the identity of the prosecutor rather than the specific offence.  </w:t>
      </w:r>
      <w:r>
        <w:rPr>
          <w:lang w:val="en-US"/>
        </w:rPr>
        <w:t>Another option would be to extend the remit of the consents regime already in place for some offences</w:t>
      </w:r>
      <w:r>
        <w:rPr>
          <w:lang w:val="en-US"/>
        </w:rPr>
        <w:t xml:space="preserve"> to a wider range of offences</w:t>
      </w:r>
      <w:r>
        <w:rPr>
          <w:lang w:val="en-US"/>
        </w:rPr>
        <w:t>.</w:t>
      </w:r>
      <w:r>
        <w:rPr>
          <w:lang w:val="en-US"/>
        </w:rPr>
        <w:t xml:space="preserve">  </w:t>
      </w:r>
      <w:r>
        <w:rPr>
          <w:lang w:val="en-US"/>
        </w:rPr>
        <w:t>A more radical option would be to repeal the</w:t>
      </w:r>
      <w:r>
        <w:rPr>
          <w:lang w:val="en-US"/>
        </w:rPr>
        <w:t xml:space="preserve"> right to bring private prosecutions or to limit it to a small number of approved organisations. </w:t>
      </w:r>
    </w:p>
    <w:p w:rsidR="006E6CD0" w:rsidP="00043532">
      <w:pPr>
        <w:spacing w:line="360" w:lineRule="auto"/>
        <w:jc w:val="both"/>
        <w:rPr>
          <w:lang w:val="en-US"/>
        </w:rPr>
      </w:pPr>
    </w:p>
    <w:p w:rsidR="008A1CAA" w:rsidP="00043532">
      <w:pPr>
        <w:spacing w:line="360" w:lineRule="auto"/>
        <w:jc w:val="both"/>
        <w:rPr>
          <w:lang w:val="en-US"/>
        </w:rPr>
      </w:pPr>
      <w:r>
        <w:rPr>
          <w:lang w:val="en-US"/>
        </w:rPr>
        <w:t xml:space="preserve">Alternatively, the magistrates’ court could be used as the primary </w:t>
      </w:r>
      <w:r>
        <w:rPr>
          <w:lang w:val="en-US"/>
        </w:rPr>
        <w:t>gatekeeper</w:t>
      </w:r>
      <w:r>
        <w:rPr>
          <w:lang w:val="en-US"/>
        </w:rPr>
        <w:t xml:space="preserve"> for private prosecutions with the equivalent of a leave hearing being held prior to a summons being issued.    </w:t>
      </w:r>
      <w:r>
        <w:rPr>
          <w:lang w:val="en-US"/>
        </w:rPr>
        <w:t xml:space="preserve">The court could </w:t>
      </w:r>
      <w:r>
        <w:rPr>
          <w:lang w:val="en-US"/>
        </w:rPr>
        <w:t xml:space="preserve">be required to </w:t>
      </w:r>
      <w:r>
        <w:rPr>
          <w:lang w:val="en-US"/>
        </w:rPr>
        <w:t xml:space="preserve">conduct a form of case management process whereby the court examines the evidential and public interest bases of </w:t>
      </w:r>
      <w:r>
        <w:rPr>
          <w:lang w:val="en-US"/>
        </w:rPr>
        <w:t>the case in order to determine whether permission to prosecute should be granted.  This procedure could include the making of court directions in relation to aspect of the case such as disclosure of evidence and unused material.</w:t>
      </w:r>
      <w:r>
        <w:rPr>
          <w:lang w:val="en-US"/>
        </w:rPr>
        <w:t xml:space="preserve">  After the summons had been</w:t>
      </w:r>
      <w:r>
        <w:rPr>
          <w:lang w:val="en-US"/>
        </w:rPr>
        <w:t xml:space="preserve"> issued, the court could continue to monitor the conduct of the prosecution with the possibility of referring the case to the CPS for consideration of whether to take the prosecution over in the event that the prosecution was being inappropriately conducte</w:t>
      </w:r>
      <w:r>
        <w:rPr>
          <w:lang w:val="en-US"/>
        </w:rPr>
        <w:t xml:space="preserve">d. </w:t>
      </w:r>
    </w:p>
    <w:p w:rsidR="00C21F07" w:rsidP="00043532">
      <w:pPr>
        <w:spacing w:line="360" w:lineRule="auto"/>
        <w:jc w:val="both"/>
        <w:rPr>
          <w:lang w:val="en-US"/>
        </w:rPr>
      </w:pPr>
    </w:p>
    <w:p w:rsidR="00C21F07" w:rsidP="00043532">
      <w:pPr>
        <w:spacing w:line="360" w:lineRule="auto"/>
        <w:jc w:val="both"/>
        <w:rPr>
          <w:lang w:val="en-US"/>
        </w:rPr>
      </w:pPr>
      <w:r>
        <w:rPr>
          <w:lang w:val="en-US"/>
        </w:rPr>
        <w:t>July 2020</w:t>
      </w:r>
    </w:p>
    <w:p w:rsidR="006256C6" w:rsidRPr="0002378E" w:rsidP="00043532">
      <w:pPr>
        <w:spacing w:line="360" w:lineRule="auto"/>
        <w:jc w:val="both"/>
        <w:rPr>
          <w:lang w:val="en-US"/>
        </w:rPr>
      </w:pPr>
      <w:r>
        <w:rPr>
          <w:lang w:val="en-US"/>
        </w:rPr>
        <w:t xml:space="preserve">  </w:t>
      </w:r>
      <w:r w:rsidRPr="0002378E">
        <w:rPr>
          <w:lang w:val="en-US"/>
        </w:rPr>
        <w:t xml:space="preserve"> </w:t>
      </w:r>
    </w:p>
    <w:p w:rsidR="005F07FB" w:rsidP="00043532">
      <w:pPr>
        <w:spacing w:line="360" w:lineRule="auto"/>
        <w:jc w:val="both"/>
      </w:pPr>
    </w:p>
    <w:sectPr w:rsidSect="006E7E2C">
      <w:headerReference w:type="even" r:id="rId5"/>
      <w:headerReference w:type="default" r:id="rId6"/>
      <w:footerReference w:type="even" r:id="rId7"/>
      <w:footerReference w:type="default" r:id="rId8"/>
      <w:headerReference w:type="first" r:id="rId9"/>
      <w:footerReference w:type="first" r:id="rId1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306206429"/>
      <w:docPartObj>
        <w:docPartGallery w:val="Page Numbers (Bottom of Page)"/>
        <w:docPartUnique/>
      </w:docPartObj>
    </w:sdtPr>
    <w:sdtEndPr>
      <w:rPr>
        <w:rStyle w:val="PageNumber"/>
      </w:rPr>
    </w:sdtEndPr>
    <w:sdtContent>
      <w:p w:rsidR="00E5316D" w:rsidP="001B3D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E5316D" w:rsidP="00E5316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316D" w:rsidP="001B3D0E">
    <w:pPr>
      <w:pStyle w:val="Footer"/>
      <w:framePr w:wrap="none" w:vAnchor="text" w:hAnchor="margin" w:xAlign="right" w:y="1"/>
      <w:rPr>
        <w:rStyle w:val="PageNumber"/>
      </w:rPr>
    </w:pPr>
  </w:p>
  <w:p w:rsidR="00E5316D" w:rsidP="00E5316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1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32007" w:rsidP="005B589A">
      <w:r>
        <w:separator/>
      </w:r>
    </w:p>
  </w:footnote>
  <w:footnote w:type="continuationSeparator" w:id="1">
    <w:p w:rsidR="00C32007" w:rsidP="005B589A">
      <w:r>
        <w:continuationSeparator/>
      </w:r>
    </w:p>
  </w:footnote>
  <w:footnote w:id="2">
    <w:p w:rsidR="009621BB" w:rsidRPr="00453577" w:rsidP="009621BB">
      <w:pPr>
        <w:rPr>
          <w:sz w:val="20"/>
          <w:szCs w:val="20"/>
        </w:rPr>
      </w:pPr>
      <w:r w:rsidRPr="00453577">
        <w:rPr>
          <w:rStyle w:val="FootnoteReference"/>
          <w:sz w:val="20"/>
          <w:szCs w:val="20"/>
        </w:rPr>
        <w:footnoteRef/>
      </w:r>
      <w:r w:rsidRPr="00453577">
        <w:rPr>
          <w:sz w:val="20"/>
          <w:szCs w:val="20"/>
        </w:rPr>
        <w:t xml:space="preserve"> HMSO, </w:t>
      </w:r>
      <w:r w:rsidRPr="00453577">
        <w:rPr>
          <w:i/>
          <w:iCs/>
          <w:sz w:val="20"/>
          <w:szCs w:val="20"/>
        </w:rPr>
        <w:t xml:space="preserve">Report of the Royal Commission on Criminal Procedure </w:t>
      </w:r>
      <w:r w:rsidRPr="00453577">
        <w:rPr>
          <w:sz w:val="20"/>
          <w:szCs w:val="20"/>
        </w:rPr>
        <w:t>(Cmnd 8092-I and II, 1981)</w:t>
      </w:r>
    </w:p>
  </w:footnote>
  <w:footnote w:id="3">
    <w:p w:rsidR="009621BB" w:rsidRPr="00453577" w:rsidP="009621BB">
      <w:pPr>
        <w:rPr>
          <w:sz w:val="20"/>
          <w:szCs w:val="20"/>
        </w:rPr>
      </w:pPr>
      <w:r w:rsidRPr="00453577">
        <w:rPr>
          <w:rStyle w:val="FootnoteReference"/>
          <w:sz w:val="20"/>
          <w:szCs w:val="20"/>
        </w:rPr>
        <w:footnoteRef/>
      </w:r>
      <w:r w:rsidRPr="00453577">
        <w:rPr>
          <w:sz w:val="20"/>
          <w:szCs w:val="20"/>
        </w:rPr>
        <w:t xml:space="preserve"> ibid </w:t>
      </w:r>
      <w:r w:rsidRPr="00453577">
        <w:rPr>
          <w:sz w:val="20"/>
          <w:szCs w:val="20"/>
        </w:rPr>
        <w:t>[</w:t>
      </w:r>
      <w:r w:rsidRPr="00453577">
        <w:rPr>
          <w:sz w:val="20"/>
          <w:szCs w:val="20"/>
        </w:rPr>
        <w:t>6.4</w:t>
      </w:r>
      <w:r w:rsidRPr="00453577">
        <w:rPr>
          <w:sz w:val="20"/>
          <w:szCs w:val="20"/>
        </w:rPr>
        <w:t>]</w:t>
      </w:r>
      <w:r w:rsidRPr="00453577">
        <w:rPr>
          <w:sz w:val="20"/>
          <w:szCs w:val="20"/>
        </w:rPr>
        <w:t>-</w:t>
      </w:r>
      <w:r w:rsidRPr="00453577">
        <w:rPr>
          <w:sz w:val="20"/>
          <w:szCs w:val="20"/>
        </w:rPr>
        <w:t>[</w:t>
      </w:r>
      <w:r w:rsidRPr="00453577">
        <w:rPr>
          <w:sz w:val="20"/>
          <w:szCs w:val="20"/>
        </w:rPr>
        <w:t>6.5</w:t>
      </w:r>
      <w:r w:rsidRPr="00453577">
        <w:rPr>
          <w:sz w:val="20"/>
          <w:szCs w:val="20"/>
        </w:rPr>
        <w:t>]</w:t>
      </w:r>
    </w:p>
  </w:footnote>
  <w:footnote w:id="4">
    <w:p w:rsidR="00C062BC" w:rsidRPr="00453577">
      <w:pPr>
        <w:pStyle w:val="FootnoteText"/>
        <w:rPr>
          <w:rFonts w:ascii="Times New Roman" w:hAnsi="Times New Roman" w:cs="Times New Roman"/>
          <w:sz w:val="20"/>
          <w:szCs w:val="20"/>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CPS, The Code for Crown Prosecutors (October, 2018) [4.1]-[4.14]</w:t>
      </w:r>
    </w:p>
  </w:footnote>
  <w:footnote w:id="5">
    <w:p w:rsidR="0016303A" w:rsidRPr="00453577">
      <w:pPr>
        <w:pStyle w:val="FootnoteText"/>
        <w:rPr>
          <w:rFonts w:ascii="Times New Roman" w:hAnsi="Times New Roman" w:cs="Times New Roman"/>
          <w:sz w:val="20"/>
          <w:szCs w:val="20"/>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Prosecution of Offences Act 1985, s 6(2)</w:t>
      </w:r>
    </w:p>
  </w:footnote>
  <w:footnote w:id="6">
    <w:p w:rsidR="00975DF7" w:rsidRPr="00453577" w:rsidP="00975DF7">
      <w:pPr>
        <w:pStyle w:val="FootnoteText"/>
        <w:rPr>
          <w:rFonts w:ascii="Times New Roman" w:hAnsi="Times New Roman" w:cs="Times New Roman"/>
          <w:sz w:val="20"/>
          <w:szCs w:val="20"/>
          <w:lang w:val="en-US"/>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Crown Prosecution Service, </w:t>
      </w:r>
      <w:r w:rsidRPr="00453577">
        <w:rPr>
          <w:rFonts w:ascii="Times New Roman" w:hAnsi="Times New Roman" w:cs="Times New Roman"/>
          <w:i/>
          <w:sz w:val="20"/>
          <w:szCs w:val="20"/>
        </w:rPr>
        <w:t xml:space="preserve">Private Prosecutions </w:t>
      </w:r>
      <w:r w:rsidRPr="00453577">
        <w:rPr>
          <w:rFonts w:ascii="Times New Roman" w:hAnsi="Times New Roman" w:cs="Times New Roman"/>
          <w:sz w:val="20"/>
          <w:szCs w:val="20"/>
        </w:rPr>
        <w:t>http://www.cps.gov.uk/legal/p_to_r/private_prosecutions/ Accessed 25 June 2020.</w:t>
      </w:r>
    </w:p>
  </w:footnote>
  <w:footnote w:id="7">
    <w:p w:rsidR="00853538" w:rsidRPr="00453577">
      <w:pPr>
        <w:pStyle w:val="FootnoteText"/>
        <w:rPr>
          <w:rFonts w:ascii="Times New Roman" w:hAnsi="Times New Roman" w:cs="Times New Roman"/>
          <w:sz w:val="20"/>
          <w:szCs w:val="20"/>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w:t>
      </w:r>
      <w:r w:rsidRPr="00453577">
        <w:rPr>
          <w:rFonts w:ascii="Times New Roman" w:hAnsi="Times New Roman" w:cs="Times New Roman"/>
          <w:i/>
          <w:iCs/>
          <w:sz w:val="20"/>
          <w:szCs w:val="20"/>
        </w:rPr>
        <w:t>R (Gujra) v CPS</w:t>
      </w:r>
      <w:r w:rsidRPr="00453577">
        <w:rPr>
          <w:rFonts w:ascii="Times New Roman" w:hAnsi="Times New Roman" w:cs="Times New Roman"/>
          <w:sz w:val="20"/>
          <w:szCs w:val="20"/>
        </w:rPr>
        <w:t xml:space="preserve"> [2012] UKSC 52, [2013] 1 AC 484</w:t>
      </w:r>
    </w:p>
  </w:footnote>
  <w:footnote w:id="8">
    <w:p w:rsidR="003C361C" w:rsidRPr="00453577">
      <w:pPr>
        <w:pStyle w:val="FootnoteText"/>
        <w:rPr>
          <w:rFonts w:ascii="Times New Roman" w:hAnsi="Times New Roman" w:cs="Times New Roman"/>
          <w:sz w:val="20"/>
          <w:szCs w:val="20"/>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Crown Prosecution Service, </w:t>
      </w:r>
      <w:r w:rsidRPr="00453577">
        <w:rPr>
          <w:rFonts w:ascii="Times New Roman" w:hAnsi="Times New Roman" w:cs="Times New Roman"/>
          <w:i/>
          <w:sz w:val="20"/>
          <w:szCs w:val="20"/>
        </w:rPr>
        <w:t xml:space="preserve">Private Prosecutions </w:t>
      </w:r>
      <w:r w:rsidRPr="00453577">
        <w:rPr>
          <w:rFonts w:ascii="Times New Roman" w:hAnsi="Times New Roman" w:cs="Times New Roman"/>
          <w:sz w:val="20"/>
          <w:szCs w:val="20"/>
        </w:rPr>
        <w:t>http://www.cps.gov.uk/legal/p_to_r/private_prosecutions/ Accessed 25 June 20</w:t>
      </w:r>
      <w:r w:rsidRPr="00453577">
        <w:rPr>
          <w:rFonts w:ascii="Times New Roman" w:hAnsi="Times New Roman" w:cs="Times New Roman"/>
          <w:sz w:val="20"/>
          <w:szCs w:val="20"/>
        </w:rPr>
        <w:t>20.</w:t>
      </w:r>
    </w:p>
  </w:footnote>
  <w:footnote w:id="9">
    <w:p w:rsidR="00E77B02" w:rsidRPr="00453577" w:rsidP="00E77B02">
      <w:pPr>
        <w:pStyle w:val="FootnoteText"/>
        <w:rPr>
          <w:rFonts w:ascii="Times New Roman" w:hAnsi="Times New Roman" w:cs="Times New Roman"/>
          <w:sz w:val="20"/>
          <w:szCs w:val="20"/>
          <w:lang w:val="en-US"/>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w:t>
      </w:r>
      <w:r w:rsidRPr="00453577">
        <w:rPr>
          <w:rFonts w:ascii="Times New Roman" w:hAnsi="Times New Roman" w:cs="Times New Roman"/>
          <w:sz w:val="20"/>
          <w:szCs w:val="20"/>
          <w:lang w:val="en-US"/>
        </w:rPr>
        <w:t xml:space="preserve">The CPS legal guidance provides a list of relevant offences:  Crown Prosecution Service, </w:t>
      </w:r>
      <w:r w:rsidRPr="00453577">
        <w:rPr>
          <w:rFonts w:ascii="Times New Roman" w:hAnsi="Times New Roman" w:cs="Times New Roman"/>
          <w:i/>
          <w:sz w:val="20"/>
          <w:szCs w:val="20"/>
          <w:lang w:val="en-US"/>
        </w:rPr>
        <w:t xml:space="preserve">Consents to Prosecute </w:t>
      </w:r>
      <w:r w:rsidRPr="00453577">
        <w:rPr>
          <w:rFonts w:ascii="Times New Roman" w:hAnsi="Times New Roman" w:cs="Times New Roman"/>
          <w:iCs/>
          <w:sz w:val="20"/>
          <w:szCs w:val="20"/>
          <w:lang w:val="en-US"/>
        </w:rPr>
        <w:t>https://www.cps.gov.uk/legal-guidance/consents-prosecute</w:t>
      </w:r>
      <w:r w:rsidRPr="00453577">
        <w:rPr>
          <w:rFonts w:ascii="Times New Roman" w:hAnsi="Times New Roman" w:cs="Times New Roman"/>
          <w:i/>
          <w:sz w:val="20"/>
          <w:szCs w:val="20"/>
          <w:lang w:val="en-US"/>
        </w:rPr>
        <w:t xml:space="preserve"> </w:t>
      </w:r>
      <w:r w:rsidRPr="00453577">
        <w:rPr>
          <w:rFonts w:ascii="Times New Roman" w:hAnsi="Times New Roman" w:cs="Times New Roman"/>
          <w:sz w:val="20"/>
          <w:szCs w:val="20"/>
          <w:lang w:val="en-US"/>
        </w:rPr>
        <w:t xml:space="preserve">Accessed </w:t>
      </w:r>
      <w:r w:rsidRPr="00453577">
        <w:rPr>
          <w:rFonts w:ascii="Times New Roman" w:hAnsi="Times New Roman" w:cs="Times New Roman"/>
          <w:sz w:val="20"/>
          <w:szCs w:val="20"/>
          <w:lang w:val="en-US"/>
        </w:rPr>
        <w:t>30</w:t>
      </w:r>
      <w:r w:rsidRPr="00453577">
        <w:rPr>
          <w:rFonts w:ascii="Times New Roman" w:hAnsi="Times New Roman" w:cs="Times New Roman"/>
          <w:sz w:val="20"/>
          <w:szCs w:val="20"/>
          <w:lang w:val="en-US"/>
        </w:rPr>
        <w:t xml:space="preserve"> </w:t>
      </w:r>
      <w:r w:rsidRPr="00453577">
        <w:rPr>
          <w:rFonts w:ascii="Times New Roman" w:hAnsi="Times New Roman" w:cs="Times New Roman"/>
          <w:sz w:val="20"/>
          <w:szCs w:val="20"/>
          <w:lang w:val="en-US"/>
        </w:rPr>
        <w:t>June</w:t>
      </w:r>
      <w:r w:rsidRPr="00453577">
        <w:rPr>
          <w:rFonts w:ascii="Times New Roman" w:hAnsi="Times New Roman" w:cs="Times New Roman"/>
          <w:sz w:val="20"/>
          <w:szCs w:val="20"/>
          <w:lang w:val="en-US"/>
        </w:rPr>
        <w:t xml:space="preserve"> 20</w:t>
      </w:r>
      <w:r w:rsidRPr="00453577">
        <w:rPr>
          <w:rFonts w:ascii="Times New Roman" w:hAnsi="Times New Roman" w:cs="Times New Roman"/>
          <w:sz w:val="20"/>
          <w:szCs w:val="20"/>
          <w:lang w:val="en-US"/>
        </w:rPr>
        <w:t>20</w:t>
      </w:r>
    </w:p>
  </w:footnote>
  <w:footnote w:id="10">
    <w:p w:rsidR="00E77B02" w:rsidRPr="00453577" w:rsidP="00E77B02">
      <w:pPr>
        <w:pStyle w:val="FootnoteText"/>
        <w:rPr>
          <w:rFonts w:ascii="Times New Roman" w:hAnsi="Times New Roman" w:cs="Times New Roman"/>
          <w:sz w:val="20"/>
          <w:szCs w:val="20"/>
          <w:lang w:val="en-US"/>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w:t>
      </w:r>
      <w:r w:rsidRPr="00453577">
        <w:rPr>
          <w:rFonts w:ascii="Times New Roman" w:hAnsi="Times New Roman" w:cs="Times New Roman"/>
          <w:sz w:val="20"/>
          <w:szCs w:val="20"/>
          <w:lang w:val="en-US"/>
        </w:rPr>
        <w:t xml:space="preserve">Law Commission, </w:t>
      </w:r>
      <w:r w:rsidRPr="00453577">
        <w:rPr>
          <w:rFonts w:ascii="Times New Roman" w:hAnsi="Times New Roman" w:cs="Times New Roman"/>
          <w:i/>
          <w:sz w:val="20"/>
          <w:szCs w:val="20"/>
          <w:lang w:val="en-US"/>
        </w:rPr>
        <w:t xml:space="preserve">Consents to Prosecution </w:t>
      </w:r>
      <w:r w:rsidRPr="00453577">
        <w:rPr>
          <w:rFonts w:ascii="Times New Roman" w:hAnsi="Times New Roman" w:cs="Times New Roman"/>
          <w:sz w:val="20"/>
          <w:szCs w:val="20"/>
          <w:lang w:val="en-US"/>
        </w:rPr>
        <w:t xml:space="preserve">(Law Com No 255, 1998) </w:t>
      </w:r>
      <w:r w:rsidRPr="00453577">
        <w:rPr>
          <w:rFonts w:ascii="Times New Roman" w:hAnsi="Times New Roman" w:cs="Times New Roman"/>
          <w:sz w:val="20"/>
          <w:szCs w:val="20"/>
          <w:lang w:val="en-US"/>
        </w:rPr>
        <w:t>[</w:t>
      </w:r>
      <w:r w:rsidRPr="00453577">
        <w:rPr>
          <w:rFonts w:ascii="Times New Roman" w:hAnsi="Times New Roman" w:cs="Times New Roman"/>
          <w:sz w:val="20"/>
          <w:szCs w:val="20"/>
          <w:lang w:val="en-US"/>
        </w:rPr>
        <w:t>4.16</w:t>
      </w:r>
      <w:r w:rsidRPr="00453577">
        <w:rPr>
          <w:rFonts w:ascii="Times New Roman" w:hAnsi="Times New Roman" w:cs="Times New Roman"/>
          <w:sz w:val="20"/>
          <w:szCs w:val="20"/>
          <w:lang w:val="en-US"/>
        </w:rPr>
        <w:t>]</w:t>
      </w:r>
      <w:r w:rsidRPr="00453577">
        <w:rPr>
          <w:rFonts w:ascii="Times New Roman" w:hAnsi="Times New Roman" w:cs="Times New Roman"/>
          <w:sz w:val="20"/>
          <w:szCs w:val="20"/>
          <w:lang w:val="en-US"/>
        </w:rPr>
        <w:t>-</w:t>
      </w:r>
      <w:r w:rsidRPr="00453577">
        <w:rPr>
          <w:rFonts w:ascii="Times New Roman" w:hAnsi="Times New Roman" w:cs="Times New Roman"/>
          <w:sz w:val="20"/>
          <w:szCs w:val="20"/>
          <w:lang w:val="en-US"/>
        </w:rPr>
        <w:t>[</w:t>
      </w:r>
      <w:r w:rsidRPr="00453577">
        <w:rPr>
          <w:rFonts w:ascii="Times New Roman" w:hAnsi="Times New Roman" w:cs="Times New Roman"/>
          <w:sz w:val="20"/>
          <w:szCs w:val="20"/>
          <w:lang w:val="en-US"/>
        </w:rPr>
        <w:t>4.23</w:t>
      </w:r>
      <w:r w:rsidRPr="00453577">
        <w:rPr>
          <w:rFonts w:ascii="Times New Roman" w:hAnsi="Times New Roman" w:cs="Times New Roman"/>
          <w:sz w:val="20"/>
          <w:szCs w:val="20"/>
          <w:lang w:val="en-US"/>
        </w:rPr>
        <w:t>]</w:t>
      </w:r>
    </w:p>
  </w:footnote>
  <w:footnote w:id="11">
    <w:p w:rsidR="00BC1C54" w:rsidRPr="00453577" w:rsidP="00BC1C54">
      <w:pPr>
        <w:pStyle w:val="FootnoteText"/>
        <w:rPr>
          <w:rFonts w:ascii="Times New Roman" w:hAnsi="Times New Roman" w:cs="Times New Roman"/>
          <w:sz w:val="20"/>
          <w:szCs w:val="20"/>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w:t>
      </w:r>
      <w:r w:rsidRPr="00453577">
        <w:rPr>
          <w:rFonts w:ascii="Times New Roman" w:hAnsi="Times New Roman" w:cs="Times New Roman"/>
          <w:i/>
          <w:iCs/>
          <w:sz w:val="20"/>
          <w:szCs w:val="20"/>
        </w:rPr>
        <w:t>R (Holloway) v Harrow Crown Court</w:t>
      </w:r>
      <w:r w:rsidRPr="00453577">
        <w:rPr>
          <w:rFonts w:ascii="Times New Roman" w:hAnsi="Times New Roman" w:cs="Times New Roman"/>
          <w:sz w:val="20"/>
          <w:szCs w:val="20"/>
        </w:rPr>
        <w:t xml:space="preserve"> [2019] EWHC 1731 (Admin) [20]</w:t>
      </w:r>
    </w:p>
  </w:footnote>
  <w:footnote w:id="12">
    <w:p w:rsidR="00912217" w:rsidRPr="00453577" w:rsidP="00912217">
      <w:pPr>
        <w:pStyle w:val="FootnoteText"/>
        <w:rPr>
          <w:rFonts w:ascii="Times New Roman" w:hAnsi="Times New Roman" w:cs="Times New Roman"/>
          <w:sz w:val="20"/>
          <w:szCs w:val="20"/>
          <w:lang w:val="en-US"/>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w:t>
      </w:r>
      <w:r w:rsidRPr="00453577">
        <w:rPr>
          <w:rFonts w:ascii="Times New Roman" w:hAnsi="Times New Roman" w:cs="Times New Roman"/>
          <w:sz w:val="20"/>
          <w:szCs w:val="20"/>
          <w:lang w:val="en-US"/>
        </w:rPr>
        <w:t>[1999] 2 All ER 737</w:t>
      </w:r>
    </w:p>
  </w:footnote>
  <w:footnote w:id="13">
    <w:p w:rsidR="00912217" w:rsidRPr="00453577" w:rsidP="00912217">
      <w:pPr>
        <w:pStyle w:val="FootnoteText"/>
        <w:rPr>
          <w:rFonts w:ascii="Times New Roman" w:hAnsi="Times New Roman" w:cs="Times New Roman"/>
          <w:sz w:val="20"/>
          <w:szCs w:val="20"/>
          <w:lang w:val="en-US"/>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w:t>
      </w:r>
      <w:r w:rsidRPr="00453577">
        <w:rPr>
          <w:rFonts w:ascii="Times New Roman" w:hAnsi="Times New Roman" w:cs="Times New Roman"/>
          <w:sz w:val="20"/>
          <w:szCs w:val="20"/>
        </w:rPr>
        <w:fldChar w:fldCharType="begin"/>
      </w:r>
      <w:r w:rsidRPr="00453577">
        <w:rPr>
          <w:rFonts w:ascii="Times New Roman" w:hAnsi="Times New Roman" w:cs="Times New Roman"/>
          <w:sz w:val="20"/>
          <w:szCs w:val="20"/>
        </w:rPr>
        <w:instrText xml:space="preserve"> ADDIN ZOTERO_ITEM CSL_CITATION {"citationID":"2IyZEnoI","properties":{"formattedCitation":"Ian Dennis, \\uc0\\u8216{}Prosecution Disclosure:  Are the Problems Insoluble?\\uc0\\u8217{} [2018] Criminal Law Review 829.","plainCitation":"Ian Dennis, ‘Prosecut</w:instrText>
      </w:r>
      <w:r w:rsidRPr="00453577">
        <w:rPr>
          <w:rFonts w:ascii="Times New Roman" w:hAnsi="Times New Roman" w:cs="Times New Roman"/>
          <w:sz w:val="20"/>
          <w:szCs w:val="20"/>
        </w:rPr>
        <w:instrText>ion Disclosure:  Are the Problems Insoluble?’ [2018] Criminal Law Review 829.","noteIndex":12},"citationItems":[{"id":1355,"uris":["http://zotero.org/users/3333261/items/34VS89GU"],"uri":["http://zotero.org/users/3333261/items/34VS89GU"],"itemData":{"id":1</w:instrText>
      </w:r>
      <w:r w:rsidRPr="00453577">
        <w:rPr>
          <w:rFonts w:ascii="Times New Roman" w:hAnsi="Times New Roman" w:cs="Times New Roman"/>
          <w:sz w:val="20"/>
          <w:szCs w:val="20"/>
        </w:rPr>
        <w:instrText>355,"type":"article-journal","container-title":"Criminal Law Review","page":"829","title":"Prosecution disclosure:  are the problems insoluble?","author":[{"family":"Dennis","given":"Ian"}],"issued":{"date-parts":[["2018"]]}}}],"schema":"https://github.com</w:instrText>
      </w:r>
      <w:r w:rsidRPr="00453577">
        <w:rPr>
          <w:rFonts w:ascii="Times New Roman" w:hAnsi="Times New Roman" w:cs="Times New Roman"/>
          <w:sz w:val="20"/>
          <w:szCs w:val="20"/>
        </w:rPr>
        <w:instrText xml:space="preserve">/citation-style-language/schema/raw/master/csl-citation.json"} </w:instrText>
      </w:r>
      <w:r w:rsidRPr="00453577">
        <w:rPr>
          <w:rFonts w:ascii="Times New Roman" w:hAnsi="Times New Roman" w:cs="Times New Roman"/>
          <w:sz w:val="20"/>
          <w:szCs w:val="20"/>
        </w:rPr>
        <w:fldChar w:fldCharType="separate"/>
      </w:r>
      <w:r w:rsidRPr="00453577">
        <w:rPr>
          <w:rFonts w:ascii="Times New Roman" w:hAnsi="Times New Roman" w:cs="Times New Roman"/>
          <w:sz w:val="20"/>
          <w:szCs w:val="20"/>
          <w:lang w:val="en-US"/>
        </w:rPr>
        <w:t>Ian Dennis, ‘Prosecution Disclosure:  Are the Problems Insoluble?’ [2018] Criminal Law Review 829.</w:t>
      </w:r>
      <w:r w:rsidRPr="00453577">
        <w:rPr>
          <w:rFonts w:ascii="Times New Roman" w:hAnsi="Times New Roman" w:cs="Times New Roman"/>
          <w:sz w:val="20"/>
          <w:szCs w:val="20"/>
        </w:rPr>
        <w:fldChar w:fldCharType="end"/>
      </w:r>
    </w:p>
  </w:footnote>
  <w:footnote w:id="14">
    <w:p w:rsidR="00EC1E4B" w:rsidRPr="00453577" w:rsidP="00AD5D09">
      <w:pPr>
        <w:rPr>
          <w:sz w:val="20"/>
          <w:szCs w:val="20"/>
        </w:rPr>
      </w:pPr>
      <w:r w:rsidRPr="00453577">
        <w:rPr>
          <w:rStyle w:val="FootnoteReference"/>
          <w:sz w:val="20"/>
          <w:szCs w:val="20"/>
        </w:rPr>
        <w:footnoteRef/>
      </w:r>
      <w:r w:rsidRPr="00453577">
        <w:rPr>
          <w:sz w:val="20"/>
          <w:szCs w:val="20"/>
        </w:rPr>
        <w:t xml:space="preserve"> CPS and the Metropolitan Police Service, ‘Joint Review of the Disclosure Process in the c</w:t>
      </w:r>
      <w:r w:rsidRPr="00453577">
        <w:rPr>
          <w:sz w:val="20"/>
          <w:szCs w:val="20"/>
        </w:rPr>
        <w:t xml:space="preserve">ase of </w:t>
      </w:r>
      <w:r w:rsidRPr="00453577">
        <w:rPr>
          <w:i/>
          <w:iCs/>
          <w:sz w:val="20"/>
          <w:szCs w:val="20"/>
        </w:rPr>
        <w:t>R v Allan</w:t>
      </w:r>
      <w:r w:rsidRPr="00453577">
        <w:rPr>
          <w:sz w:val="20"/>
          <w:szCs w:val="20"/>
        </w:rPr>
        <w:t>’ (CPS 2018)</w:t>
      </w:r>
    </w:p>
  </w:footnote>
  <w:footnote w:id="15">
    <w:p w:rsidR="00081D95" w:rsidRPr="00453577" w:rsidP="00AD5D09">
      <w:pPr>
        <w:rPr>
          <w:sz w:val="20"/>
          <w:szCs w:val="20"/>
        </w:rPr>
      </w:pPr>
      <w:r w:rsidRPr="00453577">
        <w:rPr>
          <w:rStyle w:val="FootnoteReference"/>
          <w:sz w:val="20"/>
          <w:szCs w:val="20"/>
        </w:rPr>
        <w:footnoteRef/>
      </w:r>
      <w:r w:rsidRPr="00453577">
        <w:rPr>
          <w:sz w:val="20"/>
          <w:szCs w:val="20"/>
        </w:rPr>
        <w:t xml:space="preserve"> NPCC, College of Policing and CPS, ‘National Disclosure Improvement Plan’ (January 2018)</w:t>
      </w:r>
    </w:p>
  </w:footnote>
  <w:footnote w:id="16">
    <w:p w:rsidR="002954D2" w:rsidRPr="00453577" w:rsidP="002954D2">
      <w:pPr>
        <w:pStyle w:val="FootnoteText"/>
        <w:rPr>
          <w:rFonts w:ascii="Times New Roman" w:hAnsi="Times New Roman" w:cs="Times New Roman"/>
          <w:sz w:val="20"/>
          <w:szCs w:val="20"/>
          <w:lang w:val="en-US"/>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w:t>
      </w:r>
      <w:r w:rsidRPr="00453577">
        <w:rPr>
          <w:rFonts w:ascii="Times New Roman" w:hAnsi="Times New Roman" w:cs="Times New Roman"/>
          <w:sz w:val="20"/>
          <w:szCs w:val="20"/>
          <w:lang w:val="en-US"/>
        </w:rPr>
        <w:t>[2006] EWHC 2318 (Admin); [2006] 1 WLR 3494</w:t>
      </w:r>
    </w:p>
    <w:p w:rsidR="002954D2" w:rsidRPr="00453577" w:rsidP="002954D2">
      <w:pPr>
        <w:pStyle w:val="FootnoteText"/>
        <w:rPr>
          <w:rFonts w:ascii="Times New Roman" w:hAnsi="Times New Roman" w:cs="Times New Roman"/>
          <w:sz w:val="20"/>
          <w:szCs w:val="20"/>
          <w:lang w:val="en-US"/>
        </w:rPr>
      </w:pPr>
    </w:p>
  </w:footnote>
  <w:footnote w:id="17">
    <w:p w:rsidR="002954D2" w:rsidRPr="00453577" w:rsidP="002954D2">
      <w:pPr>
        <w:pStyle w:val="FootnoteText"/>
        <w:rPr>
          <w:rFonts w:ascii="Times New Roman" w:hAnsi="Times New Roman" w:cs="Times New Roman"/>
          <w:sz w:val="20"/>
          <w:szCs w:val="20"/>
          <w:lang w:val="en-US"/>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w:t>
      </w:r>
      <w:r w:rsidRPr="00453577">
        <w:rPr>
          <w:rFonts w:ascii="Times New Roman" w:hAnsi="Times New Roman" w:cs="Times New Roman"/>
          <w:sz w:val="20"/>
          <w:szCs w:val="20"/>
          <w:lang w:val="en-US"/>
        </w:rPr>
        <w:t>Ibid 3500</w:t>
      </w:r>
    </w:p>
  </w:footnote>
  <w:footnote w:id="18">
    <w:p w:rsidR="00151A0B" w:rsidRPr="00453577" w:rsidP="00151A0B">
      <w:pPr>
        <w:pStyle w:val="FootnoteText"/>
        <w:rPr>
          <w:rFonts w:ascii="Times New Roman" w:hAnsi="Times New Roman" w:cs="Times New Roman"/>
          <w:sz w:val="20"/>
          <w:szCs w:val="20"/>
          <w:lang w:val="en-US"/>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w:t>
      </w:r>
      <w:r w:rsidRPr="00453577">
        <w:rPr>
          <w:rFonts w:ascii="Times New Roman" w:hAnsi="Times New Roman" w:cs="Times New Roman"/>
          <w:i/>
          <w:sz w:val="20"/>
          <w:szCs w:val="20"/>
          <w:lang w:val="en-US"/>
        </w:rPr>
        <w:t>R v (Belmarsh</w:t>
      </w:r>
      <w:r w:rsidRPr="00453577">
        <w:rPr>
          <w:rFonts w:ascii="Times New Roman" w:hAnsi="Times New Roman" w:cs="Times New Roman"/>
          <w:i/>
          <w:sz w:val="20"/>
          <w:szCs w:val="20"/>
          <w:lang w:val="en-US"/>
        </w:rPr>
        <w:t xml:space="preserve"> Magistrates’ Court) ex p Watts </w:t>
      </w:r>
      <w:r w:rsidRPr="00453577">
        <w:rPr>
          <w:rFonts w:ascii="Times New Roman" w:hAnsi="Times New Roman" w:cs="Times New Roman"/>
          <w:sz w:val="20"/>
          <w:szCs w:val="20"/>
          <w:lang w:val="en-US"/>
        </w:rPr>
        <w:t xml:space="preserve">[1999] 2 Cr App R 188 and </w:t>
      </w:r>
      <w:r w:rsidRPr="00453577">
        <w:rPr>
          <w:rFonts w:ascii="Times New Roman" w:hAnsi="Times New Roman" w:cs="Times New Roman"/>
          <w:i/>
          <w:sz w:val="20"/>
          <w:szCs w:val="20"/>
          <w:lang w:val="en-US"/>
        </w:rPr>
        <w:t xml:space="preserve">West London Metropolitan Stipendiary Magistrate ex p Klahn </w:t>
      </w:r>
      <w:r w:rsidRPr="00453577">
        <w:rPr>
          <w:rFonts w:ascii="Times New Roman" w:hAnsi="Times New Roman" w:cs="Times New Roman"/>
          <w:sz w:val="20"/>
          <w:szCs w:val="20"/>
          <w:lang w:val="en-US"/>
        </w:rPr>
        <w:t>[1979] 1 WLR 933.</w:t>
      </w:r>
    </w:p>
  </w:footnote>
  <w:footnote w:id="19">
    <w:p w:rsidR="00151A0B" w:rsidRPr="00453577" w:rsidP="00151A0B">
      <w:pPr>
        <w:pStyle w:val="FootnoteText"/>
        <w:rPr>
          <w:rFonts w:ascii="Times New Roman" w:hAnsi="Times New Roman" w:cs="Times New Roman"/>
          <w:sz w:val="20"/>
          <w:szCs w:val="20"/>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w:t>
      </w:r>
      <w:r w:rsidRPr="00453577">
        <w:rPr>
          <w:rFonts w:ascii="Times New Roman" w:hAnsi="Times New Roman" w:cs="Times New Roman"/>
          <w:i/>
          <w:iCs/>
          <w:sz w:val="20"/>
          <w:szCs w:val="20"/>
        </w:rPr>
        <w:t>R (DPP) v Sunderland Magistrates’ Court</w:t>
      </w:r>
      <w:r w:rsidRPr="00453577">
        <w:rPr>
          <w:rFonts w:ascii="Times New Roman" w:hAnsi="Times New Roman" w:cs="Times New Roman"/>
          <w:sz w:val="20"/>
          <w:szCs w:val="20"/>
        </w:rPr>
        <w:t xml:space="preserve"> [2014] EWHC 613 (Admin)</w:t>
      </w:r>
    </w:p>
  </w:footnote>
  <w:footnote w:id="20">
    <w:p w:rsidR="00453577" w:rsidRPr="00453577">
      <w:pPr>
        <w:pStyle w:val="FootnoteText"/>
        <w:rPr>
          <w:rFonts w:ascii="Times New Roman" w:hAnsi="Times New Roman" w:cs="Times New Roman"/>
          <w:sz w:val="20"/>
          <w:szCs w:val="20"/>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w:t>
      </w:r>
      <w:r w:rsidRPr="00453577">
        <w:rPr>
          <w:rFonts w:ascii="Times New Roman" w:hAnsi="Times New Roman" w:cs="Times New Roman"/>
          <w:sz w:val="20"/>
          <w:szCs w:val="20"/>
        </w:rPr>
        <w:fldChar w:fldCharType="begin"/>
      </w:r>
      <w:r w:rsidRPr="00453577">
        <w:rPr>
          <w:rFonts w:ascii="Times New Roman" w:hAnsi="Times New Roman" w:cs="Times New Roman"/>
          <w:sz w:val="20"/>
          <w:szCs w:val="20"/>
        </w:rPr>
        <w:instrText xml:space="preserve"> ADDIN ZOTERO_ITEM CSL_CITATION {"citationID":"F4Qrk3</w:instrText>
      </w:r>
      <w:r w:rsidRPr="00453577">
        <w:rPr>
          <w:rFonts w:ascii="Times New Roman" w:hAnsi="Times New Roman" w:cs="Times New Roman"/>
          <w:sz w:val="20"/>
          <w:szCs w:val="20"/>
        </w:rPr>
        <w:instrText>7B","properties":{"formattedCitation":"Claire de Than and Jesse Elvin, \\uc0\\u8216{}Private Prosecution: A Useful Constitutional Safeguard or Potentially Dangerous Historical Anomaly?\\uc0\\u8217{} [2019] Criminal Law Review 656, 679\\uc0\\u8211{}680.","p</w:instrText>
      </w:r>
      <w:r w:rsidRPr="00453577">
        <w:rPr>
          <w:rFonts w:ascii="Times New Roman" w:hAnsi="Times New Roman" w:cs="Times New Roman"/>
          <w:sz w:val="20"/>
          <w:szCs w:val="20"/>
        </w:rPr>
        <w:instrText>lainCitation":"Claire de Than and Jesse Elvin, ‘Private Prosecution: A Useful Constitutional Safeguard or Potentially Dangerous Historical Anomaly?’ [2019] Criminal Law Review 656, 679–680.","noteIndex":19},"citationItems":[{"id":1680,"uris":["http://zoter</w:instrText>
      </w:r>
      <w:r w:rsidRPr="00453577">
        <w:rPr>
          <w:rFonts w:ascii="Times New Roman" w:hAnsi="Times New Roman" w:cs="Times New Roman"/>
          <w:sz w:val="20"/>
          <w:szCs w:val="20"/>
        </w:rPr>
        <w:instrText xml:space="preserve">o.org/users/3333261/items/RTNRMDS6"],"uri":["http://zotero.org/users/3333261/items/RTNRMDS6"],"itemData":{"id":1680,"type":"article-journal","container-title":"Criminal Law Review","journalAbbreviation":"Crim LR","page":"656","title":"Private prosecution: </w:instrText>
      </w:r>
      <w:r w:rsidRPr="00453577">
        <w:rPr>
          <w:rFonts w:ascii="Times New Roman" w:hAnsi="Times New Roman" w:cs="Times New Roman"/>
          <w:sz w:val="20"/>
          <w:szCs w:val="20"/>
        </w:rPr>
        <w:instrText>a useful constitutional safeguard or potentially dangerous historical anomaly?","author":[{"family":"Than","given":"Claire","non-dropping-particle":"de"},{"family":"Elvin","given":"Jesse"}],"issued":{"date-parts":[["2019"]]}},"locator":"679-680","label":"p</w:instrText>
      </w:r>
      <w:r w:rsidRPr="00453577">
        <w:rPr>
          <w:rFonts w:ascii="Times New Roman" w:hAnsi="Times New Roman" w:cs="Times New Roman"/>
          <w:sz w:val="20"/>
          <w:szCs w:val="20"/>
        </w:rPr>
        <w:instrText xml:space="preserve">age"}],"schema":"https://github.com/citation-style-language/schema/raw/master/csl-citation.json"} </w:instrText>
      </w:r>
      <w:r w:rsidRPr="00453577">
        <w:rPr>
          <w:rFonts w:ascii="Times New Roman" w:hAnsi="Times New Roman" w:cs="Times New Roman"/>
          <w:sz w:val="20"/>
          <w:szCs w:val="20"/>
        </w:rPr>
        <w:fldChar w:fldCharType="separate"/>
      </w:r>
      <w:r w:rsidRPr="00453577">
        <w:rPr>
          <w:rFonts w:ascii="Times New Roman" w:hAnsi="Times New Roman" w:cs="Times New Roman"/>
          <w:sz w:val="20"/>
          <w:szCs w:val="20"/>
        </w:rPr>
        <w:t>Claire de Than and Jesse Elvin, ‘Private Prosecution: A Useful Constitutional Safeguard or Potentially Dangerous Historical Anomaly?’ [2019] Criminal Law Revi</w:t>
      </w:r>
      <w:r w:rsidRPr="00453577">
        <w:rPr>
          <w:rFonts w:ascii="Times New Roman" w:hAnsi="Times New Roman" w:cs="Times New Roman"/>
          <w:sz w:val="20"/>
          <w:szCs w:val="20"/>
        </w:rPr>
        <w:t>ew 656, 679–680.</w:t>
      </w:r>
      <w:r w:rsidRPr="00453577">
        <w:rPr>
          <w:rFonts w:ascii="Times New Roman" w:hAnsi="Times New Roman" w:cs="Times New Roman"/>
          <w:sz w:val="20"/>
          <w:szCs w:val="20"/>
        </w:rPr>
        <w:fldChar w:fldCharType="end"/>
      </w:r>
    </w:p>
  </w:footnote>
  <w:footnote w:id="21">
    <w:p w:rsidR="006256C6" w:rsidRPr="00453577" w:rsidP="006256C6">
      <w:pPr>
        <w:pStyle w:val="FootnoteText"/>
        <w:rPr>
          <w:rFonts w:ascii="Times New Roman" w:hAnsi="Times New Roman" w:cs="Times New Roman"/>
          <w:sz w:val="20"/>
          <w:szCs w:val="20"/>
          <w:lang w:val="en-US"/>
        </w:rPr>
      </w:pPr>
      <w:r w:rsidRPr="00453577">
        <w:rPr>
          <w:rStyle w:val="FootnoteReference"/>
          <w:rFonts w:ascii="Times New Roman" w:hAnsi="Times New Roman" w:cs="Times New Roman"/>
          <w:sz w:val="20"/>
          <w:szCs w:val="20"/>
        </w:rPr>
        <w:footnoteRef/>
      </w:r>
      <w:r w:rsidRPr="00453577">
        <w:rPr>
          <w:rFonts w:ascii="Times New Roman" w:hAnsi="Times New Roman" w:cs="Times New Roman"/>
          <w:sz w:val="20"/>
          <w:szCs w:val="20"/>
        </w:rPr>
        <w:t xml:space="preserve"> </w:t>
      </w:r>
      <w:r w:rsidRPr="00453577">
        <w:rPr>
          <w:rFonts w:ascii="Times New Roman" w:hAnsi="Times New Roman" w:cs="Times New Roman"/>
          <w:sz w:val="20"/>
          <w:szCs w:val="20"/>
        </w:rPr>
        <w:t xml:space="preserve">HMSO, </w:t>
      </w:r>
      <w:r w:rsidRPr="00453577">
        <w:rPr>
          <w:rFonts w:ascii="Times New Roman" w:hAnsi="Times New Roman" w:cs="Times New Roman"/>
          <w:i/>
          <w:iCs/>
          <w:sz w:val="20"/>
          <w:szCs w:val="20"/>
        </w:rPr>
        <w:t xml:space="preserve">Report of the Royal Commission on Criminal Procedure </w:t>
      </w:r>
      <w:r w:rsidRPr="00453577">
        <w:rPr>
          <w:rFonts w:ascii="Times New Roman" w:hAnsi="Times New Roman" w:cs="Times New Roman"/>
          <w:sz w:val="20"/>
          <w:szCs w:val="20"/>
        </w:rPr>
        <w:t>(Cmnd 8092-I and II, 1981)</w:t>
      </w:r>
      <w:r w:rsidRPr="00453577">
        <w:rPr>
          <w:rFonts w:ascii="Times New Roman" w:hAnsi="Times New Roman" w:cs="Times New Roman"/>
          <w:sz w:val="20"/>
          <w:szCs w:val="20"/>
          <w:lang w:val="en-US"/>
        </w:rPr>
        <w:t xml:space="preserve"> </w:t>
      </w:r>
      <w:r w:rsidRPr="00453577">
        <w:rPr>
          <w:rFonts w:ascii="Times New Roman" w:hAnsi="Times New Roman" w:cs="Times New Roman"/>
          <w:sz w:val="20"/>
          <w:szCs w:val="20"/>
          <w:lang w:val="en-US"/>
        </w:rPr>
        <w:t>[</w:t>
      </w:r>
      <w:r w:rsidRPr="00453577">
        <w:rPr>
          <w:rFonts w:ascii="Times New Roman" w:hAnsi="Times New Roman" w:cs="Times New Roman"/>
          <w:sz w:val="20"/>
          <w:szCs w:val="20"/>
          <w:lang w:val="en-US"/>
        </w:rPr>
        <w:t>7.50</w:t>
      </w:r>
      <w:r w:rsidRPr="00453577">
        <w:rPr>
          <w:rFonts w:ascii="Times New Roman" w:hAnsi="Times New Roman" w:cs="Times New Roman"/>
          <w:sz w:val="20"/>
          <w:szCs w:val="20"/>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1F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1F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1F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60C0B54"/>
    <w:multiLevelType w:val="multilevel"/>
    <w:tmpl w:val="6B02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C52D65"/>
    <w:multiLevelType w:val="hybridMultilevel"/>
    <w:tmpl w:val="7714CD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9C35991"/>
    <w:multiLevelType w:val="hybridMultilevel"/>
    <w:tmpl w:val="8F0A0D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89A"/>
    <w:pPr>
      <w:ind w:left="720"/>
      <w:contextualSpacing/>
    </w:pPr>
  </w:style>
  <w:style w:type="character" w:styleId="FootnoteReference">
    <w:name w:val="footnote reference"/>
    <w:basedOn w:val="DefaultParagraphFont"/>
    <w:uiPriority w:val="99"/>
    <w:unhideWhenUsed/>
    <w:rsid w:val="005B589A"/>
    <w:rPr>
      <w:vertAlign w:val="superscript"/>
    </w:rPr>
  </w:style>
  <w:style w:type="paragraph" w:styleId="FootnoteText">
    <w:name w:val="footnote text"/>
    <w:basedOn w:val="Normal"/>
    <w:link w:val="FootnoteTextChar"/>
    <w:uiPriority w:val="99"/>
    <w:unhideWhenUsed/>
    <w:rsid w:val="0072757E"/>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72757E"/>
    <w:rPr>
      <w:rFonts w:asciiTheme="minorHAnsi" w:eastAsiaTheme="minorEastAsia" w:hAnsiTheme="minorHAnsi" w:cstheme="minorBidi"/>
    </w:rPr>
  </w:style>
  <w:style w:type="character" w:styleId="Hyperlink">
    <w:name w:val="Hyperlink"/>
    <w:basedOn w:val="DefaultParagraphFont"/>
    <w:uiPriority w:val="99"/>
    <w:unhideWhenUsed/>
    <w:rsid w:val="0072757E"/>
    <w:rPr>
      <w:color w:val="0563C1" w:themeColor="hyperlink"/>
      <w:u w:val="single"/>
    </w:rPr>
  </w:style>
  <w:style w:type="paragraph" w:styleId="Footer">
    <w:name w:val="footer"/>
    <w:basedOn w:val="Normal"/>
    <w:link w:val="FooterChar"/>
    <w:uiPriority w:val="99"/>
    <w:unhideWhenUsed/>
    <w:rsid w:val="00E5316D"/>
    <w:pPr>
      <w:tabs>
        <w:tab w:val="center" w:pos="4680"/>
        <w:tab w:val="right" w:pos="9360"/>
      </w:tabs>
    </w:pPr>
  </w:style>
  <w:style w:type="character" w:customStyle="1" w:styleId="FooterChar">
    <w:name w:val="Footer Char"/>
    <w:basedOn w:val="DefaultParagraphFont"/>
    <w:link w:val="Footer"/>
    <w:uiPriority w:val="99"/>
    <w:rsid w:val="00E5316D"/>
  </w:style>
  <w:style w:type="character" w:styleId="PageNumber">
    <w:name w:val="page number"/>
    <w:basedOn w:val="DefaultParagraphFont"/>
    <w:uiPriority w:val="99"/>
    <w:semiHidden/>
    <w:unhideWhenUsed/>
    <w:rsid w:val="00E5316D"/>
  </w:style>
  <w:style w:type="character" w:customStyle="1" w:styleId="UnresolvedMention1">
    <w:name w:val="Unresolved Mention1"/>
    <w:basedOn w:val="DefaultParagraphFont"/>
    <w:uiPriority w:val="99"/>
    <w:semiHidden/>
    <w:unhideWhenUsed/>
    <w:rsid w:val="00043532"/>
    <w:rPr>
      <w:color w:val="605E5C"/>
      <w:shd w:val="clear" w:color="auto" w:fill="E1DFDD"/>
    </w:rPr>
  </w:style>
  <w:style w:type="paragraph" w:styleId="Header">
    <w:name w:val="header"/>
    <w:basedOn w:val="Normal"/>
    <w:link w:val="HeaderChar"/>
    <w:uiPriority w:val="99"/>
    <w:unhideWhenUsed/>
    <w:rsid w:val="00C21F07"/>
    <w:pPr>
      <w:tabs>
        <w:tab w:val="center" w:pos="4513"/>
        <w:tab w:val="right" w:pos="9026"/>
      </w:tabs>
    </w:pPr>
  </w:style>
  <w:style w:type="character" w:customStyle="1" w:styleId="HeaderChar">
    <w:name w:val="Header Char"/>
    <w:basedOn w:val="DefaultParagraphFont"/>
    <w:link w:val="Header"/>
    <w:uiPriority w:val="99"/>
    <w:rsid w:val="00C21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