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C7A92" w:rsidP="00CB7FF8">
      <w:pPr>
        <w:jc w:val="center"/>
        <w:rPr>
          <w:b/>
          <w:bCs/>
          <w:sz w:val="24"/>
          <w:szCs w:val="24"/>
        </w:rPr>
      </w:pPr>
      <w:r w:rsidRPr="00CB7FF8">
        <w:rPr>
          <w:b/>
          <w:bCs/>
          <w:sz w:val="24"/>
          <w:szCs w:val="24"/>
        </w:rPr>
        <w:t xml:space="preserve">Written evidence from the </w:t>
      </w:r>
      <w:r w:rsidRPr="00CB7FF8">
        <w:rPr>
          <w:b/>
          <w:bCs/>
          <w:sz w:val="24"/>
          <w:szCs w:val="24"/>
        </w:rPr>
        <w:t>Consultation Institute</w:t>
      </w:r>
      <w:r>
        <w:rPr>
          <w:b/>
          <w:bCs/>
          <w:sz w:val="24"/>
          <w:szCs w:val="24"/>
        </w:rPr>
        <w:t xml:space="preserve"> (RCC 13)</w:t>
      </w:r>
    </w:p>
    <w:tbl>
      <w:tblPr>
        <w:tblStyle w:val="TableGrid"/>
        <w:tblW w:w="9094" w:type="dxa"/>
        <w:tblBorders>
          <w:top w:val="nil"/>
          <w:left w:val="nil"/>
          <w:bottom w:val="nil"/>
          <w:right w:val="nil"/>
          <w:insideH w:val="nil"/>
          <w:insideV w:val="nil"/>
        </w:tblBorders>
        <w:tblLook w:val="04A0"/>
      </w:tblPr>
      <w:tblGrid>
        <w:gridCol w:w="885"/>
        <w:gridCol w:w="8209"/>
      </w:tblGrid>
      <w:tr w:rsidTr="00A065C3">
        <w:tblPrEx>
          <w:tblW w:w="9094" w:type="dxa"/>
          <w:tblBorders>
            <w:top w:val="nil"/>
            <w:left w:val="nil"/>
            <w:bottom w:val="nil"/>
            <w:right w:val="nil"/>
            <w:insideH w:val="nil"/>
            <w:insideV w:val="nil"/>
          </w:tblBorders>
          <w:tblLook w:val="04A0"/>
        </w:tblPrEx>
        <w:tc>
          <w:tcPr>
            <w:tcW w:w="885" w:type="dxa"/>
          </w:tcPr>
          <w:p w:rsidR="00512394" w:rsidRPr="00377915" w:rsidP="00D85445">
            <w:pPr>
              <w:jc w:val="both"/>
              <w:rPr>
                <w:b/>
                <w:bCs/>
                <w:sz w:val="24"/>
                <w:szCs w:val="24"/>
              </w:rPr>
            </w:pPr>
            <w:r w:rsidRPr="00377915">
              <w:rPr>
                <w:b/>
                <w:bCs/>
                <w:sz w:val="24"/>
                <w:szCs w:val="24"/>
              </w:rPr>
              <w:t>1.</w:t>
            </w:r>
          </w:p>
        </w:tc>
        <w:tc>
          <w:tcPr>
            <w:tcW w:w="8209" w:type="dxa"/>
          </w:tcPr>
          <w:p w:rsidR="00512394" w:rsidRPr="00BC3AC9" w:rsidP="00BC3AC9">
            <w:pPr>
              <w:pStyle w:val="paragraph"/>
              <w:spacing w:before="0" w:beforeAutospacing="0" w:after="0" w:afterAutospacing="0"/>
              <w:textAlignment w:val="baseline"/>
              <w:rPr>
                <w:rFonts w:ascii="Calibri" w:hAnsi="Calibri" w:cs="Calibri"/>
                <w:b/>
                <w:bCs/>
              </w:rPr>
            </w:pPr>
            <w:r w:rsidRPr="00512394">
              <w:rPr>
                <w:rStyle w:val="normaltextrun"/>
                <w:rFonts w:ascii="Calibri" w:hAnsi="Calibri" w:cs="Calibri"/>
                <w:b/>
                <w:bCs/>
              </w:rPr>
              <w:t>Introduction to the Consultation Institute</w:t>
            </w:r>
            <w:r>
              <w:rPr>
                <w:rStyle w:val="normaltextrun"/>
                <w:rFonts w:ascii="Calibri" w:hAnsi="Calibri" w:cs="Calibri"/>
                <w:b/>
                <w:bCs/>
              </w:rPr>
              <w:t xml:space="preserve"> and Executive Summary</w:t>
            </w:r>
          </w:p>
        </w:tc>
      </w:tr>
      <w:tr w:rsidTr="00A065C3">
        <w:tblPrEx>
          <w:tblW w:w="9094" w:type="dxa"/>
          <w:tblLook w:val="04A0"/>
        </w:tblPrEx>
        <w:tc>
          <w:tcPr>
            <w:tcW w:w="885" w:type="dxa"/>
          </w:tcPr>
          <w:p w:rsidR="00512394" w:rsidP="00D85445">
            <w:pPr>
              <w:jc w:val="both"/>
              <w:rPr>
                <w:sz w:val="24"/>
                <w:szCs w:val="24"/>
              </w:rPr>
            </w:pPr>
            <w:r>
              <w:rPr>
                <w:sz w:val="24"/>
                <w:szCs w:val="24"/>
              </w:rPr>
              <w:t>1.1</w:t>
            </w:r>
          </w:p>
        </w:tc>
        <w:tc>
          <w:tcPr>
            <w:tcW w:w="8209" w:type="dxa"/>
          </w:tcPr>
          <w:p w:rsidR="00512394" w:rsidRPr="00BC3AC9" w:rsidP="00BC3A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The Consultation Institute is a </w:t>
            </w:r>
            <w:r>
              <w:rPr>
                <w:rStyle w:val="normaltextrun"/>
                <w:rFonts w:ascii="Calibri" w:hAnsi="Calibri" w:cs="Calibri"/>
              </w:rPr>
              <w:t>not-for-profit organisation specialising in best practice public consultation and stakeholder engagement. </w:t>
            </w:r>
            <w:r>
              <w:rPr>
                <w:rStyle w:val="normaltextrun"/>
                <w:rFonts w:ascii="Calibri" w:hAnsi="Calibri" w:cs="Calibri"/>
                <w:shd w:val="clear" w:color="auto" w:fill="FFFFFF"/>
              </w:rPr>
              <w:t xml:space="preserve"> We </w:t>
            </w:r>
            <w:r>
              <w:rPr>
                <w:rStyle w:val="normaltextrun"/>
                <w:rFonts w:ascii="Calibri" w:hAnsi="Calibri" w:cs="Calibri"/>
                <w:shd w:val="clear" w:color="auto" w:fill="FFFFFF"/>
              </w:rPr>
              <w:t xml:space="preserve">are considered </w:t>
            </w:r>
            <w:r>
              <w:rPr>
                <w:rStyle w:val="normaltextrun"/>
                <w:rFonts w:ascii="Calibri" w:hAnsi="Calibri" w:cs="Calibri"/>
                <w:shd w:val="clear" w:color="auto" w:fill="FFFFFF"/>
              </w:rPr>
              <w:t>to be</w:t>
            </w:r>
            <w:r>
              <w:rPr>
                <w:rStyle w:val="normaltextrun"/>
                <w:rFonts w:ascii="Calibri" w:hAnsi="Calibri" w:cs="Calibri"/>
                <w:shd w:val="clear" w:color="auto" w:fill="FFFFFF"/>
              </w:rPr>
              <w:t xml:space="preserve"> </w:t>
            </w:r>
            <w:r>
              <w:rPr>
                <w:rStyle w:val="normaltextrun"/>
                <w:rFonts w:ascii="Calibri" w:hAnsi="Calibri" w:cs="Calibri"/>
                <w:shd w:val="clear" w:color="auto" w:fill="FFFFFF"/>
              </w:rPr>
              <w:t xml:space="preserve">experts </w:t>
            </w:r>
            <w:r>
              <w:rPr>
                <w:rStyle w:val="normaltextrun"/>
                <w:rFonts w:ascii="Calibri" w:hAnsi="Calibri" w:cs="Calibri"/>
                <w:shd w:val="clear" w:color="auto" w:fill="FFFFFF"/>
              </w:rPr>
              <w:t>in</w:t>
            </w:r>
            <w:r>
              <w:rPr>
                <w:rStyle w:val="normaltextrun"/>
                <w:rFonts w:ascii="Calibri" w:hAnsi="Calibri" w:cs="Calibri"/>
                <w:shd w:val="clear" w:color="auto" w:fill="FFFFFF"/>
              </w:rPr>
              <w:t xml:space="preserve"> </w:t>
            </w:r>
            <w:r>
              <w:rPr>
                <w:rStyle w:val="normaltextrun"/>
                <w:rFonts w:ascii="Calibri" w:hAnsi="Calibri" w:cs="Calibri"/>
                <w:shd w:val="clear" w:color="auto" w:fill="FFFFFF"/>
              </w:rPr>
              <w:t xml:space="preserve">these subjects, and provide services supporting and quality assuring consultation and engagement. We also </w:t>
            </w:r>
            <w:r>
              <w:rPr>
                <w:rStyle w:val="normaltextrun"/>
                <w:rFonts w:ascii="Calibri" w:hAnsi="Calibri" w:cs="Calibri"/>
                <w:shd w:val="clear" w:color="auto" w:fill="FFFFFF"/>
              </w:rPr>
              <w:t>frequently</w:t>
            </w:r>
            <w:r>
              <w:rPr>
                <w:rStyle w:val="normaltextrun"/>
                <w:rFonts w:ascii="Calibri" w:hAnsi="Calibri" w:cs="Calibri"/>
                <w:shd w:val="clear" w:color="auto" w:fill="FFFFFF"/>
              </w:rPr>
              <w:t xml:space="preserve"> publish analysis and research </w:t>
            </w:r>
            <w:r>
              <w:rPr>
                <w:rStyle w:val="normaltextrun"/>
                <w:rFonts w:ascii="Calibri" w:hAnsi="Calibri" w:cs="Calibri"/>
                <w:shd w:val="clear" w:color="auto" w:fill="FFFFFF"/>
              </w:rPr>
              <w:t>in this field</w:t>
            </w:r>
            <w:r>
              <w:rPr>
                <w:rStyle w:val="normaltextrun"/>
                <w:rFonts w:ascii="Calibri" w:hAnsi="Calibri" w:cs="Calibri"/>
                <w:shd w:val="clear" w:color="auto" w:fill="FFFFFF"/>
              </w:rPr>
              <w:t>.</w:t>
            </w:r>
          </w:p>
        </w:tc>
      </w:tr>
      <w:tr w:rsidTr="00A065C3">
        <w:tblPrEx>
          <w:tblW w:w="9094" w:type="dxa"/>
          <w:tblLook w:val="04A0"/>
        </w:tblPrEx>
        <w:tc>
          <w:tcPr>
            <w:tcW w:w="885" w:type="dxa"/>
          </w:tcPr>
          <w:p w:rsidR="00377915" w:rsidP="00D85445">
            <w:pPr>
              <w:jc w:val="both"/>
              <w:rPr>
                <w:sz w:val="24"/>
                <w:szCs w:val="24"/>
              </w:rPr>
            </w:pPr>
          </w:p>
        </w:tc>
        <w:tc>
          <w:tcPr>
            <w:tcW w:w="8209" w:type="dxa"/>
          </w:tcPr>
          <w:p w:rsidR="00377915" w:rsidRPr="004042B8" w:rsidP="00D85445">
            <w:pPr>
              <w:jc w:val="both"/>
              <w:rPr>
                <w:b/>
                <w:bCs/>
                <w:sz w:val="24"/>
                <w:szCs w:val="24"/>
              </w:rPr>
            </w:pPr>
          </w:p>
        </w:tc>
      </w:tr>
      <w:tr w:rsidTr="00A065C3">
        <w:tblPrEx>
          <w:tblW w:w="9094" w:type="dxa"/>
          <w:tblLook w:val="04A0"/>
        </w:tblPrEx>
        <w:tc>
          <w:tcPr>
            <w:tcW w:w="885" w:type="dxa"/>
          </w:tcPr>
          <w:p w:rsidR="00512394" w:rsidP="00D85445">
            <w:pPr>
              <w:jc w:val="both"/>
              <w:rPr>
                <w:sz w:val="24"/>
                <w:szCs w:val="24"/>
              </w:rPr>
            </w:pPr>
            <w:r>
              <w:rPr>
                <w:sz w:val="24"/>
                <w:szCs w:val="24"/>
              </w:rPr>
              <w:t>1.2</w:t>
            </w:r>
          </w:p>
        </w:tc>
        <w:tc>
          <w:tcPr>
            <w:tcW w:w="8209" w:type="dxa"/>
          </w:tcPr>
          <w:p w:rsidR="00512394" w:rsidRPr="00BC3AC9" w:rsidP="00D85445">
            <w:pPr>
              <w:jc w:val="both"/>
              <w:rPr>
                <w:b/>
                <w:bCs/>
                <w:sz w:val="24"/>
                <w:szCs w:val="24"/>
              </w:rPr>
            </w:pPr>
            <w:r w:rsidRPr="004042B8">
              <w:rPr>
                <w:b/>
                <w:bCs/>
                <w:sz w:val="24"/>
                <w:szCs w:val="24"/>
              </w:rPr>
              <w:t>Executive Summary</w:t>
            </w:r>
          </w:p>
        </w:tc>
      </w:tr>
      <w:tr w:rsidTr="00A065C3">
        <w:tblPrEx>
          <w:tblW w:w="9094" w:type="dxa"/>
          <w:tblLook w:val="04A0"/>
        </w:tblPrEx>
        <w:tc>
          <w:tcPr>
            <w:tcW w:w="885" w:type="dxa"/>
          </w:tcPr>
          <w:p w:rsidR="00512394" w:rsidP="00D85445">
            <w:pPr>
              <w:jc w:val="both"/>
              <w:rPr>
                <w:sz w:val="24"/>
                <w:szCs w:val="24"/>
              </w:rPr>
            </w:pPr>
          </w:p>
        </w:tc>
        <w:tc>
          <w:tcPr>
            <w:tcW w:w="8209" w:type="dxa"/>
          </w:tcPr>
          <w:p w:rsidR="00BC3AC9" w:rsidP="00BC3AC9">
            <w:pPr>
              <w:pStyle w:val="ListParagraph"/>
              <w:numPr>
                <w:ilvl w:val="0"/>
                <w:numId w:val="2"/>
              </w:numPr>
              <w:jc w:val="both"/>
              <w:rPr>
                <w:sz w:val="24"/>
                <w:szCs w:val="24"/>
              </w:rPr>
            </w:pPr>
            <w:r>
              <w:rPr>
                <w:sz w:val="24"/>
                <w:szCs w:val="24"/>
              </w:rPr>
              <w:t xml:space="preserve">The maintenance of the Coronavirus Act 2020 and subsidiary regulations should be undertaken with </w:t>
            </w:r>
            <w:r>
              <w:rPr>
                <w:sz w:val="24"/>
                <w:szCs w:val="24"/>
              </w:rPr>
              <w:t>robust</w:t>
            </w:r>
            <w:r>
              <w:rPr>
                <w:sz w:val="24"/>
                <w:szCs w:val="24"/>
              </w:rPr>
              <w:t xml:space="preserve"> consultation and engagement with stakeholders</w:t>
            </w:r>
            <w:r>
              <w:rPr>
                <w:sz w:val="24"/>
                <w:szCs w:val="24"/>
              </w:rPr>
              <w:t xml:space="preserve"> both nationally and locally</w:t>
            </w:r>
          </w:p>
          <w:p w:rsidR="00512394" w:rsidP="00D85445">
            <w:pPr>
              <w:pStyle w:val="ListParagraph"/>
              <w:numPr>
                <w:ilvl w:val="0"/>
                <w:numId w:val="2"/>
              </w:numPr>
              <w:jc w:val="both"/>
              <w:rPr>
                <w:sz w:val="24"/>
                <w:szCs w:val="24"/>
              </w:rPr>
            </w:pPr>
            <w:r>
              <w:rPr>
                <w:sz w:val="24"/>
                <w:szCs w:val="24"/>
              </w:rPr>
              <w:t xml:space="preserve">Although there are challenges to </w:t>
            </w:r>
            <w:r>
              <w:rPr>
                <w:sz w:val="24"/>
                <w:szCs w:val="24"/>
              </w:rPr>
              <w:t xml:space="preserve">conducting </w:t>
            </w:r>
            <w:r>
              <w:rPr>
                <w:sz w:val="24"/>
                <w:szCs w:val="24"/>
              </w:rPr>
              <w:t>best practice-compliant public con</w:t>
            </w:r>
            <w:r>
              <w:rPr>
                <w:sz w:val="24"/>
                <w:szCs w:val="24"/>
              </w:rPr>
              <w:t>sultation</w:t>
            </w:r>
            <w:r>
              <w:rPr>
                <w:sz w:val="24"/>
                <w:szCs w:val="24"/>
              </w:rPr>
              <w:t xml:space="preserve"> and engagement, these are not insurmountable</w:t>
            </w:r>
          </w:p>
          <w:p w:rsidR="00281777" w:rsidRPr="00CB3D86" w:rsidP="00D85445">
            <w:pPr>
              <w:pStyle w:val="ListParagraph"/>
              <w:numPr>
                <w:ilvl w:val="0"/>
                <w:numId w:val="2"/>
              </w:numPr>
              <w:jc w:val="both"/>
              <w:rPr>
                <w:sz w:val="24"/>
                <w:szCs w:val="24"/>
              </w:rPr>
            </w:pPr>
            <w:r>
              <w:rPr>
                <w:sz w:val="24"/>
                <w:szCs w:val="24"/>
              </w:rPr>
              <w:t>Effective engagement can still be undertaken</w:t>
            </w:r>
            <w:r>
              <w:rPr>
                <w:sz w:val="24"/>
                <w:szCs w:val="24"/>
              </w:rPr>
              <w:t xml:space="preserve"> </w:t>
            </w:r>
            <w:r>
              <w:rPr>
                <w:sz w:val="24"/>
                <w:szCs w:val="24"/>
              </w:rPr>
              <w:t>and</w:t>
            </w:r>
            <w:r>
              <w:rPr>
                <w:sz w:val="24"/>
                <w:szCs w:val="24"/>
              </w:rPr>
              <w:t xml:space="preserve"> should be used to </w:t>
            </w:r>
            <w:r>
              <w:rPr>
                <w:sz w:val="24"/>
                <w:szCs w:val="24"/>
              </w:rPr>
              <w:t>inform better decision-making, ensure public confidence and</w:t>
            </w:r>
            <w:r>
              <w:rPr>
                <w:sz w:val="24"/>
                <w:szCs w:val="24"/>
              </w:rPr>
              <w:t xml:space="preserve"> maintain</w:t>
            </w:r>
            <w:r>
              <w:rPr>
                <w:sz w:val="24"/>
                <w:szCs w:val="24"/>
              </w:rPr>
              <w:t xml:space="preserve"> adherence to regulations</w:t>
            </w:r>
          </w:p>
        </w:tc>
      </w:tr>
      <w:tr w:rsidTr="00A065C3">
        <w:tblPrEx>
          <w:tblW w:w="9094" w:type="dxa"/>
          <w:tblLook w:val="04A0"/>
        </w:tblPrEx>
        <w:tc>
          <w:tcPr>
            <w:tcW w:w="885" w:type="dxa"/>
          </w:tcPr>
          <w:p w:rsidR="00377915" w:rsidP="00D85445">
            <w:pPr>
              <w:jc w:val="both"/>
              <w:rPr>
                <w:sz w:val="24"/>
                <w:szCs w:val="24"/>
              </w:rPr>
            </w:pPr>
          </w:p>
        </w:tc>
        <w:tc>
          <w:tcPr>
            <w:tcW w:w="8209" w:type="dxa"/>
          </w:tcPr>
          <w:p w:rsidR="00377915" w:rsidP="00D85445">
            <w:pPr>
              <w:jc w:val="both"/>
              <w:rPr>
                <w:sz w:val="24"/>
                <w:szCs w:val="24"/>
              </w:rPr>
            </w:pPr>
          </w:p>
        </w:tc>
      </w:tr>
      <w:tr w:rsidTr="00A065C3">
        <w:tblPrEx>
          <w:tblW w:w="9094" w:type="dxa"/>
          <w:tblLook w:val="04A0"/>
        </w:tblPrEx>
        <w:tc>
          <w:tcPr>
            <w:tcW w:w="885" w:type="dxa"/>
          </w:tcPr>
          <w:p w:rsidR="00512394" w:rsidRPr="0088665C" w:rsidP="00D85445">
            <w:pPr>
              <w:jc w:val="both"/>
              <w:rPr>
                <w:b/>
                <w:bCs/>
                <w:sz w:val="24"/>
                <w:szCs w:val="24"/>
              </w:rPr>
            </w:pPr>
            <w:r w:rsidRPr="0088665C">
              <w:rPr>
                <w:b/>
                <w:bCs/>
                <w:sz w:val="24"/>
                <w:szCs w:val="24"/>
              </w:rPr>
              <w:t>2.</w:t>
            </w:r>
          </w:p>
        </w:tc>
        <w:tc>
          <w:tcPr>
            <w:tcW w:w="8209" w:type="dxa"/>
          </w:tcPr>
          <w:p w:rsidR="00512394" w:rsidRPr="0088665C" w:rsidP="00D85445">
            <w:pPr>
              <w:jc w:val="both"/>
              <w:rPr>
                <w:b/>
                <w:bCs/>
                <w:sz w:val="24"/>
                <w:szCs w:val="24"/>
              </w:rPr>
            </w:pPr>
            <w:r>
              <w:rPr>
                <w:b/>
                <w:bCs/>
                <w:sz w:val="24"/>
                <w:szCs w:val="24"/>
              </w:rPr>
              <w:t>The Need to Consult</w:t>
            </w:r>
          </w:p>
        </w:tc>
      </w:tr>
      <w:tr w:rsidTr="00A065C3">
        <w:tblPrEx>
          <w:tblW w:w="9094" w:type="dxa"/>
          <w:tblLook w:val="04A0"/>
        </w:tblPrEx>
        <w:tc>
          <w:tcPr>
            <w:tcW w:w="885" w:type="dxa"/>
          </w:tcPr>
          <w:p w:rsidR="00512394" w:rsidP="00D85445">
            <w:pPr>
              <w:jc w:val="both"/>
              <w:rPr>
                <w:sz w:val="24"/>
                <w:szCs w:val="24"/>
              </w:rPr>
            </w:pPr>
            <w:r>
              <w:rPr>
                <w:sz w:val="24"/>
                <w:szCs w:val="24"/>
              </w:rPr>
              <w:t>2.1</w:t>
            </w:r>
          </w:p>
        </w:tc>
        <w:tc>
          <w:tcPr>
            <w:tcW w:w="8209" w:type="dxa"/>
          </w:tcPr>
          <w:p w:rsidR="00512394" w:rsidP="00D85445">
            <w:pPr>
              <w:jc w:val="both"/>
              <w:rPr>
                <w:sz w:val="24"/>
                <w:szCs w:val="24"/>
              </w:rPr>
            </w:pPr>
            <w:r w:rsidRPr="00291376">
              <w:rPr>
                <w:sz w:val="24"/>
                <w:szCs w:val="24"/>
              </w:rPr>
              <w:t xml:space="preserve">The </w:t>
            </w:r>
            <w:r w:rsidRPr="00291376">
              <w:rPr>
                <w:sz w:val="24"/>
                <w:szCs w:val="24"/>
              </w:rPr>
              <w:t>Coronavirus Ac</w:t>
            </w:r>
            <w:r>
              <w:rPr>
                <w:sz w:val="24"/>
                <w:szCs w:val="24"/>
              </w:rPr>
              <w:t>t and its attendant regulations were passed with appropriate haste at the advent of the Coronavirus emergency. The nature of this expedited passage meant that there was not time for the usual expected consultation and engagement on the provis</w:t>
            </w:r>
            <w:r>
              <w:rPr>
                <w:sz w:val="24"/>
                <w:szCs w:val="24"/>
              </w:rPr>
              <w:t xml:space="preserve">ions of the legislation. Whilst the public appreciated this at the time as a necessary response to </w:t>
            </w:r>
            <w:r>
              <w:rPr>
                <w:sz w:val="24"/>
                <w:szCs w:val="24"/>
              </w:rPr>
              <w:t>an emergency situation</w:t>
            </w:r>
            <w:r>
              <w:rPr>
                <w:sz w:val="24"/>
                <w:szCs w:val="24"/>
              </w:rPr>
              <w:t>, as time moves on the lack of consultation and engagement becomes more problematic.</w:t>
            </w:r>
          </w:p>
        </w:tc>
      </w:tr>
      <w:tr w:rsidTr="00A065C3">
        <w:tblPrEx>
          <w:tblW w:w="9094" w:type="dxa"/>
          <w:tblLook w:val="04A0"/>
        </w:tblPrEx>
        <w:tc>
          <w:tcPr>
            <w:tcW w:w="885" w:type="dxa"/>
          </w:tcPr>
          <w:p w:rsidR="00512394" w:rsidP="00D85445">
            <w:pPr>
              <w:jc w:val="both"/>
              <w:rPr>
                <w:sz w:val="24"/>
                <w:szCs w:val="24"/>
              </w:rPr>
            </w:pPr>
          </w:p>
        </w:tc>
        <w:tc>
          <w:tcPr>
            <w:tcW w:w="8209" w:type="dxa"/>
          </w:tcPr>
          <w:p w:rsidR="00512394" w:rsidP="00D85445">
            <w:pPr>
              <w:jc w:val="both"/>
              <w:rPr>
                <w:sz w:val="24"/>
                <w:szCs w:val="24"/>
              </w:rPr>
            </w:pPr>
          </w:p>
        </w:tc>
      </w:tr>
      <w:tr w:rsidTr="00A065C3">
        <w:tblPrEx>
          <w:tblW w:w="9094" w:type="dxa"/>
          <w:tblLook w:val="04A0"/>
        </w:tblPrEx>
        <w:tc>
          <w:tcPr>
            <w:tcW w:w="885" w:type="dxa"/>
          </w:tcPr>
          <w:p w:rsidR="00512394" w:rsidP="00D85445">
            <w:pPr>
              <w:jc w:val="both"/>
              <w:rPr>
                <w:sz w:val="24"/>
                <w:szCs w:val="24"/>
              </w:rPr>
            </w:pPr>
            <w:r>
              <w:rPr>
                <w:sz w:val="24"/>
                <w:szCs w:val="24"/>
              </w:rPr>
              <w:t>2.2</w:t>
            </w:r>
          </w:p>
        </w:tc>
        <w:tc>
          <w:tcPr>
            <w:tcW w:w="8209" w:type="dxa"/>
          </w:tcPr>
          <w:p w:rsidR="00512394" w:rsidP="00D85445">
            <w:pPr>
              <w:jc w:val="both"/>
              <w:rPr>
                <w:sz w:val="24"/>
                <w:szCs w:val="24"/>
              </w:rPr>
            </w:pPr>
            <w:r>
              <w:rPr>
                <w:sz w:val="24"/>
                <w:szCs w:val="24"/>
              </w:rPr>
              <w:t xml:space="preserve">Whilst the public’s confidence in the </w:t>
            </w:r>
            <w:r>
              <w:rPr>
                <w:sz w:val="24"/>
                <w:szCs w:val="24"/>
              </w:rPr>
              <w:t>initial response to the Coronavirus was high, in more recent weeks it has started to fall</w:t>
            </w:r>
            <w:r>
              <w:rPr>
                <w:sz w:val="24"/>
                <w:szCs w:val="24"/>
              </w:rPr>
              <w:t xml:space="preserve">. This has been </w:t>
            </w:r>
            <w:r>
              <w:rPr>
                <w:sz w:val="24"/>
                <w:szCs w:val="24"/>
              </w:rPr>
              <w:t>variously attributed to communications problems, rising numbers of both cases and deaths, and political arguments over adherence to the rules by public</w:t>
            </w:r>
            <w:r>
              <w:rPr>
                <w:sz w:val="24"/>
                <w:szCs w:val="24"/>
              </w:rPr>
              <w:t xml:space="preserve"> figures. Although definitive data is not yet available on any actual impacts that this has had on adherence to the rules, the impact on public confidence alone should not be underestimated as a problem. This may well also be impacted further by several of</w:t>
            </w:r>
            <w:r>
              <w:rPr>
                <w:sz w:val="24"/>
                <w:szCs w:val="24"/>
              </w:rPr>
              <w:t xml:space="preserve"> the government advisors emerging to publicly disagree with the government’s latest amendments to the regulations. These combined factors lead to a recognisable risk to the sustainability of the regulations.</w:t>
            </w:r>
          </w:p>
        </w:tc>
      </w:tr>
      <w:tr w:rsidTr="00A065C3">
        <w:tblPrEx>
          <w:tblW w:w="9094" w:type="dxa"/>
          <w:tblLook w:val="04A0"/>
        </w:tblPrEx>
        <w:tc>
          <w:tcPr>
            <w:tcW w:w="885" w:type="dxa"/>
          </w:tcPr>
          <w:p w:rsidR="00512394" w:rsidP="00D85445">
            <w:pPr>
              <w:jc w:val="both"/>
              <w:rPr>
                <w:sz w:val="24"/>
                <w:szCs w:val="24"/>
              </w:rPr>
            </w:pPr>
          </w:p>
        </w:tc>
        <w:tc>
          <w:tcPr>
            <w:tcW w:w="8209" w:type="dxa"/>
          </w:tcPr>
          <w:p w:rsidR="00512394" w:rsidP="00D85445">
            <w:pPr>
              <w:jc w:val="both"/>
              <w:rPr>
                <w:sz w:val="24"/>
                <w:szCs w:val="24"/>
              </w:rPr>
            </w:pPr>
          </w:p>
        </w:tc>
      </w:tr>
      <w:tr w:rsidTr="00A065C3">
        <w:tblPrEx>
          <w:tblW w:w="9094" w:type="dxa"/>
          <w:tblLook w:val="04A0"/>
        </w:tblPrEx>
        <w:tc>
          <w:tcPr>
            <w:tcW w:w="885" w:type="dxa"/>
          </w:tcPr>
          <w:p w:rsidR="00512394" w:rsidP="00D85445">
            <w:pPr>
              <w:jc w:val="both"/>
              <w:rPr>
                <w:sz w:val="24"/>
                <w:szCs w:val="24"/>
              </w:rPr>
            </w:pPr>
            <w:r>
              <w:rPr>
                <w:sz w:val="24"/>
                <w:szCs w:val="24"/>
              </w:rPr>
              <w:t>2.3</w:t>
            </w:r>
          </w:p>
        </w:tc>
        <w:tc>
          <w:tcPr>
            <w:tcW w:w="8209" w:type="dxa"/>
          </w:tcPr>
          <w:p w:rsidR="00512394" w:rsidP="00B458AE">
            <w:pPr>
              <w:jc w:val="both"/>
              <w:rPr>
                <w:sz w:val="24"/>
                <w:szCs w:val="24"/>
              </w:rPr>
            </w:pPr>
            <w:r>
              <w:rPr>
                <w:sz w:val="24"/>
                <w:szCs w:val="24"/>
              </w:rPr>
              <w:t>For a public health message that has tak</w:t>
            </w:r>
            <w:r>
              <w:rPr>
                <w:sz w:val="24"/>
                <w:szCs w:val="24"/>
              </w:rPr>
              <w:t>en damage through the above factors, the benefits of consultation and engagement should not be underestimated. We have outlined five reasons that consultation and engagement will be vital as we move forward through lockdown and through the relaxation of th</w:t>
            </w:r>
            <w:r>
              <w:rPr>
                <w:sz w:val="24"/>
                <w:szCs w:val="24"/>
              </w:rPr>
              <w:t>e present restrictions</w:t>
            </w:r>
            <w:r>
              <w:rPr>
                <w:sz w:val="24"/>
                <w:szCs w:val="24"/>
              </w:rPr>
              <w:t>:</w:t>
            </w:r>
          </w:p>
        </w:tc>
      </w:tr>
      <w:tr w:rsidTr="00A065C3">
        <w:tblPrEx>
          <w:tblW w:w="9094" w:type="dxa"/>
          <w:tblLook w:val="04A0"/>
        </w:tblPrEx>
        <w:tc>
          <w:tcPr>
            <w:tcW w:w="885" w:type="dxa"/>
          </w:tcPr>
          <w:p w:rsidR="00B458AE" w:rsidP="00D85445">
            <w:pPr>
              <w:jc w:val="both"/>
              <w:rPr>
                <w:sz w:val="24"/>
                <w:szCs w:val="24"/>
              </w:rPr>
            </w:pPr>
          </w:p>
        </w:tc>
        <w:tc>
          <w:tcPr>
            <w:tcW w:w="8209" w:type="dxa"/>
          </w:tcPr>
          <w:p w:rsidR="00B458AE" w:rsidP="00D85445">
            <w:pPr>
              <w:jc w:val="both"/>
              <w:rPr>
                <w:sz w:val="24"/>
                <w:szCs w:val="24"/>
              </w:rPr>
            </w:pPr>
          </w:p>
        </w:tc>
      </w:tr>
      <w:tr w:rsidTr="00A065C3">
        <w:tblPrEx>
          <w:tblW w:w="9094" w:type="dxa"/>
          <w:tblLook w:val="04A0"/>
        </w:tblPrEx>
        <w:tc>
          <w:tcPr>
            <w:tcW w:w="885" w:type="dxa"/>
          </w:tcPr>
          <w:p w:rsidR="00512394" w:rsidRPr="00574E1A" w:rsidP="00D85445">
            <w:pPr>
              <w:jc w:val="both"/>
              <w:rPr>
                <w:i/>
                <w:iCs/>
                <w:sz w:val="24"/>
                <w:szCs w:val="24"/>
              </w:rPr>
            </w:pPr>
            <w:r w:rsidRPr="00574E1A">
              <w:rPr>
                <w:i/>
                <w:iCs/>
                <w:sz w:val="24"/>
                <w:szCs w:val="24"/>
              </w:rPr>
              <w:t>2.3.1</w:t>
            </w:r>
          </w:p>
        </w:tc>
        <w:tc>
          <w:tcPr>
            <w:tcW w:w="8209" w:type="dxa"/>
          </w:tcPr>
          <w:p w:rsidR="00512394" w:rsidRPr="00574E1A" w:rsidP="00D85445">
            <w:pPr>
              <w:jc w:val="both"/>
              <w:rPr>
                <w:i/>
                <w:iCs/>
                <w:sz w:val="24"/>
                <w:szCs w:val="24"/>
              </w:rPr>
            </w:pPr>
            <w:r w:rsidRPr="00574E1A">
              <w:rPr>
                <w:i/>
                <w:iCs/>
                <w:sz w:val="24"/>
                <w:szCs w:val="24"/>
              </w:rPr>
              <w:t>Public Expectations</w:t>
            </w:r>
          </w:p>
        </w:tc>
      </w:tr>
      <w:tr w:rsidTr="00A065C3">
        <w:tblPrEx>
          <w:tblW w:w="9094" w:type="dxa"/>
          <w:tblLook w:val="04A0"/>
        </w:tblPrEx>
        <w:tc>
          <w:tcPr>
            <w:tcW w:w="885" w:type="dxa"/>
          </w:tcPr>
          <w:p w:rsidR="00512394" w:rsidP="00D85445">
            <w:pPr>
              <w:jc w:val="both"/>
              <w:rPr>
                <w:sz w:val="24"/>
                <w:szCs w:val="24"/>
              </w:rPr>
            </w:pPr>
            <w:r>
              <w:rPr>
                <w:sz w:val="24"/>
                <w:szCs w:val="24"/>
              </w:rPr>
              <w:t>2.3.1.1</w:t>
            </w:r>
          </w:p>
        </w:tc>
        <w:tc>
          <w:tcPr>
            <w:tcW w:w="8209" w:type="dxa"/>
          </w:tcPr>
          <w:p w:rsidR="00023CBF" w:rsidP="00C66B53">
            <w:pPr>
              <w:jc w:val="both"/>
              <w:rPr>
                <w:sz w:val="24"/>
                <w:szCs w:val="24"/>
              </w:rPr>
            </w:pPr>
            <w:r>
              <w:rPr>
                <w:sz w:val="24"/>
                <w:szCs w:val="24"/>
              </w:rPr>
              <w:t xml:space="preserve">Although </w:t>
            </w:r>
            <w:r>
              <w:rPr>
                <w:sz w:val="24"/>
                <w:szCs w:val="24"/>
              </w:rPr>
              <w:t>the public</w:t>
            </w:r>
            <w:r>
              <w:rPr>
                <w:sz w:val="24"/>
                <w:szCs w:val="24"/>
              </w:rPr>
              <w:t xml:space="preserve"> accepted that an urgent lockdown without the usua</w:t>
            </w:r>
            <w:r>
              <w:rPr>
                <w:sz w:val="24"/>
                <w:szCs w:val="24"/>
              </w:rPr>
              <w:t>l</w:t>
            </w:r>
            <w:r>
              <w:rPr>
                <w:sz w:val="24"/>
                <w:szCs w:val="24"/>
              </w:rPr>
              <w:t xml:space="preserve"> debate was necessary, </w:t>
            </w:r>
            <w:r>
              <w:rPr>
                <w:sz w:val="24"/>
                <w:szCs w:val="24"/>
              </w:rPr>
              <w:t xml:space="preserve">since then </w:t>
            </w:r>
            <w:r>
              <w:rPr>
                <w:sz w:val="24"/>
                <w:szCs w:val="24"/>
              </w:rPr>
              <w:t xml:space="preserve">they have had a long time to consider their views and to determine how lockdown is </w:t>
            </w:r>
            <w:r>
              <w:rPr>
                <w:sz w:val="24"/>
                <w:szCs w:val="24"/>
              </w:rPr>
              <w:t>affecting them individually.</w:t>
            </w:r>
            <w:r>
              <w:rPr>
                <w:sz w:val="24"/>
                <w:szCs w:val="24"/>
              </w:rPr>
              <w:t xml:space="preserve"> </w:t>
            </w:r>
            <w:r>
              <w:rPr>
                <w:sz w:val="24"/>
                <w:szCs w:val="24"/>
              </w:rPr>
              <w:t xml:space="preserve">For </w:t>
            </w:r>
            <w:r>
              <w:rPr>
                <w:sz w:val="24"/>
                <w:szCs w:val="24"/>
              </w:rPr>
              <w:t>a</w:t>
            </w:r>
            <w:r>
              <w:rPr>
                <w:sz w:val="24"/>
                <w:szCs w:val="24"/>
              </w:rPr>
              <w:t xml:space="preserve"> Government which </w:t>
            </w:r>
            <w:r>
              <w:rPr>
                <w:sz w:val="24"/>
                <w:szCs w:val="24"/>
              </w:rPr>
              <w:t xml:space="preserve">imposed these restrictions with little scrutiny and consultation, </w:t>
            </w:r>
            <w:r>
              <w:rPr>
                <w:sz w:val="24"/>
                <w:szCs w:val="24"/>
              </w:rPr>
              <w:t xml:space="preserve">there is a risk that they </w:t>
            </w:r>
            <w:r>
              <w:rPr>
                <w:sz w:val="24"/>
                <w:szCs w:val="24"/>
              </w:rPr>
              <w:t>are seen as</w:t>
            </w:r>
            <w:r>
              <w:rPr>
                <w:sz w:val="24"/>
                <w:szCs w:val="24"/>
              </w:rPr>
              <w:t xml:space="preserve"> dictatorial and top-down, not considering the </w:t>
            </w:r>
            <w:r>
              <w:rPr>
                <w:sz w:val="24"/>
                <w:szCs w:val="24"/>
              </w:rPr>
              <w:t>views of those living under them.</w:t>
            </w:r>
          </w:p>
        </w:tc>
      </w:tr>
      <w:tr w:rsidTr="00A065C3">
        <w:tblPrEx>
          <w:tblW w:w="9094" w:type="dxa"/>
          <w:tblLook w:val="04A0"/>
        </w:tblPrEx>
        <w:tc>
          <w:tcPr>
            <w:tcW w:w="885" w:type="dxa"/>
          </w:tcPr>
          <w:p w:rsidR="00C66B53" w:rsidP="00D85445">
            <w:pPr>
              <w:jc w:val="both"/>
              <w:rPr>
                <w:sz w:val="24"/>
                <w:szCs w:val="24"/>
              </w:rPr>
            </w:pPr>
          </w:p>
        </w:tc>
        <w:tc>
          <w:tcPr>
            <w:tcW w:w="8209" w:type="dxa"/>
          </w:tcPr>
          <w:p w:rsidR="00C66B53" w:rsidP="00C66B53">
            <w:pPr>
              <w:jc w:val="both"/>
              <w:rPr>
                <w:sz w:val="24"/>
                <w:szCs w:val="24"/>
              </w:rPr>
            </w:pPr>
          </w:p>
        </w:tc>
      </w:tr>
      <w:tr w:rsidTr="00A065C3">
        <w:tblPrEx>
          <w:tblW w:w="9094" w:type="dxa"/>
          <w:tblLook w:val="04A0"/>
        </w:tblPrEx>
        <w:tc>
          <w:tcPr>
            <w:tcW w:w="885" w:type="dxa"/>
          </w:tcPr>
          <w:p w:rsidR="00C66B53" w:rsidP="00D85445">
            <w:pPr>
              <w:jc w:val="both"/>
              <w:rPr>
                <w:sz w:val="24"/>
                <w:szCs w:val="24"/>
              </w:rPr>
            </w:pPr>
            <w:r>
              <w:rPr>
                <w:sz w:val="24"/>
                <w:szCs w:val="24"/>
              </w:rPr>
              <w:t>2.3.1.2</w:t>
            </w:r>
          </w:p>
        </w:tc>
        <w:tc>
          <w:tcPr>
            <w:tcW w:w="8209" w:type="dxa"/>
          </w:tcPr>
          <w:p w:rsidR="00C66B53" w:rsidP="00C66B53">
            <w:pPr>
              <w:jc w:val="both"/>
              <w:rPr>
                <w:sz w:val="24"/>
                <w:szCs w:val="24"/>
              </w:rPr>
            </w:pPr>
            <w:r>
              <w:rPr>
                <w:sz w:val="24"/>
                <w:szCs w:val="24"/>
              </w:rPr>
              <w:t>This pro</w:t>
            </w:r>
            <w:r>
              <w:rPr>
                <w:sz w:val="24"/>
                <w:szCs w:val="24"/>
              </w:rPr>
              <w:t xml:space="preserve">blem had been exacerbated by the Government’s communication problems, including confused messaging, seemingly contradictory statements on what is and is not permitted, and the lack of distinction between the substance of the </w:t>
            </w:r>
            <w:r w:rsidRPr="003E1A2F">
              <w:rPr>
                <w:b/>
                <w:bCs/>
                <w:i/>
                <w:iCs/>
                <w:sz w:val="24"/>
                <w:szCs w:val="24"/>
              </w:rPr>
              <w:t>regulations</w:t>
            </w:r>
            <w:r>
              <w:rPr>
                <w:sz w:val="24"/>
                <w:szCs w:val="24"/>
              </w:rPr>
              <w:t xml:space="preserve"> and the </w:t>
            </w:r>
            <w:r w:rsidRPr="003E1A2F">
              <w:rPr>
                <w:b/>
                <w:bCs/>
                <w:i/>
                <w:iCs/>
                <w:sz w:val="24"/>
                <w:szCs w:val="24"/>
              </w:rPr>
              <w:t>guidance</w:t>
            </w:r>
            <w:r>
              <w:rPr>
                <w:sz w:val="24"/>
                <w:szCs w:val="24"/>
              </w:rPr>
              <w:t xml:space="preserve">. </w:t>
            </w:r>
          </w:p>
        </w:tc>
      </w:tr>
      <w:tr w:rsidTr="00A065C3">
        <w:tblPrEx>
          <w:tblW w:w="9094" w:type="dxa"/>
          <w:tblLook w:val="04A0"/>
        </w:tblPrEx>
        <w:tc>
          <w:tcPr>
            <w:tcW w:w="885" w:type="dxa"/>
          </w:tcPr>
          <w:p w:rsidR="00512394" w:rsidP="00D85445">
            <w:pPr>
              <w:jc w:val="both"/>
              <w:rPr>
                <w:sz w:val="24"/>
                <w:szCs w:val="24"/>
              </w:rPr>
            </w:pPr>
          </w:p>
        </w:tc>
        <w:tc>
          <w:tcPr>
            <w:tcW w:w="8209" w:type="dxa"/>
          </w:tcPr>
          <w:p w:rsidR="00512394" w:rsidP="00D85445">
            <w:pPr>
              <w:jc w:val="both"/>
              <w:rPr>
                <w:sz w:val="24"/>
                <w:szCs w:val="24"/>
              </w:rPr>
            </w:pPr>
          </w:p>
        </w:tc>
      </w:tr>
      <w:tr w:rsidTr="00A065C3">
        <w:tblPrEx>
          <w:tblW w:w="9094" w:type="dxa"/>
          <w:tblLook w:val="04A0"/>
        </w:tblPrEx>
        <w:tc>
          <w:tcPr>
            <w:tcW w:w="885" w:type="dxa"/>
          </w:tcPr>
          <w:p w:rsidR="00512394" w:rsidRPr="00574E1A" w:rsidP="00D85445">
            <w:pPr>
              <w:jc w:val="both"/>
              <w:rPr>
                <w:i/>
                <w:iCs/>
                <w:sz w:val="24"/>
                <w:szCs w:val="24"/>
              </w:rPr>
            </w:pPr>
            <w:r w:rsidRPr="00574E1A">
              <w:rPr>
                <w:i/>
                <w:iCs/>
                <w:sz w:val="24"/>
                <w:szCs w:val="24"/>
              </w:rPr>
              <w:t>2.3.2</w:t>
            </w:r>
          </w:p>
        </w:tc>
        <w:tc>
          <w:tcPr>
            <w:tcW w:w="8209" w:type="dxa"/>
          </w:tcPr>
          <w:p w:rsidR="00512394" w:rsidRPr="00574E1A" w:rsidP="00D85445">
            <w:pPr>
              <w:jc w:val="both"/>
              <w:rPr>
                <w:i/>
                <w:iCs/>
                <w:sz w:val="24"/>
                <w:szCs w:val="24"/>
              </w:rPr>
            </w:pPr>
            <w:r w:rsidRPr="00574E1A">
              <w:rPr>
                <w:i/>
                <w:iCs/>
                <w:sz w:val="24"/>
                <w:szCs w:val="24"/>
              </w:rPr>
              <w:t>Winners and Losers</w:t>
            </w:r>
          </w:p>
        </w:tc>
      </w:tr>
      <w:tr w:rsidTr="00A065C3">
        <w:tblPrEx>
          <w:tblW w:w="9094" w:type="dxa"/>
          <w:tblLook w:val="04A0"/>
        </w:tblPrEx>
        <w:tc>
          <w:tcPr>
            <w:tcW w:w="885" w:type="dxa"/>
          </w:tcPr>
          <w:p w:rsidR="00512394" w:rsidP="00D85445">
            <w:pPr>
              <w:jc w:val="both"/>
              <w:rPr>
                <w:sz w:val="24"/>
                <w:szCs w:val="24"/>
              </w:rPr>
            </w:pPr>
            <w:r>
              <w:rPr>
                <w:sz w:val="24"/>
                <w:szCs w:val="24"/>
              </w:rPr>
              <w:t>2.3.2.1</w:t>
            </w:r>
          </w:p>
        </w:tc>
        <w:tc>
          <w:tcPr>
            <w:tcW w:w="8209" w:type="dxa"/>
          </w:tcPr>
          <w:p w:rsidR="00512394" w:rsidP="00D85445">
            <w:pPr>
              <w:jc w:val="both"/>
              <w:rPr>
                <w:sz w:val="24"/>
                <w:szCs w:val="24"/>
              </w:rPr>
            </w:pPr>
            <w:r>
              <w:rPr>
                <w:sz w:val="24"/>
                <w:szCs w:val="24"/>
              </w:rPr>
              <w:t>With any policy there will be those who benefit, and those who do not. Over lockdown we have seen this particularly around HM Treasury’s initiatives</w:t>
            </w:r>
            <w:r>
              <w:rPr>
                <w:sz w:val="24"/>
                <w:szCs w:val="24"/>
              </w:rPr>
              <w:t>.</w:t>
            </w:r>
            <w:r>
              <w:rPr>
                <w:sz w:val="24"/>
                <w:szCs w:val="24"/>
              </w:rPr>
              <w:t xml:space="preserve"> In light of the </w:t>
            </w:r>
            <w:r>
              <w:rPr>
                <w:sz w:val="24"/>
                <w:szCs w:val="24"/>
              </w:rPr>
              <w:t>fast moving</w:t>
            </w:r>
            <w:r>
              <w:rPr>
                <w:sz w:val="24"/>
                <w:szCs w:val="24"/>
              </w:rPr>
              <w:t xml:space="preserve"> circumstances, it is perhaps inevitable </w:t>
            </w:r>
            <w:r>
              <w:rPr>
                <w:sz w:val="24"/>
                <w:szCs w:val="24"/>
              </w:rPr>
              <w:t xml:space="preserve">that any policy </w:t>
            </w:r>
            <w:r>
              <w:rPr>
                <w:sz w:val="24"/>
                <w:szCs w:val="24"/>
              </w:rPr>
              <w:t xml:space="preserve">will be initially welcomed by the press, then scrutinised, and then found wanting in some way. </w:t>
            </w:r>
          </w:p>
        </w:tc>
      </w:tr>
      <w:tr w:rsidTr="00A065C3">
        <w:tblPrEx>
          <w:tblW w:w="9094" w:type="dxa"/>
          <w:tblLook w:val="04A0"/>
        </w:tblPrEx>
        <w:tc>
          <w:tcPr>
            <w:tcW w:w="885" w:type="dxa"/>
          </w:tcPr>
          <w:p w:rsidR="0087770D" w:rsidP="00D85445">
            <w:pPr>
              <w:jc w:val="both"/>
              <w:rPr>
                <w:sz w:val="24"/>
                <w:szCs w:val="24"/>
              </w:rPr>
            </w:pPr>
          </w:p>
        </w:tc>
        <w:tc>
          <w:tcPr>
            <w:tcW w:w="8209" w:type="dxa"/>
          </w:tcPr>
          <w:p w:rsidR="0087770D" w:rsidP="00D85445">
            <w:pPr>
              <w:jc w:val="both"/>
              <w:rPr>
                <w:sz w:val="24"/>
                <w:szCs w:val="24"/>
              </w:rPr>
            </w:pPr>
          </w:p>
        </w:tc>
      </w:tr>
      <w:tr w:rsidTr="00A065C3">
        <w:tblPrEx>
          <w:tblW w:w="9094" w:type="dxa"/>
          <w:tblLook w:val="04A0"/>
        </w:tblPrEx>
        <w:tc>
          <w:tcPr>
            <w:tcW w:w="885" w:type="dxa"/>
          </w:tcPr>
          <w:p w:rsidR="0087770D" w:rsidP="00D85445">
            <w:pPr>
              <w:jc w:val="both"/>
              <w:rPr>
                <w:sz w:val="24"/>
                <w:szCs w:val="24"/>
              </w:rPr>
            </w:pPr>
            <w:r>
              <w:rPr>
                <w:sz w:val="24"/>
                <w:szCs w:val="24"/>
              </w:rPr>
              <w:t>2.3.2.2</w:t>
            </w:r>
          </w:p>
        </w:tc>
        <w:tc>
          <w:tcPr>
            <w:tcW w:w="8209" w:type="dxa"/>
          </w:tcPr>
          <w:p w:rsidR="0087770D" w:rsidP="00D85445">
            <w:pPr>
              <w:jc w:val="both"/>
              <w:rPr>
                <w:sz w:val="24"/>
                <w:szCs w:val="24"/>
              </w:rPr>
            </w:pPr>
            <w:r>
              <w:rPr>
                <w:sz w:val="24"/>
                <w:szCs w:val="24"/>
              </w:rPr>
              <w:t>This has led to a rolling process of policies being announced, being clarifi</w:t>
            </w:r>
            <w:r>
              <w:rPr>
                <w:sz w:val="24"/>
                <w:szCs w:val="24"/>
              </w:rPr>
              <w:t xml:space="preserve">ed, and coming into force (or alternatively, when it becomes clear the policy is not workable, being abandoned). </w:t>
            </w:r>
            <w:r>
              <w:rPr>
                <w:sz w:val="24"/>
                <w:szCs w:val="24"/>
              </w:rPr>
              <w:t xml:space="preserve">One of the chief drivers for this process has been </w:t>
            </w:r>
            <w:r>
              <w:rPr>
                <w:sz w:val="24"/>
                <w:szCs w:val="24"/>
              </w:rPr>
              <w:t xml:space="preserve">the perception of certain groups ‘missing out’ on advantages conferred by various schemes. </w:t>
            </w:r>
          </w:p>
        </w:tc>
      </w:tr>
      <w:tr w:rsidTr="00A065C3">
        <w:tblPrEx>
          <w:tblW w:w="9094" w:type="dxa"/>
          <w:tblLook w:val="04A0"/>
        </w:tblPrEx>
        <w:tc>
          <w:tcPr>
            <w:tcW w:w="885" w:type="dxa"/>
          </w:tcPr>
          <w:p w:rsidR="0087770D" w:rsidP="00D85445">
            <w:pPr>
              <w:jc w:val="both"/>
              <w:rPr>
                <w:sz w:val="24"/>
                <w:szCs w:val="24"/>
              </w:rPr>
            </w:pPr>
          </w:p>
        </w:tc>
        <w:tc>
          <w:tcPr>
            <w:tcW w:w="8209" w:type="dxa"/>
          </w:tcPr>
          <w:p w:rsidR="0087770D" w:rsidP="00D85445">
            <w:pPr>
              <w:jc w:val="both"/>
              <w:rPr>
                <w:sz w:val="24"/>
                <w:szCs w:val="24"/>
              </w:rPr>
            </w:pPr>
          </w:p>
        </w:tc>
      </w:tr>
      <w:tr w:rsidTr="00A065C3">
        <w:tblPrEx>
          <w:tblW w:w="9094" w:type="dxa"/>
          <w:tblLook w:val="04A0"/>
        </w:tblPrEx>
        <w:tc>
          <w:tcPr>
            <w:tcW w:w="885" w:type="dxa"/>
          </w:tcPr>
          <w:p w:rsidR="0087770D" w:rsidP="00D85445">
            <w:pPr>
              <w:jc w:val="both"/>
              <w:rPr>
                <w:sz w:val="24"/>
                <w:szCs w:val="24"/>
              </w:rPr>
            </w:pPr>
            <w:r>
              <w:rPr>
                <w:sz w:val="24"/>
                <w:szCs w:val="24"/>
              </w:rPr>
              <w:t>2.3.2.3</w:t>
            </w:r>
          </w:p>
        </w:tc>
        <w:tc>
          <w:tcPr>
            <w:tcW w:w="8209" w:type="dxa"/>
          </w:tcPr>
          <w:p w:rsidR="0087770D" w:rsidP="00D85445">
            <w:pPr>
              <w:jc w:val="both"/>
              <w:rPr>
                <w:sz w:val="24"/>
                <w:szCs w:val="24"/>
              </w:rPr>
            </w:pPr>
            <w:r>
              <w:rPr>
                <w:sz w:val="24"/>
                <w:szCs w:val="24"/>
              </w:rPr>
              <w:t xml:space="preserve">As we move through the lockdown process, particularly as the Government attempts to wind it down, these problems will keep recurring. Questions will be raised as to why one sector is being released from </w:t>
            </w:r>
            <w:r>
              <w:rPr>
                <w:sz w:val="24"/>
                <w:szCs w:val="24"/>
              </w:rPr>
              <w:t xml:space="preserve">restrictions before another. In order to </w:t>
            </w:r>
            <w:r>
              <w:rPr>
                <w:sz w:val="24"/>
                <w:szCs w:val="24"/>
              </w:rPr>
              <w:t xml:space="preserve">counter grievances emerging from the perception that the interests </w:t>
            </w:r>
            <w:r>
              <w:rPr>
                <w:sz w:val="24"/>
                <w:szCs w:val="24"/>
              </w:rPr>
              <w:t xml:space="preserve">of one sector or group have been dismissed or overlooked, the Government must consult with all sectors, to give each the opportunity to </w:t>
            </w:r>
            <w:r>
              <w:rPr>
                <w:sz w:val="24"/>
                <w:szCs w:val="24"/>
              </w:rPr>
              <w:t>have their views taken into account and to allow prop</w:t>
            </w:r>
            <w:r>
              <w:rPr>
                <w:sz w:val="24"/>
                <w:szCs w:val="24"/>
              </w:rPr>
              <w:t>er prioritisation of measures.</w:t>
            </w:r>
          </w:p>
        </w:tc>
      </w:tr>
      <w:tr w:rsidTr="00A065C3">
        <w:tblPrEx>
          <w:tblW w:w="9094" w:type="dxa"/>
          <w:tblLook w:val="04A0"/>
        </w:tblPrEx>
        <w:tc>
          <w:tcPr>
            <w:tcW w:w="885" w:type="dxa"/>
          </w:tcPr>
          <w:p w:rsidR="006469A5" w:rsidP="00D85445">
            <w:pPr>
              <w:jc w:val="both"/>
              <w:rPr>
                <w:sz w:val="24"/>
                <w:szCs w:val="24"/>
              </w:rPr>
            </w:pPr>
          </w:p>
        </w:tc>
        <w:tc>
          <w:tcPr>
            <w:tcW w:w="8209" w:type="dxa"/>
          </w:tcPr>
          <w:p w:rsidR="006469A5" w:rsidP="00D85445">
            <w:pPr>
              <w:jc w:val="both"/>
              <w:rPr>
                <w:sz w:val="24"/>
                <w:szCs w:val="24"/>
              </w:rPr>
            </w:pPr>
          </w:p>
        </w:tc>
      </w:tr>
      <w:tr w:rsidTr="00A065C3">
        <w:tblPrEx>
          <w:tblW w:w="9094" w:type="dxa"/>
          <w:tblLook w:val="04A0"/>
        </w:tblPrEx>
        <w:tc>
          <w:tcPr>
            <w:tcW w:w="885" w:type="dxa"/>
          </w:tcPr>
          <w:p w:rsidR="00512394" w:rsidRPr="00574E1A" w:rsidP="00D85445">
            <w:pPr>
              <w:jc w:val="both"/>
              <w:rPr>
                <w:i/>
                <w:iCs/>
                <w:sz w:val="24"/>
                <w:szCs w:val="24"/>
              </w:rPr>
            </w:pPr>
            <w:r w:rsidRPr="00574E1A">
              <w:rPr>
                <w:i/>
                <w:iCs/>
                <w:sz w:val="24"/>
                <w:szCs w:val="24"/>
              </w:rPr>
              <w:t>2.3.3</w:t>
            </w:r>
          </w:p>
        </w:tc>
        <w:tc>
          <w:tcPr>
            <w:tcW w:w="8209" w:type="dxa"/>
          </w:tcPr>
          <w:p w:rsidR="00512394" w:rsidRPr="00574E1A" w:rsidP="00D85445">
            <w:pPr>
              <w:jc w:val="both"/>
              <w:rPr>
                <w:i/>
                <w:iCs/>
                <w:sz w:val="24"/>
                <w:szCs w:val="24"/>
              </w:rPr>
            </w:pPr>
            <w:r w:rsidRPr="00574E1A">
              <w:rPr>
                <w:i/>
                <w:iCs/>
                <w:sz w:val="24"/>
                <w:szCs w:val="24"/>
              </w:rPr>
              <w:t>Mistakes</w:t>
            </w:r>
          </w:p>
        </w:tc>
      </w:tr>
      <w:tr w:rsidTr="00A065C3">
        <w:tblPrEx>
          <w:tblW w:w="9094" w:type="dxa"/>
          <w:tblLook w:val="04A0"/>
        </w:tblPrEx>
        <w:tc>
          <w:tcPr>
            <w:tcW w:w="885" w:type="dxa"/>
          </w:tcPr>
          <w:p w:rsidR="00111AA8" w:rsidP="00D85445">
            <w:pPr>
              <w:jc w:val="both"/>
              <w:rPr>
                <w:sz w:val="24"/>
                <w:szCs w:val="24"/>
              </w:rPr>
            </w:pPr>
            <w:r>
              <w:rPr>
                <w:sz w:val="24"/>
                <w:szCs w:val="24"/>
              </w:rPr>
              <w:t>2.3.3.1</w:t>
            </w:r>
          </w:p>
        </w:tc>
        <w:tc>
          <w:tcPr>
            <w:tcW w:w="8209" w:type="dxa"/>
          </w:tcPr>
          <w:p w:rsidR="00111AA8" w:rsidP="00D85445">
            <w:pPr>
              <w:jc w:val="both"/>
              <w:rPr>
                <w:sz w:val="24"/>
                <w:szCs w:val="24"/>
              </w:rPr>
            </w:pPr>
            <w:r>
              <w:rPr>
                <w:sz w:val="24"/>
                <w:szCs w:val="24"/>
              </w:rPr>
              <w:t xml:space="preserve">It is an inevitability that mistakes will be made </w:t>
            </w:r>
            <w:r>
              <w:rPr>
                <w:sz w:val="24"/>
                <w:szCs w:val="24"/>
              </w:rPr>
              <w:t>during</w:t>
            </w:r>
            <w:r>
              <w:rPr>
                <w:sz w:val="24"/>
                <w:szCs w:val="24"/>
              </w:rPr>
              <w:t xml:space="preserve"> lockdown. The number of variables at play, the many unknown factors, the </w:t>
            </w:r>
            <w:r>
              <w:rPr>
                <w:sz w:val="24"/>
                <w:szCs w:val="24"/>
              </w:rPr>
              <w:t>vagaries of human behaviour and the temptation to act first and ask</w:t>
            </w:r>
            <w:r>
              <w:rPr>
                <w:sz w:val="24"/>
                <w:szCs w:val="24"/>
              </w:rPr>
              <w:t xml:space="preserve"> questions later more or less guarantee that.</w:t>
            </w:r>
            <w:r>
              <w:rPr>
                <w:sz w:val="24"/>
                <w:szCs w:val="24"/>
              </w:rPr>
              <w:t xml:space="preserve"> For the Government and other decision-makers, the key part is to ensure that the worst mistakes are avoided.</w:t>
            </w:r>
          </w:p>
        </w:tc>
      </w:tr>
      <w:tr w:rsidTr="00A065C3">
        <w:tblPrEx>
          <w:tblW w:w="9094" w:type="dxa"/>
          <w:tblLook w:val="04A0"/>
        </w:tblPrEx>
        <w:tc>
          <w:tcPr>
            <w:tcW w:w="885" w:type="dxa"/>
          </w:tcPr>
          <w:p w:rsidR="001F466E" w:rsidP="00D85445">
            <w:pPr>
              <w:jc w:val="both"/>
              <w:rPr>
                <w:sz w:val="24"/>
                <w:szCs w:val="24"/>
              </w:rPr>
            </w:pPr>
          </w:p>
        </w:tc>
        <w:tc>
          <w:tcPr>
            <w:tcW w:w="8209" w:type="dxa"/>
          </w:tcPr>
          <w:p w:rsidR="001F466E" w:rsidP="00D85445">
            <w:pPr>
              <w:jc w:val="both"/>
              <w:rPr>
                <w:sz w:val="24"/>
                <w:szCs w:val="24"/>
              </w:rPr>
            </w:pPr>
          </w:p>
        </w:tc>
      </w:tr>
      <w:tr w:rsidTr="00A065C3">
        <w:tblPrEx>
          <w:tblW w:w="9094" w:type="dxa"/>
          <w:tblLook w:val="04A0"/>
        </w:tblPrEx>
        <w:tc>
          <w:tcPr>
            <w:tcW w:w="885" w:type="dxa"/>
          </w:tcPr>
          <w:p w:rsidR="001F466E" w:rsidP="00D85445">
            <w:pPr>
              <w:jc w:val="both"/>
              <w:rPr>
                <w:sz w:val="24"/>
                <w:szCs w:val="24"/>
              </w:rPr>
            </w:pPr>
            <w:r>
              <w:rPr>
                <w:sz w:val="24"/>
                <w:szCs w:val="24"/>
              </w:rPr>
              <w:t>2</w:t>
            </w:r>
            <w:r>
              <w:rPr>
                <w:sz w:val="24"/>
                <w:szCs w:val="24"/>
              </w:rPr>
              <w:t>.3.3.2</w:t>
            </w:r>
          </w:p>
        </w:tc>
        <w:tc>
          <w:tcPr>
            <w:tcW w:w="8209" w:type="dxa"/>
          </w:tcPr>
          <w:p w:rsidR="001F466E" w:rsidP="00D85445">
            <w:pPr>
              <w:jc w:val="both"/>
              <w:rPr>
                <w:sz w:val="24"/>
                <w:szCs w:val="24"/>
              </w:rPr>
            </w:pPr>
            <w:r>
              <w:rPr>
                <w:sz w:val="24"/>
                <w:szCs w:val="24"/>
              </w:rPr>
              <w:t xml:space="preserve">The best way to avoid </w:t>
            </w:r>
            <w:r>
              <w:rPr>
                <w:sz w:val="24"/>
                <w:szCs w:val="24"/>
              </w:rPr>
              <w:t xml:space="preserve">serious </w:t>
            </w:r>
            <w:r>
              <w:rPr>
                <w:sz w:val="24"/>
                <w:szCs w:val="24"/>
              </w:rPr>
              <w:t xml:space="preserve">mistakes is to ensure that decisions are made </w:t>
            </w:r>
            <w:r>
              <w:rPr>
                <w:sz w:val="24"/>
                <w:szCs w:val="24"/>
              </w:rPr>
              <w:t>on the basis of</w:t>
            </w:r>
            <w:r>
              <w:rPr>
                <w:sz w:val="24"/>
                <w:szCs w:val="24"/>
              </w:rPr>
              <w:t xml:space="preserve"> as much information as possible. </w:t>
            </w:r>
            <w:r>
              <w:rPr>
                <w:sz w:val="24"/>
                <w:szCs w:val="24"/>
              </w:rPr>
              <w:t>This information should include impact assessments</w:t>
            </w:r>
            <w:r>
              <w:rPr>
                <w:sz w:val="24"/>
                <w:szCs w:val="24"/>
              </w:rPr>
              <w:t>, in which consultation and engagement should play a key role. Few decision-makers or advisers will know as muc</w:t>
            </w:r>
            <w:r>
              <w:rPr>
                <w:sz w:val="24"/>
                <w:szCs w:val="24"/>
              </w:rPr>
              <w:t>h as those who are directly affected.</w:t>
            </w:r>
            <w:r>
              <w:rPr>
                <w:sz w:val="24"/>
                <w:szCs w:val="24"/>
              </w:rPr>
              <w:t xml:space="preserve"> </w:t>
            </w:r>
            <w:r>
              <w:rPr>
                <w:sz w:val="24"/>
                <w:szCs w:val="24"/>
              </w:rPr>
              <w:t>Taking into account</w:t>
            </w:r>
            <w:r>
              <w:rPr>
                <w:sz w:val="24"/>
                <w:szCs w:val="24"/>
              </w:rPr>
              <w:t xml:space="preserve"> direct experiences through consultation not only </w:t>
            </w:r>
            <w:r>
              <w:rPr>
                <w:sz w:val="24"/>
                <w:szCs w:val="24"/>
              </w:rPr>
              <w:t xml:space="preserve">gives insight into individual lived experiences, but also </w:t>
            </w:r>
            <w:r>
              <w:rPr>
                <w:sz w:val="24"/>
                <w:szCs w:val="24"/>
              </w:rPr>
              <w:t>gives access to information that might provide further information about patterns of behavi</w:t>
            </w:r>
            <w:r>
              <w:rPr>
                <w:sz w:val="24"/>
                <w:szCs w:val="24"/>
              </w:rPr>
              <w:t>our</w:t>
            </w:r>
            <w:r>
              <w:rPr>
                <w:sz w:val="24"/>
                <w:szCs w:val="24"/>
              </w:rPr>
              <w:t>.</w:t>
            </w:r>
          </w:p>
        </w:tc>
      </w:tr>
      <w:tr w:rsidTr="00A065C3">
        <w:tblPrEx>
          <w:tblW w:w="9094" w:type="dxa"/>
          <w:tblLook w:val="04A0"/>
        </w:tblPrEx>
        <w:tc>
          <w:tcPr>
            <w:tcW w:w="885" w:type="dxa"/>
          </w:tcPr>
          <w:p w:rsidR="001F466E" w:rsidP="00D85445">
            <w:pPr>
              <w:jc w:val="both"/>
              <w:rPr>
                <w:sz w:val="24"/>
                <w:szCs w:val="24"/>
              </w:rPr>
            </w:pPr>
          </w:p>
        </w:tc>
        <w:tc>
          <w:tcPr>
            <w:tcW w:w="8209" w:type="dxa"/>
          </w:tcPr>
          <w:p w:rsidR="001F466E" w:rsidP="00D85445">
            <w:pPr>
              <w:jc w:val="both"/>
              <w:rPr>
                <w:sz w:val="24"/>
                <w:szCs w:val="24"/>
              </w:rPr>
            </w:pPr>
          </w:p>
        </w:tc>
      </w:tr>
      <w:tr w:rsidTr="00A065C3">
        <w:tblPrEx>
          <w:tblW w:w="9094" w:type="dxa"/>
          <w:tblLook w:val="04A0"/>
        </w:tblPrEx>
        <w:tc>
          <w:tcPr>
            <w:tcW w:w="885" w:type="dxa"/>
          </w:tcPr>
          <w:p w:rsidR="005A132C" w:rsidP="00D85445">
            <w:pPr>
              <w:jc w:val="both"/>
              <w:rPr>
                <w:sz w:val="24"/>
                <w:szCs w:val="24"/>
              </w:rPr>
            </w:pPr>
            <w:r>
              <w:rPr>
                <w:sz w:val="24"/>
                <w:szCs w:val="24"/>
              </w:rPr>
              <w:t>2.3.3.3</w:t>
            </w:r>
          </w:p>
        </w:tc>
        <w:tc>
          <w:tcPr>
            <w:tcW w:w="8209" w:type="dxa"/>
          </w:tcPr>
          <w:p w:rsidR="005A132C" w:rsidP="00D85445">
            <w:pPr>
              <w:jc w:val="both"/>
              <w:rPr>
                <w:sz w:val="24"/>
                <w:szCs w:val="24"/>
              </w:rPr>
            </w:pPr>
            <w:r>
              <w:rPr>
                <w:sz w:val="24"/>
                <w:szCs w:val="24"/>
              </w:rPr>
              <w:t xml:space="preserve">This will prove particularly important </w:t>
            </w:r>
            <w:r>
              <w:rPr>
                <w:sz w:val="24"/>
                <w:szCs w:val="24"/>
              </w:rPr>
              <w:t xml:space="preserve">when considering local issues. We have already started to see significant divergence in infection and death rates, not only </w:t>
            </w:r>
            <w:r>
              <w:rPr>
                <w:sz w:val="24"/>
                <w:szCs w:val="24"/>
              </w:rPr>
              <w:t>across the devolved nations, but also internally in different areas of Engla</w:t>
            </w:r>
            <w:r>
              <w:rPr>
                <w:sz w:val="24"/>
                <w:szCs w:val="24"/>
              </w:rPr>
              <w:t>nd.</w:t>
            </w:r>
            <w:r>
              <w:rPr>
                <w:sz w:val="24"/>
                <w:szCs w:val="24"/>
              </w:rPr>
              <w:t xml:space="preserve"> </w:t>
            </w:r>
            <w:r>
              <w:rPr>
                <w:sz w:val="24"/>
                <w:szCs w:val="24"/>
              </w:rPr>
              <w:t>As the Government has trailed plans to move towards more ‘localised lockdowns’</w:t>
            </w:r>
            <w:r>
              <w:rPr>
                <w:sz w:val="24"/>
                <w:szCs w:val="24"/>
              </w:rPr>
              <w:t>, localised consultation and engagement will reduce the risk of damaging mistakes in</w:t>
            </w:r>
            <w:r>
              <w:rPr>
                <w:sz w:val="24"/>
                <w:szCs w:val="24"/>
              </w:rPr>
              <w:t xml:space="preserve"> applying new</w:t>
            </w:r>
            <w:r>
              <w:rPr>
                <w:sz w:val="24"/>
                <w:szCs w:val="24"/>
              </w:rPr>
              <w:t xml:space="preserve"> more region-specific policies.</w:t>
            </w:r>
          </w:p>
        </w:tc>
      </w:tr>
      <w:tr w:rsidTr="00A065C3">
        <w:tblPrEx>
          <w:tblW w:w="9094" w:type="dxa"/>
          <w:tblLook w:val="04A0"/>
        </w:tblPrEx>
        <w:tc>
          <w:tcPr>
            <w:tcW w:w="885" w:type="dxa"/>
          </w:tcPr>
          <w:p w:rsidR="005A132C" w:rsidP="00D85445">
            <w:pPr>
              <w:jc w:val="both"/>
              <w:rPr>
                <w:sz w:val="24"/>
                <w:szCs w:val="24"/>
              </w:rPr>
            </w:pPr>
          </w:p>
        </w:tc>
        <w:tc>
          <w:tcPr>
            <w:tcW w:w="8209" w:type="dxa"/>
          </w:tcPr>
          <w:p w:rsidR="005A132C" w:rsidP="00D85445">
            <w:pPr>
              <w:jc w:val="both"/>
              <w:rPr>
                <w:sz w:val="24"/>
                <w:szCs w:val="24"/>
              </w:rPr>
            </w:pPr>
          </w:p>
        </w:tc>
      </w:tr>
      <w:tr w:rsidTr="00A065C3">
        <w:tblPrEx>
          <w:tblW w:w="9094" w:type="dxa"/>
          <w:tblLook w:val="04A0"/>
        </w:tblPrEx>
        <w:tc>
          <w:tcPr>
            <w:tcW w:w="885" w:type="dxa"/>
          </w:tcPr>
          <w:p w:rsidR="00111AA8" w:rsidRPr="00574E1A" w:rsidP="00D85445">
            <w:pPr>
              <w:jc w:val="both"/>
              <w:rPr>
                <w:i/>
                <w:iCs/>
                <w:sz w:val="24"/>
                <w:szCs w:val="24"/>
              </w:rPr>
            </w:pPr>
            <w:r w:rsidRPr="00574E1A">
              <w:rPr>
                <w:i/>
                <w:iCs/>
                <w:sz w:val="24"/>
                <w:szCs w:val="24"/>
              </w:rPr>
              <w:t>2.3.4</w:t>
            </w:r>
          </w:p>
        </w:tc>
        <w:tc>
          <w:tcPr>
            <w:tcW w:w="8209" w:type="dxa"/>
          </w:tcPr>
          <w:p w:rsidR="00111AA8" w:rsidRPr="00574E1A" w:rsidP="00D85445">
            <w:pPr>
              <w:jc w:val="both"/>
              <w:rPr>
                <w:i/>
                <w:iCs/>
                <w:sz w:val="24"/>
                <w:szCs w:val="24"/>
              </w:rPr>
            </w:pPr>
            <w:r w:rsidRPr="00574E1A">
              <w:rPr>
                <w:i/>
                <w:iCs/>
                <w:sz w:val="24"/>
                <w:szCs w:val="24"/>
              </w:rPr>
              <w:t>Widening the debate</w:t>
            </w:r>
          </w:p>
        </w:tc>
      </w:tr>
      <w:tr w:rsidTr="00A065C3">
        <w:tblPrEx>
          <w:tblW w:w="9094" w:type="dxa"/>
          <w:tblLook w:val="04A0"/>
        </w:tblPrEx>
        <w:tc>
          <w:tcPr>
            <w:tcW w:w="885" w:type="dxa"/>
          </w:tcPr>
          <w:p w:rsidR="00111AA8" w:rsidP="00D85445">
            <w:pPr>
              <w:jc w:val="both"/>
              <w:rPr>
                <w:sz w:val="24"/>
                <w:szCs w:val="24"/>
              </w:rPr>
            </w:pPr>
            <w:r>
              <w:rPr>
                <w:sz w:val="24"/>
                <w:szCs w:val="24"/>
              </w:rPr>
              <w:t>2.3.4.1</w:t>
            </w:r>
          </w:p>
        </w:tc>
        <w:tc>
          <w:tcPr>
            <w:tcW w:w="8209" w:type="dxa"/>
          </w:tcPr>
          <w:p w:rsidR="00111AA8" w:rsidP="00D85445">
            <w:pPr>
              <w:jc w:val="both"/>
              <w:rPr>
                <w:sz w:val="24"/>
                <w:szCs w:val="24"/>
              </w:rPr>
            </w:pPr>
            <w:r>
              <w:rPr>
                <w:sz w:val="24"/>
                <w:szCs w:val="24"/>
              </w:rPr>
              <w:t xml:space="preserve">The </w:t>
            </w:r>
            <w:r>
              <w:rPr>
                <w:sz w:val="24"/>
                <w:szCs w:val="24"/>
              </w:rPr>
              <w:t>diversity of decision-makers has been coming increasingly under the microscope, and nowhere is this more important than in the public health scenario. Consistent evidence has indicated that the BAME community is disproportionately affected by the virus. Th</w:t>
            </w:r>
            <w:r>
              <w:rPr>
                <w:sz w:val="24"/>
                <w:szCs w:val="24"/>
              </w:rPr>
              <w:t>ey also remain underrepresented amongst decision-makers</w:t>
            </w:r>
            <w:r>
              <w:rPr>
                <w:sz w:val="24"/>
                <w:szCs w:val="24"/>
              </w:rPr>
              <w:t xml:space="preserve">, meaning that their views are significantly less likely to be </w:t>
            </w:r>
            <w:r>
              <w:rPr>
                <w:sz w:val="24"/>
                <w:szCs w:val="24"/>
              </w:rPr>
              <w:t>taken into account</w:t>
            </w:r>
            <w:r>
              <w:rPr>
                <w:sz w:val="24"/>
                <w:szCs w:val="24"/>
              </w:rPr>
              <w:t xml:space="preserve"> than those of more represented groups. </w:t>
            </w:r>
          </w:p>
        </w:tc>
      </w:tr>
      <w:tr w:rsidTr="00A065C3">
        <w:tblPrEx>
          <w:tblW w:w="9094" w:type="dxa"/>
          <w:tblLook w:val="04A0"/>
        </w:tblPrEx>
        <w:tc>
          <w:tcPr>
            <w:tcW w:w="885" w:type="dxa"/>
          </w:tcPr>
          <w:p w:rsidR="00657683" w:rsidP="00D85445">
            <w:pPr>
              <w:jc w:val="both"/>
              <w:rPr>
                <w:sz w:val="24"/>
                <w:szCs w:val="24"/>
              </w:rPr>
            </w:pPr>
          </w:p>
        </w:tc>
        <w:tc>
          <w:tcPr>
            <w:tcW w:w="8209" w:type="dxa"/>
          </w:tcPr>
          <w:p w:rsidR="00657683" w:rsidP="00D85445">
            <w:pPr>
              <w:jc w:val="both"/>
              <w:rPr>
                <w:sz w:val="24"/>
                <w:szCs w:val="24"/>
              </w:rPr>
            </w:pPr>
          </w:p>
        </w:tc>
      </w:tr>
      <w:tr w:rsidTr="00A065C3">
        <w:tblPrEx>
          <w:tblW w:w="9094" w:type="dxa"/>
          <w:tblLook w:val="04A0"/>
        </w:tblPrEx>
        <w:tc>
          <w:tcPr>
            <w:tcW w:w="885" w:type="dxa"/>
          </w:tcPr>
          <w:p w:rsidR="00657683" w:rsidP="00D85445">
            <w:pPr>
              <w:jc w:val="both"/>
              <w:rPr>
                <w:sz w:val="24"/>
                <w:szCs w:val="24"/>
              </w:rPr>
            </w:pPr>
            <w:r>
              <w:rPr>
                <w:sz w:val="24"/>
                <w:szCs w:val="24"/>
              </w:rPr>
              <w:t>2.3.4.2</w:t>
            </w:r>
          </w:p>
        </w:tc>
        <w:tc>
          <w:tcPr>
            <w:tcW w:w="8209" w:type="dxa"/>
          </w:tcPr>
          <w:p w:rsidR="00657683" w:rsidP="00D85445">
            <w:pPr>
              <w:jc w:val="both"/>
              <w:rPr>
                <w:sz w:val="24"/>
                <w:szCs w:val="24"/>
              </w:rPr>
            </w:pPr>
            <w:r>
              <w:rPr>
                <w:sz w:val="24"/>
                <w:szCs w:val="24"/>
              </w:rPr>
              <w:t xml:space="preserve">Consulting and engaging with these communities </w:t>
            </w:r>
            <w:r>
              <w:rPr>
                <w:sz w:val="24"/>
                <w:szCs w:val="24"/>
              </w:rPr>
              <w:t>is</w:t>
            </w:r>
            <w:r>
              <w:rPr>
                <w:sz w:val="24"/>
                <w:szCs w:val="24"/>
              </w:rPr>
              <w:t xml:space="preserve"> a critical part not only of </w:t>
            </w:r>
            <w:r>
              <w:rPr>
                <w:sz w:val="24"/>
                <w:szCs w:val="24"/>
              </w:rPr>
              <w:t xml:space="preserve">gathering views on how the lockdown is affecting them specifically, but also to </w:t>
            </w:r>
            <w:r>
              <w:rPr>
                <w:sz w:val="24"/>
                <w:szCs w:val="24"/>
              </w:rPr>
              <w:t>inform them</w:t>
            </w:r>
            <w:r>
              <w:rPr>
                <w:sz w:val="24"/>
                <w:szCs w:val="24"/>
              </w:rPr>
              <w:t xml:space="preserve"> of the risks posed by coronavirus and attempt to mitigate the </w:t>
            </w:r>
            <w:r>
              <w:rPr>
                <w:sz w:val="24"/>
                <w:szCs w:val="24"/>
              </w:rPr>
              <w:t>worst effects of the vir</w:t>
            </w:r>
            <w:r>
              <w:rPr>
                <w:sz w:val="24"/>
                <w:szCs w:val="24"/>
              </w:rPr>
              <w:t>us on their communities.</w:t>
            </w:r>
            <w:r>
              <w:rPr>
                <w:sz w:val="24"/>
                <w:szCs w:val="24"/>
              </w:rPr>
              <w:t xml:space="preserve"> </w:t>
            </w:r>
            <w:r>
              <w:rPr>
                <w:sz w:val="24"/>
                <w:szCs w:val="24"/>
              </w:rPr>
              <w:t>Engagement can be a vital informative tool</w:t>
            </w:r>
            <w:r>
              <w:rPr>
                <w:sz w:val="24"/>
                <w:szCs w:val="24"/>
              </w:rPr>
              <w:t>.</w:t>
            </w:r>
          </w:p>
        </w:tc>
      </w:tr>
      <w:tr w:rsidTr="00A065C3">
        <w:tblPrEx>
          <w:tblW w:w="9094" w:type="dxa"/>
          <w:tblLook w:val="04A0"/>
        </w:tblPrEx>
        <w:tc>
          <w:tcPr>
            <w:tcW w:w="885" w:type="dxa"/>
          </w:tcPr>
          <w:p w:rsidR="00657683" w:rsidP="00D85445">
            <w:pPr>
              <w:jc w:val="both"/>
              <w:rPr>
                <w:sz w:val="24"/>
                <w:szCs w:val="24"/>
              </w:rPr>
            </w:pPr>
          </w:p>
        </w:tc>
        <w:tc>
          <w:tcPr>
            <w:tcW w:w="8209" w:type="dxa"/>
          </w:tcPr>
          <w:p w:rsidR="00657683" w:rsidP="00D85445">
            <w:pPr>
              <w:jc w:val="both"/>
              <w:rPr>
                <w:sz w:val="24"/>
                <w:szCs w:val="24"/>
              </w:rPr>
            </w:pPr>
          </w:p>
        </w:tc>
      </w:tr>
      <w:tr w:rsidTr="00A065C3">
        <w:tblPrEx>
          <w:tblW w:w="9094" w:type="dxa"/>
          <w:tblLook w:val="04A0"/>
        </w:tblPrEx>
        <w:tc>
          <w:tcPr>
            <w:tcW w:w="885" w:type="dxa"/>
          </w:tcPr>
          <w:p w:rsidR="00657683" w:rsidP="00D85445">
            <w:pPr>
              <w:jc w:val="both"/>
              <w:rPr>
                <w:sz w:val="24"/>
                <w:szCs w:val="24"/>
              </w:rPr>
            </w:pPr>
            <w:r>
              <w:rPr>
                <w:sz w:val="24"/>
                <w:szCs w:val="24"/>
              </w:rPr>
              <w:t>2.3.4.3</w:t>
            </w:r>
          </w:p>
        </w:tc>
        <w:tc>
          <w:tcPr>
            <w:tcW w:w="8209" w:type="dxa"/>
          </w:tcPr>
          <w:p w:rsidR="00657683" w:rsidP="00D85445">
            <w:pPr>
              <w:jc w:val="both"/>
              <w:rPr>
                <w:sz w:val="24"/>
                <w:szCs w:val="24"/>
              </w:rPr>
            </w:pPr>
            <w:r>
              <w:rPr>
                <w:sz w:val="24"/>
                <w:szCs w:val="24"/>
              </w:rPr>
              <w:t xml:space="preserve">In addition to the moral and political imperatives to consult </w:t>
            </w:r>
            <w:r>
              <w:rPr>
                <w:sz w:val="24"/>
                <w:szCs w:val="24"/>
              </w:rPr>
              <w:t>with minority communities, it is here that the legal obligations cut through most sharply. The Equalities Act 201</w:t>
            </w:r>
            <w:r>
              <w:rPr>
                <w:sz w:val="24"/>
                <w:szCs w:val="24"/>
              </w:rPr>
              <w:t>0</w:t>
            </w:r>
            <w:r>
              <w:rPr>
                <w:sz w:val="24"/>
                <w:szCs w:val="24"/>
              </w:rPr>
              <w:t xml:space="preserve"> imposes the public sector equality duty on public bodies, mandating that they have ‘due regard’ </w:t>
            </w:r>
            <w:r>
              <w:rPr>
                <w:sz w:val="24"/>
                <w:szCs w:val="24"/>
              </w:rPr>
              <w:t>to the interests of those falling within the protected characteristics. “Due regard” can be well demonstrated by proving that conversations have been held wit</w:t>
            </w:r>
            <w:r>
              <w:rPr>
                <w:sz w:val="24"/>
                <w:szCs w:val="24"/>
              </w:rPr>
              <w:t>h those in the protected groups, and their views have been used to develop policy.</w:t>
            </w:r>
          </w:p>
        </w:tc>
      </w:tr>
      <w:tr w:rsidTr="00A065C3">
        <w:tblPrEx>
          <w:tblW w:w="9094" w:type="dxa"/>
          <w:tblLook w:val="04A0"/>
        </w:tblPrEx>
        <w:tc>
          <w:tcPr>
            <w:tcW w:w="885" w:type="dxa"/>
          </w:tcPr>
          <w:p w:rsidR="00111AA8" w:rsidP="00D85445">
            <w:pPr>
              <w:jc w:val="both"/>
              <w:rPr>
                <w:sz w:val="24"/>
                <w:szCs w:val="24"/>
              </w:rPr>
            </w:pPr>
          </w:p>
        </w:tc>
        <w:tc>
          <w:tcPr>
            <w:tcW w:w="8209" w:type="dxa"/>
          </w:tcPr>
          <w:p w:rsidR="00111AA8" w:rsidP="00D85445">
            <w:pPr>
              <w:jc w:val="both"/>
              <w:rPr>
                <w:sz w:val="24"/>
                <w:szCs w:val="24"/>
              </w:rPr>
            </w:pPr>
          </w:p>
        </w:tc>
      </w:tr>
      <w:tr w:rsidTr="00A065C3">
        <w:tblPrEx>
          <w:tblW w:w="9094" w:type="dxa"/>
          <w:tblLook w:val="04A0"/>
        </w:tblPrEx>
        <w:tc>
          <w:tcPr>
            <w:tcW w:w="885" w:type="dxa"/>
          </w:tcPr>
          <w:p w:rsidR="00111AA8" w:rsidRPr="00574E1A" w:rsidP="00D85445">
            <w:pPr>
              <w:jc w:val="both"/>
              <w:rPr>
                <w:i/>
                <w:iCs/>
                <w:sz w:val="24"/>
                <w:szCs w:val="24"/>
              </w:rPr>
            </w:pPr>
            <w:r w:rsidRPr="00574E1A">
              <w:rPr>
                <w:i/>
                <w:iCs/>
                <w:sz w:val="24"/>
                <w:szCs w:val="24"/>
              </w:rPr>
              <w:t>2.3.5</w:t>
            </w:r>
          </w:p>
        </w:tc>
        <w:tc>
          <w:tcPr>
            <w:tcW w:w="8209" w:type="dxa"/>
          </w:tcPr>
          <w:p w:rsidR="00111AA8" w:rsidRPr="00574E1A" w:rsidP="00D85445">
            <w:pPr>
              <w:jc w:val="both"/>
              <w:rPr>
                <w:i/>
                <w:iCs/>
                <w:sz w:val="24"/>
                <w:szCs w:val="24"/>
              </w:rPr>
            </w:pPr>
            <w:r w:rsidRPr="00574E1A">
              <w:rPr>
                <w:i/>
                <w:iCs/>
                <w:sz w:val="24"/>
                <w:szCs w:val="24"/>
              </w:rPr>
              <w:t>Carrying people with policies</w:t>
            </w:r>
          </w:p>
        </w:tc>
      </w:tr>
      <w:tr w:rsidTr="00A065C3">
        <w:tblPrEx>
          <w:tblW w:w="9094" w:type="dxa"/>
          <w:tblLook w:val="04A0"/>
        </w:tblPrEx>
        <w:tc>
          <w:tcPr>
            <w:tcW w:w="885" w:type="dxa"/>
          </w:tcPr>
          <w:p w:rsidR="00111AA8" w:rsidP="00D85445">
            <w:pPr>
              <w:jc w:val="both"/>
              <w:rPr>
                <w:sz w:val="24"/>
                <w:szCs w:val="24"/>
              </w:rPr>
            </w:pPr>
            <w:r>
              <w:rPr>
                <w:sz w:val="24"/>
                <w:szCs w:val="24"/>
              </w:rPr>
              <w:t>2.3.5.1</w:t>
            </w:r>
          </w:p>
        </w:tc>
        <w:tc>
          <w:tcPr>
            <w:tcW w:w="8209" w:type="dxa"/>
          </w:tcPr>
          <w:p w:rsidR="00111AA8" w:rsidP="00D85445">
            <w:pPr>
              <w:jc w:val="both"/>
              <w:rPr>
                <w:sz w:val="24"/>
                <w:szCs w:val="24"/>
              </w:rPr>
            </w:pPr>
            <w:r>
              <w:rPr>
                <w:sz w:val="24"/>
                <w:szCs w:val="24"/>
              </w:rPr>
              <w:t xml:space="preserve">Lockdown is a curious creature, reliant not so much on the state’s ability to enforce it, but rather on </w:t>
            </w:r>
            <w:r>
              <w:rPr>
                <w:sz w:val="24"/>
                <w:szCs w:val="24"/>
              </w:rPr>
              <w:t xml:space="preserve">the willingness of the individual to abide by it. </w:t>
            </w:r>
            <w:r>
              <w:rPr>
                <w:sz w:val="24"/>
                <w:szCs w:val="24"/>
              </w:rPr>
              <w:t xml:space="preserve">So far, it has maintained widespread </w:t>
            </w:r>
            <w:r>
              <w:rPr>
                <w:sz w:val="24"/>
                <w:szCs w:val="24"/>
              </w:rPr>
              <w:t>public support, but we have begun to see the first cracks appeari</w:t>
            </w:r>
            <w:r>
              <w:rPr>
                <w:sz w:val="24"/>
                <w:szCs w:val="24"/>
              </w:rPr>
              <w:t xml:space="preserve">ng, and the </w:t>
            </w:r>
            <w:r>
              <w:rPr>
                <w:sz w:val="24"/>
                <w:szCs w:val="24"/>
              </w:rPr>
              <w:t>first potentially dangerous laxity slipping in.</w:t>
            </w:r>
            <w:r>
              <w:rPr>
                <w:sz w:val="24"/>
                <w:szCs w:val="24"/>
              </w:rPr>
              <w:t xml:space="preserve"> </w:t>
            </w:r>
          </w:p>
        </w:tc>
      </w:tr>
      <w:tr w:rsidTr="00A065C3">
        <w:tblPrEx>
          <w:tblW w:w="9094" w:type="dxa"/>
          <w:tblLook w:val="04A0"/>
        </w:tblPrEx>
        <w:tc>
          <w:tcPr>
            <w:tcW w:w="885" w:type="dxa"/>
          </w:tcPr>
          <w:p w:rsidR="00DB013E" w:rsidRPr="0088665C" w:rsidP="00D85445">
            <w:pPr>
              <w:jc w:val="both"/>
              <w:rPr>
                <w:b/>
                <w:bCs/>
                <w:sz w:val="24"/>
                <w:szCs w:val="24"/>
              </w:rPr>
            </w:pPr>
          </w:p>
        </w:tc>
        <w:tc>
          <w:tcPr>
            <w:tcW w:w="8209" w:type="dxa"/>
          </w:tcPr>
          <w:p w:rsidR="00DB013E" w:rsidRPr="0088665C" w:rsidP="00D85445">
            <w:pPr>
              <w:jc w:val="both"/>
              <w:rPr>
                <w:b/>
                <w:bCs/>
                <w:sz w:val="24"/>
                <w:szCs w:val="24"/>
              </w:rPr>
            </w:pPr>
          </w:p>
        </w:tc>
      </w:tr>
      <w:tr w:rsidTr="00A065C3">
        <w:tblPrEx>
          <w:tblW w:w="9094" w:type="dxa"/>
          <w:tblLook w:val="04A0"/>
        </w:tblPrEx>
        <w:tc>
          <w:tcPr>
            <w:tcW w:w="885" w:type="dxa"/>
          </w:tcPr>
          <w:p w:rsidR="009B1A4D" w:rsidRPr="00330E24" w:rsidP="00D85445">
            <w:pPr>
              <w:jc w:val="both"/>
              <w:rPr>
                <w:sz w:val="24"/>
                <w:szCs w:val="24"/>
              </w:rPr>
            </w:pPr>
            <w:r w:rsidRPr="00330E24">
              <w:rPr>
                <w:sz w:val="24"/>
                <w:szCs w:val="24"/>
              </w:rPr>
              <w:t>2.3.5.2</w:t>
            </w:r>
          </w:p>
        </w:tc>
        <w:tc>
          <w:tcPr>
            <w:tcW w:w="8209" w:type="dxa"/>
          </w:tcPr>
          <w:p w:rsidR="009B1A4D" w:rsidRPr="00E2754E" w:rsidP="00D85445">
            <w:pPr>
              <w:jc w:val="both"/>
              <w:rPr>
                <w:sz w:val="24"/>
                <w:szCs w:val="24"/>
              </w:rPr>
            </w:pPr>
            <w:r>
              <w:rPr>
                <w:sz w:val="24"/>
                <w:szCs w:val="24"/>
              </w:rPr>
              <w:t>An important function of consultation and engagement is the diffusion of responsibility throughout the community</w:t>
            </w:r>
            <w:r>
              <w:rPr>
                <w:sz w:val="24"/>
                <w:szCs w:val="24"/>
              </w:rPr>
              <w:t xml:space="preserve">. </w:t>
            </w:r>
            <w:r>
              <w:rPr>
                <w:sz w:val="24"/>
                <w:szCs w:val="24"/>
              </w:rPr>
              <w:t xml:space="preserve">With the effects of a prolonged lockdown starting to have an impact on </w:t>
            </w:r>
            <w:r>
              <w:rPr>
                <w:sz w:val="24"/>
                <w:szCs w:val="24"/>
              </w:rPr>
              <w:t>people</w:t>
            </w:r>
            <w:r>
              <w:rPr>
                <w:sz w:val="24"/>
                <w:szCs w:val="24"/>
              </w:rPr>
              <w:t xml:space="preserve">’s health and economic wellbeing, the Government might be advised </w:t>
            </w:r>
            <w:r>
              <w:rPr>
                <w:sz w:val="24"/>
                <w:szCs w:val="24"/>
              </w:rPr>
              <w:t xml:space="preserve">to consult not only to </w:t>
            </w:r>
            <w:r>
              <w:rPr>
                <w:sz w:val="24"/>
                <w:szCs w:val="24"/>
              </w:rPr>
              <w:t>ensure that all views have been taken into account, but also to demonstrate that decisions</w:t>
            </w:r>
            <w:r>
              <w:rPr>
                <w:sz w:val="24"/>
                <w:szCs w:val="24"/>
              </w:rPr>
              <w:t xml:space="preserve"> have been made and influenced by community voices</w:t>
            </w:r>
            <w:r>
              <w:rPr>
                <w:sz w:val="24"/>
                <w:szCs w:val="24"/>
              </w:rPr>
              <w:t>, giving the requisite sense of ownership.</w:t>
            </w:r>
          </w:p>
        </w:tc>
      </w:tr>
      <w:tr w:rsidTr="00A065C3">
        <w:tblPrEx>
          <w:tblW w:w="9094" w:type="dxa"/>
          <w:tblLook w:val="04A0"/>
        </w:tblPrEx>
        <w:tc>
          <w:tcPr>
            <w:tcW w:w="885" w:type="dxa"/>
          </w:tcPr>
          <w:p w:rsidR="009B1A4D" w:rsidRPr="0088665C" w:rsidP="00D85445">
            <w:pPr>
              <w:jc w:val="both"/>
              <w:rPr>
                <w:b/>
                <w:bCs/>
                <w:sz w:val="24"/>
                <w:szCs w:val="24"/>
              </w:rPr>
            </w:pPr>
          </w:p>
        </w:tc>
        <w:tc>
          <w:tcPr>
            <w:tcW w:w="8209" w:type="dxa"/>
          </w:tcPr>
          <w:p w:rsidR="009B1A4D" w:rsidRPr="0088665C" w:rsidP="00D85445">
            <w:pPr>
              <w:jc w:val="both"/>
              <w:rPr>
                <w:b/>
                <w:bCs/>
                <w:sz w:val="24"/>
                <w:szCs w:val="24"/>
              </w:rPr>
            </w:pPr>
          </w:p>
        </w:tc>
      </w:tr>
      <w:tr w:rsidTr="00A065C3">
        <w:tblPrEx>
          <w:tblW w:w="9094" w:type="dxa"/>
          <w:tblLook w:val="04A0"/>
        </w:tblPrEx>
        <w:tc>
          <w:tcPr>
            <w:tcW w:w="885" w:type="dxa"/>
          </w:tcPr>
          <w:p w:rsidR="00D82F3F" w:rsidRPr="001603C7" w:rsidP="00D85445">
            <w:pPr>
              <w:jc w:val="both"/>
              <w:rPr>
                <w:sz w:val="24"/>
                <w:szCs w:val="24"/>
              </w:rPr>
            </w:pPr>
            <w:r w:rsidRPr="001603C7">
              <w:rPr>
                <w:sz w:val="24"/>
                <w:szCs w:val="24"/>
              </w:rPr>
              <w:t>2.3.5.3</w:t>
            </w:r>
          </w:p>
        </w:tc>
        <w:tc>
          <w:tcPr>
            <w:tcW w:w="8209" w:type="dxa"/>
          </w:tcPr>
          <w:p w:rsidR="00D82F3F" w:rsidRPr="00D82F3F" w:rsidP="00D85445">
            <w:pPr>
              <w:jc w:val="both"/>
              <w:rPr>
                <w:sz w:val="24"/>
                <w:szCs w:val="24"/>
              </w:rPr>
            </w:pPr>
            <w:r w:rsidRPr="00D82F3F">
              <w:rPr>
                <w:sz w:val="24"/>
                <w:szCs w:val="24"/>
              </w:rPr>
              <w:t>Involving people</w:t>
            </w:r>
            <w:r>
              <w:rPr>
                <w:sz w:val="24"/>
                <w:szCs w:val="24"/>
              </w:rPr>
              <w:t xml:space="preserve"> would also counter the increasing distance between the Government and </w:t>
            </w:r>
            <w:r>
              <w:rPr>
                <w:sz w:val="24"/>
                <w:szCs w:val="24"/>
              </w:rPr>
              <w:t>the public on lockdown. Declining public confidence</w:t>
            </w:r>
            <w:r>
              <w:rPr>
                <w:sz w:val="24"/>
                <w:szCs w:val="24"/>
              </w:rPr>
              <w:t xml:space="preserve"> and the </w:t>
            </w:r>
            <w:r>
              <w:rPr>
                <w:sz w:val="24"/>
                <w:szCs w:val="24"/>
              </w:rPr>
              <w:t xml:space="preserve">increasing difference of position on how we should proceed between </w:t>
            </w:r>
            <w:r>
              <w:rPr>
                <w:sz w:val="24"/>
                <w:szCs w:val="24"/>
              </w:rPr>
              <w:t xml:space="preserve">the public and the Government (both demonstrated in recent </w:t>
            </w:r>
            <w:r>
              <w:rPr>
                <w:sz w:val="24"/>
                <w:szCs w:val="24"/>
              </w:rPr>
              <w:t xml:space="preserve">research) is a gap that might be best </w:t>
            </w:r>
            <w:r>
              <w:rPr>
                <w:sz w:val="24"/>
                <w:szCs w:val="24"/>
              </w:rPr>
              <w:t>bridged</w:t>
            </w:r>
            <w:r>
              <w:rPr>
                <w:sz w:val="24"/>
                <w:szCs w:val="24"/>
              </w:rPr>
              <w:t xml:space="preserve"> by compromise and </w:t>
            </w:r>
            <w:r>
              <w:rPr>
                <w:sz w:val="24"/>
                <w:szCs w:val="24"/>
              </w:rPr>
              <w:t xml:space="preserve">more information- both goals that could be </w:t>
            </w:r>
            <w:r>
              <w:rPr>
                <w:sz w:val="24"/>
                <w:szCs w:val="24"/>
              </w:rPr>
              <w:t xml:space="preserve">achieved </w:t>
            </w:r>
            <w:r>
              <w:rPr>
                <w:sz w:val="24"/>
                <w:szCs w:val="24"/>
              </w:rPr>
              <w:t>by better publ</w:t>
            </w:r>
            <w:r>
              <w:rPr>
                <w:sz w:val="24"/>
                <w:szCs w:val="24"/>
              </w:rPr>
              <w:t>ic engagement.</w:t>
            </w:r>
            <w:r>
              <w:rPr>
                <w:sz w:val="24"/>
                <w:szCs w:val="24"/>
              </w:rPr>
              <w:t xml:space="preserve"> </w:t>
            </w:r>
          </w:p>
        </w:tc>
      </w:tr>
      <w:tr w:rsidTr="00A065C3">
        <w:tblPrEx>
          <w:tblW w:w="9094" w:type="dxa"/>
          <w:tblLook w:val="04A0"/>
        </w:tblPrEx>
        <w:tc>
          <w:tcPr>
            <w:tcW w:w="885" w:type="dxa"/>
          </w:tcPr>
          <w:p w:rsidR="00AF5B60" w:rsidRPr="0088665C" w:rsidP="00D85445">
            <w:pPr>
              <w:jc w:val="both"/>
              <w:rPr>
                <w:b/>
                <w:bCs/>
                <w:sz w:val="24"/>
                <w:szCs w:val="24"/>
              </w:rPr>
            </w:pPr>
          </w:p>
        </w:tc>
        <w:tc>
          <w:tcPr>
            <w:tcW w:w="8209" w:type="dxa"/>
          </w:tcPr>
          <w:p w:rsidR="00AF5B60" w:rsidRPr="0088665C" w:rsidP="00D85445">
            <w:pPr>
              <w:jc w:val="both"/>
              <w:rPr>
                <w:b/>
                <w:bCs/>
                <w:sz w:val="24"/>
                <w:szCs w:val="24"/>
              </w:rPr>
            </w:pPr>
          </w:p>
        </w:tc>
      </w:tr>
      <w:tr w:rsidTr="00A065C3">
        <w:tblPrEx>
          <w:tblW w:w="9094" w:type="dxa"/>
          <w:tblLook w:val="04A0"/>
        </w:tblPrEx>
        <w:tc>
          <w:tcPr>
            <w:tcW w:w="885" w:type="dxa"/>
          </w:tcPr>
          <w:p w:rsidR="00512394" w:rsidRPr="0088665C" w:rsidP="00D85445">
            <w:pPr>
              <w:jc w:val="both"/>
              <w:rPr>
                <w:b/>
                <w:bCs/>
                <w:sz w:val="24"/>
                <w:szCs w:val="24"/>
              </w:rPr>
            </w:pPr>
            <w:r>
              <w:rPr>
                <w:b/>
                <w:bCs/>
                <w:sz w:val="24"/>
                <w:szCs w:val="24"/>
              </w:rPr>
              <w:t>3.</w:t>
            </w:r>
          </w:p>
        </w:tc>
        <w:tc>
          <w:tcPr>
            <w:tcW w:w="8209" w:type="dxa"/>
          </w:tcPr>
          <w:p w:rsidR="00512394" w:rsidRPr="0088665C" w:rsidP="00D85445">
            <w:pPr>
              <w:jc w:val="both"/>
              <w:rPr>
                <w:b/>
                <w:bCs/>
                <w:sz w:val="24"/>
                <w:szCs w:val="24"/>
              </w:rPr>
            </w:pPr>
            <w:r>
              <w:rPr>
                <w:b/>
                <w:bCs/>
                <w:sz w:val="24"/>
                <w:szCs w:val="24"/>
              </w:rPr>
              <w:t>Achieving Compliant Consultation</w:t>
            </w:r>
          </w:p>
        </w:tc>
      </w:tr>
      <w:tr w:rsidTr="00A065C3">
        <w:tblPrEx>
          <w:tblW w:w="9094" w:type="dxa"/>
          <w:tblLook w:val="04A0"/>
        </w:tblPrEx>
        <w:tc>
          <w:tcPr>
            <w:tcW w:w="885" w:type="dxa"/>
          </w:tcPr>
          <w:p w:rsidR="00512394" w:rsidP="00D85445">
            <w:pPr>
              <w:jc w:val="both"/>
              <w:rPr>
                <w:sz w:val="24"/>
                <w:szCs w:val="24"/>
              </w:rPr>
            </w:pPr>
            <w:r>
              <w:rPr>
                <w:sz w:val="24"/>
                <w:szCs w:val="24"/>
              </w:rPr>
              <w:t>3.1</w:t>
            </w:r>
          </w:p>
        </w:tc>
        <w:tc>
          <w:tcPr>
            <w:tcW w:w="8209" w:type="dxa"/>
          </w:tcPr>
          <w:p w:rsidR="00512394" w:rsidP="00D85445">
            <w:pPr>
              <w:jc w:val="both"/>
              <w:rPr>
                <w:sz w:val="24"/>
                <w:szCs w:val="24"/>
              </w:rPr>
            </w:pPr>
            <w:r>
              <w:rPr>
                <w:sz w:val="24"/>
                <w:szCs w:val="24"/>
              </w:rPr>
              <w:t xml:space="preserve">There are fundamentally </w:t>
            </w:r>
            <w:r>
              <w:rPr>
                <w:sz w:val="24"/>
                <w:szCs w:val="24"/>
              </w:rPr>
              <w:t>two</w:t>
            </w:r>
            <w:r>
              <w:rPr>
                <w:sz w:val="24"/>
                <w:szCs w:val="24"/>
              </w:rPr>
              <w:t xml:space="preserve"> separate </w:t>
            </w:r>
            <w:r>
              <w:rPr>
                <w:sz w:val="24"/>
                <w:szCs w:val="24"/>
              </w:rPr>
              <w:t>challenges</w:t>
            </w:r>
            <w:r>
              <w:rPr>
                <w:sz w:val="24"/>
                <w:szCs w:val="24"/>
              </w:rPr>
              <w:t xml:space="preserve"> to establish compliant consultation</w:t>
            </w:r>
            <w:r>
              <w:rPr>
                <w:sz w:val="24"/>
                <w:szCs w:val="24"/>
              </w:rPr>
              <w:t xml:space="preserve">: legal, and </w:t>
            </w:r>
            <w:r>
              <w:rPr>
                <w:sz w:val="24"/>
                <w:szCs w:val="24"/>
              </w:rPr>
              <w:t>operational.</w:t>
            </w:r>
          </w:p>
        </w:tc>
      </w:tr>
      <w:tr w:rsidTr="00A065C3">
        <w:tblPrEx>
          <w:tblW w:w="9094" w:type="dxa"/>
          <w:tblLook w:val="04A0"/>
        </w:tblPrEx>
        <w:tc>
          <w:tcPr>
            <w:tcW w:w="885" w:type="dxa"/>
          </w:tcPr>
          <w:p w:rsidR="00A022E0" w:rsidP="00D85445">
            <w:pPr>
              <w:jc w:val="both"/>
              <w:rPr>
                <w:sz w:val="24"/>
                <w:szCs w:val="24"/>
              </w:rPr>
            </w:pPr>
          </w:p>
        </w:tc>
        <w:tc>
          <w:tcPr>
            <w:tcW w:w="8209" w:type="dxa"/>
          </w:tcPr>
          <w:p w:rsidR="00A022E0" w:rsidP="00D85445">
            <w:pPr>
              <w:jc w:val="both"/>
              <w:rPr>
                <w:sz w:val="24"/>
                <w:szCs w:val="24"/>
              </w:rPr>
            </w:pPr>
          </w:p>
        </w:tc>
      </w:tr>
      <w:tr w:rsidTr="00A065C3">
        <w:tblPrEx>
          <w:tblW w:w="9094" w:type="dxa"/>
          <w:tblLook w:val="04A0"/>
        </w:tblPrEx>
        <w:tc>
          <w:tcPr>
            <w:tcW w:w="885" w:type="dxa"/>
          </w:tcPr>
          <w:p w:rsidR="002C34C6" w:rsidRPr="00B40948" w:rsidP="00D85445">
            <w:pPr>
              <w:jc w:val="both"/>
              <w:rPr>
                <w:i/>
                <w:iCs/>
                <w:sz w:val="24"/>
                <w:szCs w:val="24"/>
              </w:rPr>
            </w:pPr>
            <w:r w:rsidRPr="00B40948">
              <w:rPr>
                <w:i/>
                <w:iCs/>
                <w:sz w:val="24"/>
                <w:szCs w:val="24"/>
              </w:rPr>
              <w:t>3.1.</w:t>
            </w:r>
            <w:r w:rsidRPr="00B40948">
              <w:rPr>
                <w:i/>
                <w:iCs/>
                <w:sz w:val="24"/>
                <w:szCs w:val="24"/>
              </w:rPr>
              <w:t>1</w:t>
            </w:r>
          </w:p>
        </w:tc>
        <w:tc>
          <w:tcPr>
            <w:tcW w:w="8209" w:type="dxa"/>
          </w:tcPr>
          <w:p w:rsidR="002C34C6" w:rsidRPr="00B40948" w:rsidP="00D85445">
            <w:pPr>
              <w:jc w:val="both"/>
              <w:rPr>
                <w:i/>
                <w:iCs/>
                <w:sz w:val="24"/>
                <w:szCs w:val="24"/>
              </w:rPr>
            </w:pPr>
            <w:r w:rsidRPr="00B40948">
              <w:rPr>
                <w:i/>
                <w:iCs/>
                <w:sz w:val="24"/>
                <w:szCs w:val="24"/>
              </w:rPr>
              <w:t>Legal</w:t>
            </w:r>
          </w:p>
        </w:tc>
      </w:tr>
      <w:tr w:rsidTr="00A065C3">
        <w:tblPrEx>
          <w:tblW w:w="9094" w:type="dxa"/>
          <w:tblLook w:val="04A0"/>
        </w:tblPrEx>
        <w:tc>
          <w:tcPr>
            <w:tcW w:w="885" w:type="dxa"/>
          </w:tcPr>
          <w:p w:rsidR="00512394" w:rsidP="00D85445">
            <w:pPr>
              <w:jc w:val="both"/>
              <w:rPr>
                <w:sz w:val="24"/>
                <w:szCs w:val="24"/>
              </w:rPr>
            </w:pPr>
            <w:r>
              <w:rPr>
                <w:sz w:val="24"/>
                <w:szCs w:val="24"/>
              </w:rPr>
              <w:t>3.1.1</w:t>
            </w:r>
            <w:r>
              <w:rPr>
                <w:sz w:val="24"/>
                <w:szCs w:val="24"/>
              </w:rPr>
              <w:t>.1</w:t>
            </w:r>
          </w:p>
        </w:tc>
        <w:tc>
          <w:tcPr>
            <w:tcW w:w="8209" w:type="dxa"/>
          </w:tcPr>
          <w:p w:rsidR="00F85708" w:rsidRPr="00A82954" w:rsidP="00A82954">
            <w:pPr>
              <w:jc w:val="both"/>
              <w:rPr>
                <w:sz w:val="24"/>
                <w:szCs w:val="24"/>
              </w:rPr>
            </w:pPr>
            <w:r>
              <w:rPr>
                <w:sz w:val="24"/>
                <w:szCs w:val="24"/>
              </w:rPr>
              <w:t>There are two separate legal issues. Firstly, is</w:t>
            </w:r>
            <w:r>
              <w:rPr>
                <w:sz w:val="24"/>
                <w:szCs w:val="24"/>
              </w:rPr>
              <w:t xml:space="preserve"> a consultation required? And</w:t>
            </w:r>
            <w:r>
              <w:rPr>
                <w:sz w:val="24"/>
                <w:szCs w:val="24"/>
              </w:rPr>
              <w:t xml:space="preserve"> secondly,</w:t>
            </w:r>
            <w:r>
              <w:rPr>
                <w:sz w:val="24"/>
                <w:szCs w:val="24"/>
              </w:rPr>
              <w:t xml:space="preserve"> does the planned consultation comply with legal requirements?</w:t>
            </w:r>
            <w:r>
              <w:rPr>
                <w:sz w:val="24"/>
                <w:szCs w:val="24"/>
              </w:rPr>
              <w:t xml:space="preserve"> There </w:t>
            </w:r>
            <w:r>
              <w:rPr>
                <w:sz w:val="24"/>
                <w:szCs w:val="24"/>
              </w:rPr>
              <w:t xml:space="preserve">are reams of case law on </w:t>
            </w:r>
            <w:r>
              <w:rPr>
                <w:sz w:val="24"/>
                <w:szCs w:val="24"/>
              </w:rPr>
              <w:t>both of these</w:t>
            </w:r>
            <w:r>
              <w:rPr>
                <w:sz w:val="24"/>
                <w:szCs w:val="24"/>
              </w:rPr>
              <w:t xml:space="preserve"> questions, but we have attempted to give a quick precis here.</w:t>
            </w:r>
            <w:r>
              <w:rPr>
                <w:sz w:val="24"/>
                <w:szCs w:val="24"/>
              </w:rPr>
              <w:t xml:space="preserve"> </w:t>
            </w:r>
          </w:p>
        </w:tc>
      </w:tr>
      <w:tr w:rsidTr="00A065C3">
        <w:tblPrEx>
          <w:tblW w:w="9094" w:type="dxa"/>
          <w:tblLook w:val="04A0"/>
        </w:tblPrEx>
        <w:tc>
          <w:tcPr>
            <w:tcW w:w="885" w:type="dxa"/>
          </w:tcPr>
          <w:p w:rsidR="00512394" w:rsidP="00D85445">
            <w:pPr>
              <w:jc w:val="both"/>
              <w:rPr>
                <w:sz w:val="24"/>
                <w:szCs w:val="24"/>
              </w:rPr>
            </w:pPr>
          </w:p>
        </w:tc>
        <w:tc>
          <w:tcPr>
            <w:tcW w:w="8209" w:type="dxa"/>
          </w:tcPr>
          <w:p w:rsidR="00512394" w:rsidP="00D85445">
            <w:pPr>
              <w:jc w:val="both"/>
              <w:rPr>
                <w:sz w:val="24"/>
                <w:szCs w:val="24"/>
              </w:rPr>
            </w:pPr>
          </w:p>
        </w:tc>
      </w:tr>
      <w:tr w:rsidTr="00A065C3">
        <w:tblPrEx>
          <w:tblW w:w="9094" w:type="dxa"/>
          <w:tblLook w:val="04A0"/>
        </w:tblPrEx>
        <w:tc>
          <w:tcPr>
            <w:tcW w:w="885" w:type="dxa"/>
          </w:tcPr>
          <w:p w:rsidR="00512394" w:rsidP="00D85445">
            <w:pPr>
              <w:jc w:val="both"/>
              <w:rPr>
                <w:sz w:val="24"/>
                <w:szCs w:val="24"/>
              </w:rPr>
            </w:pPr>
            <w:r>
              <w:rPr>
                <w:sz w:val="24"/>
                <w:szCs w:val="24"/>
              </w:rPr>
              <w:t>3.1.1.1</w:t>
            </w:r>
          </w:p>
        </w:tc>
        <w:tc>
          <w:tcPr>
            <w:tcW w:w="8209" w:type="dxa"/>
          </w:tcPr>
          <w:p w:rsidR="00B40948" w:rsidP="00B40948">
            <w:pPr>
              <w:jc w:val="both"/>
              <w:rPr>
                <w:sz w:val="24"/>
                <w:szCs w:val="24"/>
              </w:rPr>
            </w:pPr>
            <w:r>
              <w:rPr>
                <w:sz w:val="24"/>
                <w:szCs w:val="24"/>
              </w:rPr>
              <w:t xml:space="preserve">The question of when a </w:t>
            </w:r>
            <w:r>
              <w:rPr>
                <w:sz w:val="24"/>
                <w:szCs w:val="24"/>
              </w:rPr>
              <w:t>consultation is required was perhaps summed up best in the R (</w:t>
            </w:r>
            <w:r>
              <w:rPr>
                <w:sz w:val="24"/>
                <w:szCs w:val="24"/>
              </w:rPr>
              <w:t>Plantaganet</w:t>
            </w:r>
            <w:r>
              <w:rPr>
                <w:sz w:val="24"/>
                <w:szCs w:val="24"/>
              </w:rPr>
              <w:t xml:space="preserve"> Alliance) v </w:t>
            </w:r>
            <w:r>
              <w:rPr>
                <w:sz w:val="24"/>
                <w:szCs w:val="24"/>
              </w:rPr>
              <w:t>SoS</w:t>
            </w:r>
            <w:r>
              <w:rPr>
                <w:sz w:val="24"/>
                <w:szCs w:val="24"/>
              </w:rPr>
              <w:t xml:space="preserve"> for Justice [2014] case, where the High Court laid out that a duty to consult arose where:</w:t>
            </w:r>
          </w:p>
          <w:p w:rsidR="00B40948" w:rsidP="00B40948">
            <w:pPr>
              <w:pStyle w:val="ListParagraph"/>
              <w:numPr>
                <w:ilvl w:val="0"/>
                <w:numId w:val="5"/>
              </w:numPr>
              <w:jc w:val="both"/>
              <w:rPr>
                <w:sz w:val="24"/>
                <w:szCs w:val="24"/>
              </w:rPr>
            </w:pPr>
            <w:r>
              <w:rPr>
                <w:sz w:val="24"/>
                <w:szCs w:val="24"/>
              </w:rPr>
              <w:t>There was a statutory duty to consult</w:t>
            </w:r>
          </w:p>
          <w:p w:rsidR="00B40948" w:rsidP="00B40948">
            <w:pPr>
              <w:pStyle w:val="ListParagraph"/>
              <w:numPr>
                <w:ilvl w:val="0"/>
                <w:numId w:val="5"/>
              </w:numPr>
              <w:jc w:val="both"/>
              <w:rPr>
                <w:sz w:val="24"/>
                <w:szCs w:val="24"/>
              </w:rPr>
            </w:pPr>
            <w:r>
              <w:rPr>
                <w:sz w:val="24"/>
                <w:szCs w:val="24"/>
              </w:rPr>
              <w:t>There had been a promise to consult</w:t>
            </w:r>
          </w:p>
          <w:p w:rsidR="00A82954" w:rsidP="00A82954">
            <w:pPr>
              <w:pStyle w:val="ListParagraph"/>
              <w:numPr>
                <w:ilvl w:val="0"/>
                <w:numId w:val="5"/>
              </w:numPr>
              <w:jc w:val="both"/>
              <w:rPr>
                <w:sz w:val="24"/>
                <w:szCs w:val="24"/>
              </w:rPr>
            </w:pPr>
            <w:r>
              <w:rPr>
                <w:sz w:val="24"/>
                <w:szCs w:val="24"/>
              </w:rPr>
              <w:t>T</w:t>
            </w:r>
            <w:r>
              <w:rPr>
                <w:sz w:val="24"/>
                <w:szCs w:val="24"/>
              </w:rPr>
              <w:t>here was an established practice of consultation</w:t>
            </w:r>
          </w:p>
          <w:p w:rsidR="00867719" w:rsidRPr="00CC3CC7" w:rsidP="00867719">
            <w:pPr>
              <w:pStyle w:val="ListParagraph"/>
              <w:numPr>
                <w:ilvl w:val="0"/>
                <w:numId w:val="5"/>
              </w:numPr>
              <w:jc w:val="both"/>
              <w:rPr>
                <w:sz w:val="24"/>
                <w:szCs w:val="24"/>
              </w:rPr>
            </w:pPr>
            <w:r>
              <w:rPr>
                <w:sz w:val="24"/>
                <w:szCs w:val="24"/>
              </w:rPr>
              <w:t>In exceptional cases, a failure to do so would lead to conspicuous unfairness</w:t>
            </w:r>
          </w:p>
        </w:tc>
      </w:tr>
      <w:tr w:rsidTr="00A065C3">
        <w:tblPrEx>
          <w:tblW w:w="9094" w:type="dxa"/>
          <w:tblLook w:val="04A0"/>
        </w:tblPrEx>
        <w:tc>
          <w:tcPr>
            <w:tcW w:w="885" w:type="dxa"/>
          </w:tcPr>
          <w:p w:rsidR="00512394" w:rsidP="00D85445">
            <w:pPr>
              <w:jc w:val="both"/>
              <w:rPr>
                <w:sz w:val="24"/>
                <w:szCs w:val="24"/>
              </w:rPr>
            </w:pPr>
          </w:p>
        </w:tc>
        <w:tc>
          <w:tcPr>
            <w:tcW w:w="8209" w:type="dxa"/>
          </w:tcPr>
          <w:p w:rsidR="00512394" w:rsidP="00D85445">
            <w:pPr>
              <w:jc w:val="both"/>
              <w:rPr>
                <w:sz w:val="24"/>
                <w:szCs w:val="24"/>
              </w:rPr>
            </w:pPr>
          </w:p>
        </w:tc>
      </w:tr>
      <w:tr w:rsidTr="00A065C3">
        <w:tblPrEx>
          <w:tblW w:w="9094" w:type="dxa"/>
          <w:tblLook w:val="04A0"/>
        </w:tblPrEx>
        <w:tc>
          <w:tcPr>
            <w:tcW w:w="885" w:type="dxa"/>
          </w:tcPr>
          <w:p w:rsidR="00A13EDE" w:rsidP="00D85445">
            <w:pPr>
              <w:jc w:val="both"/>
              <w:rPr>
                <w:sz w:val="24"/>
                <w:szCs w:val="24"/>
              </w:rPr>
            </w:pPr>
            <w:r>
              <w:rPr>
                <w:sz w:val="24"/>
                <w:szCs w:val="24"/>
              </w:rPr>
              <w:t>3.1.1.2</w:t>
            </w:r>
          </w:p>
        </w:tc>
        <w:tc>
          <w:tcPr>
            <w:tcW w:w="8209" w:type="dxa"/>
          </w:tcPr>
          <w:p w:rsidR="00A13EDE" w:rsidP="00D85445">
            <w:pPr>
              <w:jc w:val="both"/>
              <w:rPr>
                <w:sz w:val="24"/>
                <w:szCs w:val="24"/>
              </w:rPr>
            </w:pPr>
            <w:r>
              <w:rPr>
                <w:sz w:val="24"/>
                <w:szCs w:val="24"/>
              </w:rPr>
              <w:t xml:space="preserve">The latter three of these </w:t>
            </w:r>
            <w:r>
              <w:rPr>
                <w:sz w:val="24"/>
                <w:szCs w:val="24"/>
              </w:rPr>
              <w:t>fall</w:t>
            </w:r>
            <w:r>
              <w:rPr>
                <w:sz w:val="24"/>
                <w:szCs w:val="24"/>
              </w:rPr>
              <w:t xml:space="preserve"> under the general heading of common law ‘legitimate expectation’. The most likely place for officials to trip up here is </w:t>
            </w:r>
            <w:r>
              <w:rPr>
                <w:sz w:val="24"/>
                <w:szCs w:val="24"/>
              </w:rPr>
              <w:t>in making promises. So far, the Government has made no truly unequivocal promises of consultation, howev</w:t>
            </w:r>
            <w:r>
              <w:rPr>
                <w:sz w:val="24"/>
                <w:szCs w:val="24"/>
              </w:rPr>
              <w:t xml:space="preserve">er they have increasingly promised to act </w:t>
            </w:r>
            <w:r>
              <w:rPr>
                <w:sz w:val="24"/>
                <w:szCs w:val="24"/>
              </w:rPr>
              <w:t>transparently</w:t>
            </w:r>
            <w:r>
              <w:rPr>
                <w:sz w:val="24"/>
                <w:szCs w:val="24"/>
              </w:rPr>
              <w:t xml:space="preserve">, and have made intimations that they plan to </w:t>
            </w:r>
            <w:r>
              <w:rPr>
                <w:sz w:val="24"/>
                <w:szCs w:val="24"/>
              </w:rPr>
              <w:t xml:space="preserve">involve the community in their future </w:t>
            </w:r>
            <w:r>
              <w:rPr>
                <w:sz w:val="24"/>
                <w:szCs w:val="24"/>
              </w:rPr>
              <w:t>policy-making</w:t>
            </w:r>
            <w:r>
              <w:rPr>
                <w:sz w:val="24"/>
                <w:szCs w:val="24"/>
              </w:rPr>
              <w:t>. Statements such as these, although not out and out promises, should be treated cautiously, as they may</w:t>
            </w:r>
            <w:r>
              <w:rPr>
                <w:sz w:val="24"/>
                <w:szCs w:val="24"/>
              </w:rPr>
              <w:t xml:space="preserve"> be deemed to be sufficiently </w:t>
            </w:r>
            <w:r>
              <w:rPr>
                <w:sz w:val="24"/>
                <w:szCs w:val="24"/>
              </w:rPr>
              <w:t>specific as to bring about legitimate expectation arguments</w:t>
            </w:r>
          </w:p>
        </w:tc>
      </w:tr>
      <w:tr w:rsidTr="00A065C3">
        <w:tblPrEx>
          <w:tblW w:w="9094" w:type="dxa"/>
          <w:tblLook w:val="04A0"/>
        </w:tblPrEx>
        <w:tc>
          <w:tcPr>
            <w:tcW w:w="885" w:type="dxa"/>
          </w:tcPr>
          <w:p w:rsidR="00A13EDE" w:rsidP="00D85445">
            <w:pPr>
              <w:jc w:val="both"/>
              <w:rPr>
                <w:sz w:val="24"/>
                <w:szCs w:val="24"/>
              </w:rPr>
            </w:pPr>
          </w:p>
        </w:tc>
        <w:tc>
          <w:tcPr>
            <w:tcW w:w="8209" w:type="dxa"/>
          </w:tcPr>
          <w:p w:rsidR="00A13EDE" w:rsidP="00D85445">
            <w:pPr>
              <w:jc w:val="both"/>
              <w:rPr>
                <w:sz w:val="24"/>
                <w:szCs w:val="24"/>
              </w:rPr>
            </w:pPr>
          </w:p>
        </w:tc>
      </w:tr>
      <w:tr w:rsidTr="00A065C3">
        <w:tblPrEx>
          <w:tblW w:w="9094" w:type="dxa"/>
          <w:tblLook w:val="04A0"/>
        </w:tblPrEx>
        <w:tc>
          <w:tcPr>
            <w:tcW w:w="885" w:type="dxa"/>
          </w:tcPr>
          <w:p w:rsidR="00512394" w:rsidP="00D85445">
            <w:pPr>
              <w:jc w:val="both"/>
              <w:rPr>
                <w:sz w:val="24"/>
                <w:szCs w:val="24"/>
              </w:rPr>
            </w:pPr>
            <w:r>
              <w:rPr>
                <w:sz w:val="24"/>
                <w:szCs w:val="24"/>
              </w:rPr>
              <w:t>3.1.1.</w:t>
            </w:r>
            <w:r>
              <w:rPr>
                <w:sz w:val="24"/>
                <w:szCs w:val="24"/>
              </w:rPr>
              <w:t>3</w:t>
            </w:r>
          </w:p>
        </w:tc>
        <w:tc>
          <w:tcPr>
            <w:tcW w:w="8209" w:type="dxa"/>
          </w:tcPr>
          <w:p w:rsidR="00512394" w:rsidP="00D85445">
            <w:pPr>
              <w:jc w:val="both"/>
              <w:rPr>
                <w:sz w:val="24"/>
                <w:szCs w:val="24"/>
              </w:rPr>
            </w:pPr>
            <w:r>
              <w:rPr>
                <w:sz w:val="24"/>
                <w:szCs w:val="24"/>
              </w:rPr>
              <w:t xml:space="preserve">The requirements for a </w:t>
            </w:r>
            <w:r>
              <w:rPr>
                <w:sz w:val="24"/>
                <w:szCs w:val="24"/>
              </w:rPr>
              <w:t xml:space="preserve">consultation to be legally compliant </w:t>
            </w:r>
            <w:r>
              <w:rPr>
                <w:sz w:val="24"/>
                <w:szCs w:val="24"/>
              </w:rPr>
              <w:t xml:space="preserve">have been developed over </w:t>
            </w:r>
            <w:r>
              <w:rPr>
                <w:sz w:val="24"/>
                <w:szCs w:val="24"/>
              </w:rPr>
              <w:t>decades, but</w:t>
            </w:r>
            <w:r>
              <w:rPr>
                <w:sz w:val="24"/>
                <w:szCs w:val="24"/>
              </w:rPr>
              <w:t xml:space="preserve"> may still best be briefly summed up by the principles </w:t>
            </w:r>
            <w:r>
              <w:rPr>
                <w:sz w:val="24"/>
                <w:szCs w:val="24"/>
              </w:rPr>
              <w:t xml:space="preserve">enunciated in R v London Borough of Brent ex </w:t>
            </w:r>
            <w:r>
              <w:rPr>
                <w:sz w:val="24"/>
                <w:szCs w:val="24"/>
              </w:rPr>
              <w:t>parte</w:t>
            </w:r>
            <w:r>
              <w:rPr>
                <w:sz w:val="24"/>
                <w:szCs w:val="24"/>
              </w:rPr>
              <w:t xml:space="preserve"> Gunning </w:t>
            </w:r>
            <w:r>
              <w:rPr>
                <w:sz w:val="24"/>
                <w:szCs w:val="24"/>
              </w:rPr>
              <w:t>[</w:t>
            </w:r>
            <w:r>
              <w:rPr>
                <w:sz w:val="24"/>
                <w:szCs w:val="24"/>
              </w:rPr>
              <w:t>1985</w:t>
            </w:r>
            <w:r>
              <w:rPr>
                <w:sz w:val="24"/>
                <w:szCs w:val="24"/>
              </w:rPr>
              <w:t>].</w:t>
            </w:r>
            <w:r>
              <w:rPr>
                <w:sz w:val="24"/>
                <w:szCs w:val="24"/>
              </w:rPr>
              <w:t xml:space="preserve"> To be legally compliant consultation must meet the following four criteria:</w:t>
            </w:r>
          </w:p>
          <w:p w:rsidR="009A591A" w:rsidP="009A591A">
            <w:pPr>
              <w:pStyle w:val="ListParagraph"/>
              <w:numPr>
                <w:ilvl w:val="0"/>
                <w:numId w:val="6"/>
              </w:numPr>
              <w:jc w:val="both"/>
              <w:rPr>
                <w:sz w:val="24"/>
                <w:szCs w:val="24"/>
              </w:rPr>
            </w:pPr>
            <w:r>
              <w:rPr>
                <w:sz w:val="24"/>
                <w:szCs w:val="24"/>
              </w:rPr>
              <w:t>Proposals are still a</w:t>
            </w:r>
            <w:r>
              <w:rPr>
                <w:sz w:val="24"/>
                <w:szCs w:val="24"/>
              </w:rPr>
              <w:t>t a formative stage</w:t>
            </w:r>
          </w:p>
          <w:p w:rsidR="00607553" w:rsidP="009A591A">
            <w:pPr>
              <w:pStyle w:val="ListParagraph"/>
              <w:numPr>
                <w:ilvl w:val="0"/>
                <w:numId w:val="6"/>
              </w:numPr>
              <w:jc w:val="both"/>
              <w:rPr>
                <w:sz w:val="24"/>
                <w:szCs w:val="24"/>
              </w:rPr>
            </w:pPr>
            <w:r>
              <w:rPr>
                <w:sz w:val="24"/>
                <w:szCs w:val="24"/>
              </w:rPr>
              <w:t xml:space="preserve">There is </w:t>
            </w:r>
            <w:r>
              <w:rPr>
                <w:sz w:val="24"/>
                <w:szCs w:val="24"/>
              </w:rPr>
              <w:t>sufficient</w:t>
            </w:r>
            <w:r>
              <w:rPr>
                <w:sz w:val="24"/>
                <w:szCs w:val="24"/>
              </w:rPr>
              <w:t xml:space="preserve"> information to give ‘intelligent consideration’</w:t>
            </w:r>
          </w:p>
          <w:p w:rsidR="00607553" w:rsidP="009A591A">
            <w:pPr>
              <w:pStyle w:val="ListParagraph"/>
              <w:numPr>
                <w:ilvl w:val="0"/>
                <w:numId w:val="6"/>
              </w:numPr>
              <w:jc w:val="both"/>
              <w:rPr>
                <w:sz w:val="24"/>
                <w:szCs w:val="24"/>
              </w:rPr>
            </w:pPr>
            <w:r>
              <w:rPr>
                <w:sz w:val="24"/>
                <w:szCs w:val="24"/>
              </w:rPr>
              <w:t>There is adequate time for consideration and response</w:t>
            </w:r>
          </w:p>
          <w:p w:rsidR="00436ECE" w:rsidRPr="009A591A" w:rsidP="009A591A">
            <w:pPr>
              <w:pStyle w:val="ListParagraph"/>
              <w:numPr>
                <w:ilvl w:val="0"/>
                <w:numId w:val="6"/>
              </w:numPr>
              <w:jc w:val="both"/>
              <w:rPr>
                <w:sz w:val="24"/>
                <w:szCs w:val="24"/>
              </w:rPr>
            </w:pPr>
            <w:r>
              <w:rPr>
                <w:sz w:val="24"/>
                <w:szCs w:val="24"/>
              </w:rPr>
              <w:t>‘conscientious consideration’ must be given to the consultation responses before a decision is made</w:t>
            </w:r>
          </w:p>
        </w:tc>
      </w:tr>
      <w:tr w:rsidTr="00A065C3">
        <w:tblPrEx>
          <w:tblW w:w="9094" w:type="dxa"/>
          <w:tblLook w:val="04A0"/>
        </w:tblPrEx>
        <w:tc>
          <w:tcPr>
            <w:tcW w:w="885" w:type="dxa"/>
          </w:tcPr>
          <w:p w:rsidR="00512394" w:rsidP="00D85445">
            <w:pPr>
              <w:jc w:val="both"/>
              <w:rPr>
                <w:sz w:val="24"/>
                <w:szCs w:val="24"/>
              </w:rPr>
            </w:pPr>
          </w:p>
        </w:tc>
        <w:tc>
          <w:tcPr>
            <w:tcW w:w="8209" w:type="dxa"/>
          </w:tcPr>
          <w:p w:rsidR="00512394" w:rsidP="00D85445">
            <w:pPr>
              <w:jc w:val="both"/>
              <w:rPr>
                <w:sz w:val="24"/>
                <w:szCs w:val="24"/>
              </w:rPr>
            </w:pPr>
          </w:p>
        </w:tc>
      </w:tr>
      <w:tr w:rsidTr="00A065C3">
        <w:tblPrEx>
          <w:tblW w:w="9094" w:type="dxa"/>
          <w:tblLook w:val="04A0"/>
        </w:tblPrEx>
        <w:tc>
          <w:tcPr>
            <w:tcW w:w="885" w:type="dxa"/>
          </w:tcPr>
          <w:p w:rsidR="00512394" w:rsidRPr="00D614A2" w:rsidP="00D85445">
            <w:pPr>
              <w:jc w:val="both"/>
              <w:rPr>
                <w:sz w:val="24"/>
                <w:szCs w:val="24"/>
              </w:rPr>
            </w:pPr>
            <w:r w:rsidRPr="00D614A2">
              <w:rPr>
                <w:sz w:val="24"/>
                <w:szCs w:val="24"/>
              </w:rPr>
              <w:t>3.1.1.4</w:t>
            </w:r>
          </w:p>
        </w:tc>
        <w:tc>
          <w:tcPr>
            <w:tcW w:w="8209" w:type="dxa"/>
          </w:tcPr>
          <w:p w:rsidR="00512394" w:rsidRPr="00D0787C" w:rsidP="00D85445">
            <w:pPr>
              <w:jc w:val="both"/>
              <w:rPr>
                <w:sz w:val="24"/>
                <w:szCs w:val="24"/>
              </w:rPr>
            </w:pPr>
            <w:r w:rsidRPr="00D614A2">
              <w:rPr>
                <w:sz w:val="24"/>
                <w:szCs w:val="24"/>
              </w:rPr>
              <w:t>Th</w:t>
            </w:r>
            <w:r w:rsidRPr="00D614A2">
              <w:rPr>
                <w:sz w:val="24"/>
                <w:szCs w:val="24"/>
              </w:rPr>
              <w:t>e most o</w:t>
            </w:r>
            <w:r>
              <w:rPr>
                <w:sz w:val="24"/>
                <w:szCs w:val="24"/>
              </w:rPr>
              <w:t xml:space="preserve">bvious challenge </w:t>
            </w:r>
            <w:r>
              <w:rPr>
                <w:sz w:val="24"/>
                <w:szCs w:val="24"/>
              </w:rPr>
              <w:t xml:space="preserve">with the Gunning Principles is the third of them. With decisions essentially being made on a </w:t>
            </w:r>
            <w:r>
              <w:rPr>
                <w:sz w:val="24"/>
                <w:szCs w:val="24"/>
              </w:rPr>
              <w:t>two or three week</w:t>
            </w:r>
            <w:r>
              <w:rPr>
                <w:sz w:val="24"/>
                <w:szCs w:val="24"/>
              </w:rPr>
              <w:t xml:space="preserve"> cycle based on </w:t>
            </w:r>
            <w:r>
              <w:rPr>
                <w:sz w:val="24"/>
                <w:szCs w:val="24"/>
              </w:rPr>
              <w:t>measurable impacts of policy changes, consultations on many issues would have to be of limited duration (</w:t>
            </w:r>
            <w:r>
              <w:rPr>
                <w:sz w:val="24"/>
                <w:szCs w:val="24"/>
              </w:rPr>
              <w:t xml:space="preserve">although longer term planning </w:t>
            </w:r>
            <w:r>
              <w:rPr>
                <w:sz w:val="24"/>
                <w:szCs w:val="24"/>
              </w:rPr>
              <w:t xml:space="preserve">could be cautiously done on a longer time-scale). </w:t>
            </w:r>
            <w:r>
              <w:rPr>
                <w:sz w:val="24"/>
                <w:szCs w:val="24"/>
              </w:rPr>
              <w:t xml:space="preserve">To address this issue, any </w:t>
            </w:r>
            <w:r w:rsidRPr="00D0787C">
              <w:rPr>
                <w:i/>
                <w:iCs/>
                <w:sz w:val="24"/>
                <w:szCs w:val="24"/>
              </w:rPr>
              <w:t>consultor</w:t>
            </w:r>
            <w:r>
              <w:rPr>
                <w:sz w:val="24"/>
                <w:szCs w:val="24"/>
              </w:rPr>
              <w:t xml:space="preserve"> would have to be able to provide strong evidence that </w:t>
            </w:r>
            <w:r>
              <w:rPr>
                <w:sz w:val="24"/>
                <w:szCs w:val="24"/>
              </w:rPr>
              <w:t xml:space="preserve">stakeholders had not been unduly affected by the reduced time available for </w:t>
            </w:r>
            <w:r>
              <w:rPr>
                <w:sz w:val="24"/>
                <w:szCs w:val="24"/>
              </w:rPr>
              <w:t>responses.</w:t>
            </w:r>
          </w:p>
        </w:tc>
      </w:tr>
      <w:tr w:rsidTr="00A065C3">
        <w:tblPrEx>
          <w:tblW w:w="9094" w:type="dxa"/>
          <w:tblLook w:val="04A0"/>
        </w:tblPrEx>
        <w:tc>
          <w:tcPr>
            <w:tcW w:w="885" w:type="dxa"/>
          </w:tcPr>
          <w:p w:rsidR="007663A2" w:rsidRPr="00D614A2" w:rsidP="00D85445">
            <w:pPr>
              <w:jc w:val="both"/>
              <w:rPr>
                <w:sz w:val="24"/>
                <w:szCs w:val="24"/>
              </w:rPr>
            </w:pPr>
          </w:p>
        </w:tc>
        <w:tc>
          <w:tcPr>
            <w:tcW w:w="8209" w:type="dxa"/>
          </w:tcPr>
          <w:p w:rsidR="007663A2" w:rsidRPr="00D614A2" w:rsidP="00D85445">
            <w:pPr>
              <w:jc w:val="both"/>
              <w:rPr>
                <w:sz w:val="24"/>
                <w:szCs w:val="24"/>
              </w:rPr>
            </w:pPr>
          </w:p>
        </w:tc>
      </w:tr>
      <w:tr w:rsidTr="00A065C3">
        <w:tblPrEx>
          <w:tblW w:w="9094" w:type="dxa"/>
          <w:tblLook w:val="04A0"/>
        </w:tblPrEx>
        <w:tc>
          <w:tcPr>
            <w:tcW w:w="885" w:type="dxa"/>
          </w:tcPr>
          <w:p w:rsidR="007663A2" w:rsidRPr="00D614A2" w:rsidP="00D85445">
            <w:pPr>
              <w:jc w:val="both"/>
              <w:rPr>
                <w:sz w:val="24"/>
                <w:szCs w:val="24"/>
              </w:rPr>
            </w:pPr>
            <w:r>
              <w:rPr>
                <w:sz w:val="24"/>
                <w:szCs w:val="24"/>
              </w:rPr>
              <w:t>3.1.1.5</w:t>
            </w:r>
          </w:p>
        </w:tc>
        <w:tc>
          <w:tcPr>
            <w:tcW w:w="8209" w:type="dxa"/>
          </w:tcPr>
          <w:p w:rsidR="007663A2" w:rsidRPr="00D614A2" w:rsidP="00D85445">
            <w:pPr>
              <w:jc w:val="both"/>
              <w:rPr>
                <w:sz w:val="24"/>
                <w:szCs w:val="24"/>
              </w:rPr>
            </w:pPr>
            <w:r>
              <w:rPr>
                <w:sz w:val="24"/>
                <w:szCs w:val="24"/>
              </w:rPr>
              <w:t>How the courts will approach administrational issues directly related to the coronavirus crisis</w:t>
            </w:r>
            <w:r>
              <w:rPr>
                <w:sz w:val="24"/>
                <w:szCs w:val="24"/>
              </w:rPr>
              <w:t xml:space="preserve"> remains </w:t>
            </w:r>
            <w:r>
              <w:rPr>
                <w:sz w:val="24"/>
                <w:szCs w:val="24"/>
              </w:rPr>
              <w:t>unclear</w:t>
            </w:r>
            <w:r>
              <w:rPr>
                <w:sz w:val="24"/>
                <w:szCs w:val="24"/>
              </w:rPr>
              <w:t xml:space="preserve"> but they are unlikel</w:t>
            </w:r>
            <w:r>
              <w:rPr>
                <w:sz w:val="24"/>
                <w:szCs w:val="24"/>
              </w:rPr>
              <w:t>y to tolerate out-and-out breac</w:t>
            </w:r>
            <w:r>
              <w:rPr>
                <w:sz w:val="24"/>
                <w:szCs w:val="24"/>
              </w:rPr>
              <w:t xml:space="preserve">hes of the rules. Those consulting, even under the current strenuous circumstances, must make all best </w:t>
            </w:r>
            <w:r>
              <w:rPr>
                <w:sz w:val="24"/>
                <w:szCs w:val="24"/>
              </w:rPr>
              <w:t>efforts</w:t>
            </w:r>
            <w:r>
              <w:rPr>
                <w:sz w:val="24"/>
                <w:szCs w:val="24"/>
              </w:rPr>
              <w:t xml:space="preserve"> to abide to both the letter and the spirit of the law however </w:t>
            </w:r>
            <w:r>
              <w:rPr>
                <w:sz w:val="24"/>
                <w:szCs w:val="24"/>
              </w:rPr>
              <w:t>difficult this is. Public bodies should also be cautious in their engagement exerci</w:t>
            </w:r>
            <w:r>
              <w:rPr>
                <w:sz w:val="24"/>
                <w:szCs w:val="24"/>
              </w:rPr>
              <w:t>ses. Although some forms of engagement do not fall under the same legal regime as consultation</w:t>
            </w:r>
            <w:r>
              <w:rPr>
                <w:sz w:val="24"/>
                <w:szCs w:val="24"/>
              </w:rPr>
              <w:t xml:space="preserve">, some exercises may stray sufficiently far to </w:t>
            </w:r>
            <w:r>
              <w:rPr>
                <w:sz w:val="24"/>
                <w:szCs w:val="24"/>
              </w:rPr>
              <w:t>be construed as consultations and therefore be brought under a more rigorous legal regime.</w:t>
            </w:r>
          </w:p>
        </w:tc>
      </w:tr>
      <w:tr w:rsidTr="00A065C3">
        <w:tblPrEx>
          <w:tblW w:w="9094" w:type="dxa"/>
          <w:tblLook w:val="04A0"/>
        </w:tblPrEx>
        <w:tc>
          <w:tcPr>
            <w:tcW w:w="885" w:type="dxa"/>
          </w:tcPr>
          <w:p w:rsidR="00512394" w:rsidP="00D85445">
            <w:pPr>
              <w:jc w:val="both"/>
              <w:rPr>
                <w:sz w:val="24"/>
                <w:szCs w:val="24"/>
              </w:rPr>
            </w:pPr>
          </w:p>
        </w:tc>
        <w:tc>
          <w:tcPr>
            <w:tcW w:w="8209" w:type="dxa"/>
          </w:tcPr>
          <w:p w:rsidR="00512394" w:rsidP="00D85445">
            <w:pPr>
              <w:jc w:val="both"/>
              <w:rPr>
                <w:sz w:val="24"/>
                <w:szCs w:val="24"/>
              </w:rPr>
            </w:pPr>
          </w:p>
        </w:tc>
      </w:tr>
      <w:tr w:rsidTr="00A065C3">
        <w:tblPrEx>
          <w:tblW w:w="9094" w:type="dxa"/>
          <w:tblLook w:val="04A0"/>
        </w:tblPrEx>
        <w:tc>
          <w:tcPr>
            <w:tcW w:w="885" w:type="dxa"/>
          </w:tcPr>
          <w:p w:rsidR="001F3CE0" w:rsidRPr="00F023BB" w:rsidP="00D85445">
            <w:pPr>
              <w:jc w:val="both"/>
              <w:rPr>
                <w:i/>
                <w:iCs/>
                <w:sz w:val="24"/>
                <w:szCs w:val="24"/>
              </w:rPr>
            </w:pPr>
            <w:r>
              <w:rPr>
                <w:i/>
                <w:iCs/>
                <w:sz w:val="24"/>
                <w:szCs w:val="24"/>
              </w:rPr>
              <w:t>3</w:t>
            </w:r>
            <w:r w:rsidRPr="00F023BB">
              <w:rPr>
                <w:i/>
                <w:iCs/>
                <w:sz w:val="24"/>
                <w:szCs w:val="24"/>
              </w:rPr>
              <w:t>.</w:t>
            </w:r>
            <w:r w:rsidRPr="00F023BB">
              <w:rPr>
                <w:i/>
                <w:iCs/>
                <w:sz w:val="24"/>
                <w:szCs w:val="24"/>
              </w:rPr>
              <w:t>1.2</w:t>
            </w:r>
          </w:p>
        </w:tc>
        <w:tc>
          <w:tcPr>
            <w:tcW w:w="8209" w:type="dxa"/>
          </w:tcPr>
          <w:p w:rsidR="001F3CE0" w:rsidRPr="00F023BB" w:rsidP="00D85445">
            <w:pPr>
              <w:jc w:val="both"/>
              <w:rPr>
                <w:i/>
                <w:iCs/>
                <w:sz w:val="24"/>
                <w:szCs w:val="24"/>
              </w:rPr>
            </w:pPr>
            <w:r>
              <w:rPr>
                <w:i/>
                <w:iCs/>
                <w:sz w:val="24"/>
                <w:szCs w:val="24"/>
              </w:rPr>
              <w:t>Operational</w:t>
            </w:r>
          </w:p>
        </w:tc>
      </w:tr>
      <w:tr w:rsidTr="00A065C3">
        <w:tblPrEx>
          <w:tblW w:w="9094" w:type="dxa"/>
          <w:tblLook w:val="04A0"/>
        </w:tblPrEx>
        <w:tc>
          <w:tcPr>
            <w:tcW w:w="885" w:type="dxa"/>
          </w:tcPr>
          <w:p w:rsidR="001F3CE0" w:rsidP="00D85445">
            <w:pPr>
              <w:jc w:val="both"/>
              <w:rPr>
                <w:sz w:val="24"/>
                <w:szCs w:val="24"/>
              </w:rPr>
            </w:pPr>
            <w:r>
              <w:rPr>
                <w:sz w:val="24"/>
                <w:szCs w:val="24"/>
              </w:rPr>
              <w:t>3</w:t>
            </w:r>
            <w:r>
              <w:rPr>
                <w:sz w:val="24"/>
                <w:szCs w:val="24"/>
              </w:rPr>
              <w:t>.1.2.1</w:t>
            </w:r>
          </w:p>
        </w:tc>
        <w:tc>
          <w:tcPr>
            <w:tcW w:w="8209" w:type="dxa"/>
          </w:tcPr>
          <w:p w:rsidR="001F3CE0" w:rsidP="00D85445">
            <w:pPr>
              <w:jc w:val="both"/>
              <w:rPr>
                <w:sz w:val="24"/>
                <w:szCs w:val="24"/>
              </w:rPr>
            </w:pPr>
            <w:r>
              <w:rPr>
                <w:sz w:val="24"/>
                <w:szCs w:val="24"/>
              </w:rPr>
              <w:t xml:space="preserve">One of the major challenges </w:t>
            </w:r>
            <w:r>
              <w:rPr>
                <w:sz w:val="24"/>
                <w:szCs w:val="24"/>
              </w:rPr>
              <w:t>at the moment</w:t>
            </w:r>
            <w:r>
              <w:rPr>
                <w:sz w:val="24"/>
                <w:szCs w:val="24"/>
              </w:rPr>
              <w:t xml:space="preserve"> is how to effectively engage with consultees. We suspect this is one of the major reasons the government has been undertaking much more limited consultation with representative bodies, rather than with more </w:t>
            </w:r>
            <w:r>
              <w:rPr>
                <w:sz w:val="24"/>
                <w:szCs w:val="24"/>
              </w:rPr>
              <w:t>diverse groups and stakeholders.</w:t>
            </w:r>
          </w:p>
        </w:tc>
      </w:tr>
      <w:tr w:rsidTr="00A065C3">
        <w:tblPrEx>
          <w:tblW w:w="9094" w:type="dxa"/>
          <w:tblLook w:val="04A0"/>
        </w:tblPrEx>
        <w:tc>
          <w:tcPr>
            <w:tcW w:w="885" w:type="dxa"/>
          </w:tcPr>
          <w:p w:rsidR="001F3CE0" w:rsidP="00D85445">
            <w:pPr>
              <w:jc w:val="both"/>
              <w:rPr>
                <w:sz w:val="24"/>
                <w:szCs w:val="24"/>
              </w:rPr>
            </w:pPr>
          </w:p>
        </w:tc>
        <w:tc>
          <w:tcPr>
            <w:tcW w:w="8209" w:type="dxa"/>
          </w:tcPr>
          <w:p w:rsidR="001F3CE0" w:rsidP="00D85445">
            <w:pPr>
              <w:jc w:val="both"/>
              <w:rPr>
                <w:sz w:val="24"/>
                <w:szCs w:val="24"/>
              </w:rPr>
            </w:pPr>
          </w:p>
        </w:tc>
      </w:tr>
      <w:tr w:rsidTr="00A065C3">
        <w:tblPrEx>
          <w:tblW w:w="9094" w:type="dxa"/>
          <w:tblLook w:val="04A0"/>
        </w:tblPrEx>
        <w:tc>
          <w:tcPr>
            <w:tcW w:w="885" w:type="dxa"/>
          </w:tcPr>
          <w:p w:rsidR="001F3CE0" w:rsidP="00D85445">
            <w:pPr>
              <w:jc w:val="both"/>
              <w:rPr>
                <w:sz w:val="24"/>
                <w:szCs w:val="24"/>
              </w:rPr>
            </w:pPr>
            <w:r>
              <w:rPr>
                <w:sz w:val="24"/>
                <w:szCs w:val="24"/>
              </w:rPr>
              <w:t>3</w:t>
            </w:r>
            <w:r>
              <w:rPr>
                <w:sz w:val="24"/>
                <w:szCs w:val="24"/>
              </w:rPr>
              <w:t>.1.2.2</w:t>
            </w:r>
          </w:p>
        </w:tc>
        <w:tc>
          <w:tcPr>
            <w:tcW w:w="8209" w:type="dxa"/>
          </w:tcPr>
          <w:p w:rsidR="001F3CE0" w:rsidP="00D85445">
            <w:pPr>
              <w:jc w:val="both"/>
              <w:rPr>
                <w:sz w:val="24"/>
                <w:szCs w:val="24"/>
              </w:rPr>
            </w:pPr>
            <w:r>
              <w:rPr>
                <w:sz w:val="24"/>
                <w:szCs w:val="24"/>
              </w:rPr>
              <w:t xml:space="preserve">The present circumstances largely preclude in-person events and meetings, </w:t>
            </w:r>
            <w:r>
              <w:rPr>
                <w:sz w:val="24"/>
                <w:szCs w:val="24"/>
              </w:rPr>
              <w:t xml:space="preserve">but the proliferation of digital technologies and the increasing outreach of internet access and </w:t>
            </w:r>
            <w:r>
              <w:rPr>
                <w:sz w:val="24"/>
                <w:szCs w:val="24"/>
              </w:rPr>
              <w:t>online platforms are making it easier than ever to reach out to diverse stakeholders</w:t>
            </w:r>
            <w:r>
              <w:rPr>
                <w:sz w:val="24"/>
                <w:szCs w:val="24"/>
              </w:rPr>
              <w:t>, and we have been recommending many of these methods as ways to take consu</w:t>
            </w:r>
            <w:r>
              <w:rPr>
                <w:sz w:val="24"/>
                <w:szCs w:val="24"/>
              </w:rPr>
              <w:t>ltation responsibilities seriously and collate useful information.</w:t>
            </w:r>
          </w:p>
        </w:tc>
      </w:tr>
      <w:tr w:rsidTr="00A065C3">
        <w:tblPrEx>
          <w:tblW w:w="9094" w:type="dxa"/>
          <w:tblLook w:val="04A0"/>
        </w:tblPrEx>
        <w:tc>
          <w:tcPr>
            <w:tcW w:w="885" w:type="dxa"/>
          </w:tcPr>
          <w:p w:rsidR="001F3CE0" w:rsidP="00D85445">
            <w:pPr>
              <w:jc w:val="both"/>
              <w:rPr>
                <w:sz w:val="24"/>
                <w:szCs w:val="24"/>
              </w:rPr>
            </w:pPr>
          </w:p>
        </w:tc>
        <w:tc>
          <w:tcPr>
            <w:tcW w:w="8209" w:type="dxa"/>
          </w:tcPr>
          <w:p w:rsidR="001F3CE0" w:rsidP="00D85445">
            <w:pPr>
              <w:jc w:val="both"/>
              <w:rPr>
                <w:sz w:val="24"/>
                <w:szCs w:val="24"/>
              </w:rPr>
            </w:pPr>
          </w:p>
        </w:tc>
      </w:tr>
      <w:tr w:rsidTr="00A065C3">
        <w:tblPrEx>
          <w:tblW w:w="9094" w:type="dxa"/>
          <w:tblLook w:val="04A0"/>
        </w:tblPrEx>
        <w:tc>
          <w:tcPr>
            <w:tcW w:w="885" w:type="dxa"/>
          </w:tcPr>
          <w:p w:rsidR="001F3CE0" w:rsidP="00D85445">
            <w:pPr>
              <w:jc w:val="both"/>
              <w:rPr>
                <w:sz w:val="24"/>
                <w:szCs w:val="24"/>
              </w:rPr>
            </w:pPr>
            <w:r>
              <w:rPr>
                <w:sz w:val="24"/>
                <w:szCs w:val="24"/>
              </w:rPr>
              <w:t>3</w:t>
            </w:r>
            <w:r>
              <w:rPr>
                <w:sz w:val="24"/>
                <w:szCs w:val="24"/>
              </w:rPr>
              <w:t>.1.2.3</w:t>
            </w:r>
          </w:p>
        </w:tc>
        <w:tc>
          <w:tcPr>
            <w:tcW w:w="8209" w:type="dxa"/>
          </w:tcPr>
          <w:p w:rsidR="001F3CE0" w:rsidP="00D85445">
            <w:pPr>
              <w:jc w:val="both"/>
              <w:rPr>
                <w:sz w:val="24"/>
                <w:szCs w:val="24"/>
              </w:rPr>
            </w:pPr>
            <w:r>
              <w:rPr>
                <w:sz w:val="24"/>
                <w:szCs w:val="24"/>
              </w:rPr>
              <w:t>For those who are not digitally engaged, the “seldom online”, telephone</w:t>
            </w:r>
            <w:r>
              <w:rPr>
                <w:sz w:val="24"/>
                <w:szCs w:val="24"/>
              </w:rPr>
              <w:t xml:space="preserve"> conversations remain the primary means of access, or for longer duration consultations, </w:t>
            </w:r>
            <w:r>
              <w:rPr>
                <w:sz w:val="24"/>
                <w:szCs w:val="24"/>
              </w:rPr>
              <w:t xml:space="preserve">letters may also </w:t>
            </w:r>
            <w:r>
              <w:rPr>
                <w:sz w:val="24"/>
                <w:szCs w:val="24"/>
              </w:rPr>
              <w:t>be effective.</w:t>
            </w:r>
          </w:p>
        </w:tc>
      </w:tr>
      <w:tr w:rsidTr="00A065C3">
        <w:tblPrEx>
          <w:tblW w:w="9094" w:type="dxa"/>
          <w:tblLook w:val="04A0"/>
        </w:tblPrEx>
        <w:tc>
          <w:tcPr>
            <w:tcW w:w="885" w:type="dxa"/>
          </w:tcPr>
          <w:p w:rsidR="001F3CE0" w:rsidP="00D85445">
            <w:pPr>
              <w:jc w:val="both"/>
              <w:rPr>
                <w:sz w:val="24"/>
                <w:szCs w:val="24"/>
              </w:rPr>
            </w:pPr>
          </w:p>
        </w:tc>
        <w:tc>
          <w:tcPr>
            <w:tcW w:w="8209" w:type="dxa"/>
          </w:tcPr>
          <w:p w:rsidR="001F3CE0" w:rsidP="00D85445">
            <w:pPr>
              <w:jc w:val="both"/>
              <w:rPr>
                <w:sz w:val="24"/>
                <w:szCs w:val="24"/>
              </w:rPr>
            </w:pPr>
          </w:p>
        </w:tc>
      </w:tr>
      <w:tr w:rsidTr="00A065C3">
        <w:tblPrEx>
          <w:tblW w:w="9094" w:type="dxa"/>
          <w:tblLook w:val="04A0"/>
        </w:tblPrEx>
        <w:tc>
          <w:tcPr>
            <w:tcW w:w="885" w:type="dxa"/>
          </w:tcPr>
          <w:p w:rsidR="00512394" w:rsidRPr="009264F0" w:rsidP="00D85445">
            <w:pPr>
              <w:jc w:val="both"/>
              <w:rPr>
                <w:b/>
                <w:bCs/>
                <w:sz w:val="24"/>
                <w:szCs w:val="24"/>
              </w:rPr>
            </w:pPr>
            <w:r>
              <w:rPr>
                <w:b/>
                <w:bCs/>
                <w:sz w:val="24"/>
                <w:szCs w:val="24"/>
              </w:rPr>
              <w:t>4.</w:t>
            </w:r>
          </w:p>
        </w:tc>
        <w:tc>
          <w:tcPr>
            <w:tcW w:w="8209" w:type="dxa"/>
          </w:tcPr>
          <w:p w:rsidR="00512394" w:rsidRPr="009264F0" w:rsidP="00D85445">
            <w:pPr>
              <w:jc w:val="both"/>
              <w:rPr>
                <w:b/>
                <w:bCs/>
                <w:sz w:val="24"/>
                <w:szCs w:val="24"/>
              </w:rPr>
            </w:pPr>
            <w:r w:rsidRPr="009264F0">
              <w:rPr>
                <w:b/>
                <w:bCs/>
                <w:sz w:val="24"/>
                <w:szCs w:val="24"/>
              </w:rPr>
              <w:t>Conclusions</w:t>
            </w:r>
          </w:p>
        </w:tc>
      </w:tr>
      <w:tr w:rsidTr="00A065C3">
        <w:tblPrEx>
          <w:tblW w:w="9094" w:type="dxa"/>
          <w:tblLook w:val="04A0"/>
        </w:tblPrEx>
        <w:tc>
          <w:tcPr>
            <w:tcW w:w="885" w:type="dxa"/>
          </w:tcPr>
          <w:p w:rsidR="00512394" w:rsidP="00D85445">
            <w:pPr>
              <w:jc w:val="both"/>
              <w:rPr>
                <w:sz w:val="24"/>
                <w:szCs w:val="24"/>
              </w:rPr>
            </w:pPr>
            <w:r>
              <w:rPr>
                <w:sz w:val="24"/>
                <w:szCs w:val="24"/>
              </w:rPr>
              <w:t>4.1</w:t>
            </w:r>
          </w:p>
        </w:tc>
        <w:tc>
          <w:tcPr>
            <w:tcW w:w="8209" w:type="dxa"/>
          </w:tcPr>
          <w:p w:rsidR="00512394" w:rsidP="00D85445">
            <w:pPr>
              <w:jc w:val="both"/>
              <w:rPr>
                <w:sz w:val="24"/>
                <w:szCs w:val="24"/>
              </w:rPr>
            </w:pPr>
            <w:r w:rsidRPr="003662A3">
              <w:rPr>
                <w:sz w:val="24"/>
                <w:szCs w:val="24"/>
              </w:rPr>
              <w:t>Although the process must be primarily led by medical and scientific evidence, it is our belief that a far more consultative approach should be being taken to the continuation and exiting of lockdown. Although the need</w:t>
            </w:r>
            <w:r w:rsidRPr="003662A3">
              <w:rPr>
                <w:sz w:val="24"/>
                <w:szCs w:val="24"/>
              </w:rPr>
              <w:t xml:space="preserve"> for responsive policy and law-making might preclude a traditional full-length consultation process, different parts of the governmental apparatus have been using truncated consultations, such as that advocated by the Institute, which whilst they may not m</w:t>
            </w:r>
            <w:r w:rsidRPr="003662A3">
              <w:rPr>
                <w:sz w:val="24"/>
                <w:szCs w:val="24"/>
              </w:rPr>
              <w:t>eet absolute best practice requirements allow for valuable input from stakeholders. We are advocating for this to be a three-week process, broadly divided into three phases: preparation, listening/data gathering and analysis to decision.</w:t>
            </w:r>
          </w:p>
        </w:tc>
      </w:tr>
      <w:tr w:rsidTr="00A065C3">
        <w:tblPrEx>
          <w:tblW w:w="9094" w:type="dxa"/>
          <w:tblLook w:val="04A0"/>
        </w:tblPrEx>
        <w:tc>
          <w:tcPr>
            <w:tcW w:w="885" w:type="dxa"/>
          </w:tcPr>
          <w:p w:rsidR="00512394" w:rsidP="00D85445">
            <w:pPr>
              <w:jc w:val="both"/>
              <w:rPr>
                <w:sz w:val="24"/>
                <w:szCs w:val="24"/>
              </w:rPr>
            </w:pPr>
          </w:p>
        </w:tc>
        <w:tc>
          <w:tcPr>
            <w:tcW w:w="8209" w:type="dxa"/>
          </w:tcPr>
          <w:p w:rsidR="00512394" w:rsidP="00D85445">
            <w:pPr>
              <w:jc w:val="both"/>
              <w:rPr>
                <w:sz w:val="24"/>
                <w:szCs w:val="24"/>
              </w:rPr>
            </w:pPr>
          </w:p>
        </w:tc>
      </w:tr>
      <w:tr w:rsidTr="00A065C3">
        <w:tblPrEx>
          <w:tblW w:w="9094" w:type="dxa"/>
          <w:tblLook w:val="04A0"/>
        </w:tblPrEx>
        <w:tc>
          <w:tcPr>
            <w:tcW w:w="885" w:type="dxa"/>
          </w:tcPr>
          <w:p w:rsidR="00512394" w:rsidP="00D85445">
            <w:pPr>
              <w:jc w:val="both"/>
              <w:rPr>
                <w:sz w:val="24"/>
                <w:szCs w:val="24"/>
              </w:rPr>
            </w:pPr>
            <w:r>
              <w:rPr>
                <w:sz w:val="24"/>
                <w:szCs w:val="24"/>
              </w:rPr>
              <w:t>4.2</w:t>
            </w:r>
          </w:p>
        </w:tc>
        <w:tc>
          <w:tcPr>
            <w:tcW w:w="8209" w:type="dxa"/>
          </w:tcPr>
          <w:p w:rsidR="00512394" w:rsidP="00D85445">
            <w:pPr>
              <w:jc w:val="both"/>
              <w:rPr>
                <w:sz w:val="24"/>
                <w:szCs w:val="24"/>
              </w:rPr>
            </w:pPr>
            <w:r>
              <w:rPr>
                <w:sz w:val="24"/>
                <w:szCs w:val="24"/>
              </w:rPr>
              <w:t xml:space="preserve">The need for consultation and engagement has never been more acute, both from the standpoints of the quality of public administration and </w:t>
            </w:r>
            <w:r>
              <w:rPr>
                <w:sz w:val="24"/>
                <w:szCs w:val="24"/>
              </w:rPr>
              <w:t>from political expediency for the government. The implementation of not only national but local consultation to inform</w:t>
            </w:r>
            <w:r>
              <w:rPr>
                <w:sz w:val="24"/>
                <w:szCs w:val="24"/>
              </w:rPr>
              <w:t xml:space="preserve"> decision-making will become ever more important, particularly if the government proceeds to implement their localised lockdown plans.</w:t>
            </w:r>
          </w:p>
        </w:tc>
      </w:tr>
    </w:tbl>
    <w:p w:rsidR="00343FB8" w:rsidRPr="00CB7FF8" w:rsidP="00A022E0">
      <w:pPr>
        <w:jc w:val="both"/>
        <w:rPr>
          <w:i/>
          <w:iCs/>
          <w:sz w:val="24"/>
          <w:szCs w:val="24"/>
        </w:rPr>
      </w:pPr>
      <w:r>
        <w:rPr>
          <w:sz w:val="24"/>
          <w:szCs w:val="24"/>
        </w:rPr>
        <w:br/>
      </w:r>
      <w:bookmarkStart w:id="0" w:name="_GoBack"/>
      <w:r w:rsidRPr="00CB7FF8">
        <w:rPr>
          <w:i/>
          <w:iCs/>
          <w:sz w:val="24"/>
          <w:szCs w:val="24"/>
        </w:rPr>
        <w:t>June 2020</w:t>
      </w:r>
      <w:bookmarkEnd w:id="0"/>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190601"/>
    <w:multiLevelType w:val="hybridMultilevel"/>
    <w:tmpl w:val="C0EEE9A2"/>
    <w:lvl w:ilvl="0">
      <w:start w:val="1"/>
      <w:numFmt w:val="lowerLetter"/>
      <w:lvlText w:val="%1."/>
      <w:lvlJc w:val="lef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1">
    <w:nsid w:val="1FAC511D"/>
    <w:multiLevelType w:val="hybridMultilevel"/>
    <w:tmpl w:val="3D183C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B74293E"/>
    <w:multiLevelType w:val="hybridMultilevel"/>
    <w:tmpl w:val="C0EEE9A2"/>
    <w:lvl w:ilvl="0">
      <w:start w:val="1"/>
      <w:numFmt w:val="lowerLetter"/>
      <w:lvlText w:val="%1."/>
      <w:lvlJc w:val="lef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3">
    <w:nsid w:val="3A021B6D"/>
    <w:multiLevelType w:val="hybridMultilevel"/>
    <w:tmpl w:val="A0766FD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FB51B4F"/>
    <w:multiLevelType w:val="hybridMultilevel"/>
    <w:tmpl w:val="DB32BB2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BE6087F"/>
    <w:multiLevelType w:val="hybridMultilevel"/>
    <w:tmpl w:val="1BC6D7A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7A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C7A92"/>
    <w:pPr>
      <w:ind w:left="720"/>
      <w:contextualSpacing/>
    </w:pPr>
  </w:style>
  <w:style w:type="paragraph" w:styleId="BalloonText">
    <w:name w:val="Balloon Text"/>
    <w:basedOn w:val="Normal"/>
    <w:link w:val="BalloonTextChar"/>
    <w:uiPriority w:val="99"/>
    <w:semiHidden/>
    <w:unhideWhenUsed/>
    <w:rsid w:val="006932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23B"/>
    <w:rPr>
      <w:rFonts w:ascii="Segoe UI" w:hAnsi="Segoe UI" w:cs="Segoe UI"/>
      <w:sz w:val="18"/>
      <w:szCs w:val="18"/>
    </w:rPr>
  </w:style>
  <w:style w:type="paragraph" w:customStyle="1" w:styleId="paragraph">
    <w:name w:val="paragraph"/>
    <w:basedOn w:val="Normal"/>
    <w:rsid w:val="00D302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3029A"/>
  </w:style>
  <w:style w:type="character" w:customStyle="1" w:styleId="eop">
    <w:name w:val="eop"/>
    <w:basedOn w:val="DefaultParagraphFont"/>
    <w:rsid w:val="00D3029A"/>
  </w:style>
  <w:style w:type="table" w:styleId="TableGrid">
    <w:name w:val="Table Grid"/>
    <w:basedOn w:val="TableNormal"/>
    <w:uiPriority w:val="39"/>
    <w:rsid w:val="00512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4E16CBFC5A88449C420F14BA9C9B38" ma:contentTypeVersion="4" ma:contentTypeDescription="Create a new document." ma:contentTypeScope="" ma:versionID="e37d509f85fed8020ddea494b8b3e6b7">
  <xsd:schema xmlns:xsd="http://www.w3.org/2001/XMLSchema" xmlns:xs="http://www.w3.org/2001/XMLSchema" xmlns:p="http://schemas.microsoft.com/office/2006/metadata/properties" xmlns:ns3="ae8ebb53-c2c9-45b4-ab41-09042d186903" targetNamespace="http://schemas.microsoft.com/office/2006/metadata/properties" ma:root="true" ma:fieldsID="21797a3edda2cbd03948b710ac40f923" ns3:_="">
    <xsd:import namespace="ae8ebb53-c2c9-45b4-ab41-09042d18690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ebb53-c2c9-45b4-ab41-09042d186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A5C96-DD6F-4338-9631-8899091A6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ebb53-c2c9-45b4-ab41-09042d186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CDCA7F-82FE-4CDA-AAFF-06070BCEE274}">
  <ds:schemaRefs>
    <ds:schemaRef ds:uri="http://schemas.microsoft.com/sharepoint/v3/contenttype/forms"/>
  </ds:schemaRefs>
</ds:datastoreItem>
</file>

<file path=customXml/itemProps3.xml><?xml version="1.0" encoding="utf-8"?>
<ds:datastoreItem xmlns:ds="http://schemas.openxmlformats.org/officeDocument/2006/customXml" ds:itemID="{29800635-39B8-4E07-82AF-A6D8F1714AA4}">
  <ds:schemaRefs>
    <ds:schemaRef ds:uri="http://purl.org/dc/dcmitype/"/>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ae8ebb53-c2c9-45b4-ab41-09042d186903"/>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