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0051E">
      <w:pPr>
        <w:pStyle w:val="xmsonormal"/>
        <w:jc w:val="center"/>
        <w:rPr>
          <w:rFonts w:ascii="Times New Roman" w:hAnsi="Times New Roman" w:cs="Times New Roman"/>
          <w:b/>
          <w:bCs/>
          <w:sz w:val="24"/>
          <w:szCs w:val="24"/>
        </w:rPr>
      </w:pPr>
      <w:r>
        <w:rPr>
          <w:rFonts w:ascii="Times New Roman" w:hAnsi="Times New Roman" w:cs="Times New Roman"/>
          <w:b/>
          <w:bCs/>
          <w:sz w:val="24"/>
          <w:szCs w:val="24"/>
        </w:rPr>
        <w:t>Written evidence submitted by the Association of British Insurers (COV0001)</w:t>
      </w:r>
    </w:p>
    <w:p w:rsidR="0090051E">
      <w:pPr>
        <w:pStyle w:val="xmsonormal"/>
        <w:rPr>
          <w:rFonts w:ascii="Times New Roman" w:hAnsi="Times New Roman" w:cs="Times New Roman"/>
          <w:sz w:val="24"/>
          <w:szCs w:val="24"/>
        </w:rPr>
      </w:pPr>
      <w:r>
        <w:rPr>
          <w:rFonts w:ascii="Times New Roman" w:hAnsi="Times New Roman" w:cs="Times New Roman"/>
          <w:sz w:val="24"/>
          <w:szCs w:val="24"/>
        </w:rPr>
        <w:t> </w:t>
      </w:r>
    </w:p>
    <w:p w:rsidR="0090051E">
      <w:pPr>
        <w:pStyle w:val="xmsonormal"/>
      </w:pPr>
      <w:r>
        <w:rPr>
          <w:rFonts w:ascii="Times New Roman" w:hAnsi="Times New Roman" w:cs="Times New Roman"/>
          <w:b/>
          <w:bCs/>
          <w:sz w:val="24"/>
          <w:szCs w:val="24"/>
        </w:rPr>
        <w:t xml:space="preserve">Commercial insurance policies provide cover against a wide range of risks, that can be tailored to the needs of individual businesses, including extensions to </w:t>
      </w:r>
      <w:r>
        <w:rPr>
          <w:rFonts w:ascii="Times New Roman" w:hAnsi="Times New Roman" w:cs="Times New Roman"/>
          <w:b/>
          <w:bCs/>
          <w:sz w:val="24"/>
          <w:szCs w:val="24"/>
        </w:rPr>
        <w:t xml:space="preserve">cover. </w:t>
      </w:r>
      <w:bookmarkStart w:id="0" w:name="x__Hlk34986988"/>
      <w:r>
        <w:rPr>
          <w:rFonts w:ascii="Times New Roman" w:hAnsi="Times New Roman" w:cs="Times New Roman"/>
          <w:b/>
          <w:bCs/>
          <w:sz w:val="24"/>
          <w:szCs w:val="24"/>
        </w:rPr>
        <w:t>Businesses who are concerned about the impacts of COVID-19 should, in the first instance, check the scope of their cover, and check with their insurance adviser or broker. Standard business insurance policies are designed and priced to cover standar</w:t>
      </w:r>
      <w:r>
        <w:rPr>
          <w:rFonts w:ascii="Times New Roman" w:hAnsi="Times New Roman" w:cs="Times New Roman"/>
          <w:b/>
          <w:bCs/>
          <w:sz w:val="24"/>
          <w:szCs w:val="24"/>
        </w:rPr>
        <w:t>d risks and are therefore unlikely to provide cover for the effects of global pandemics like COVID-19</w:t>
      </w:r>
      <w:bookmarkEnd w:id="0"/>
      <w:r>
        <w:rPr>
          <w:rFonts w:ascii="Times New Roman" w:hAnsi="Times New Roman" w:cs="Times New Roman"/>
          <w:i/>
          <w:iCs/>
          <w:sz w:val="24"/>
          <w:szCs w:val="24"/>
        </w:rPr>
        <w:t xml:space="preserve">. </w:t>
      </w:r>
    </w:p>
    <w:p w:rsidR="0090051E">
      <w:pPr>
        <w:pStyle w:val="xmsolistparagraph"/>
        <w:numPr>
          <w:ilvl w:val="0"/>
          <w:numId w:val="1"/>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Insurance policies are tailored to the needs of the individual business. It is not a one size fits all approach, as the insurance needs of no two busine</w:t>
      </w:r>
      <w:r>
        <w:rPr>
          <w:rFonts w:ascii="Times New Roman" w:eastAsia="Times New Roman" w:hAnsi="Times New Roman" w:cs="Times New Roman"/>
          <w:sz w:val="24"/>
          <w:szCs w:val="24"/>
          <w:lang w:val="en-US"/>
        </w:rPr>
        <w:t xml:space="preserve">sses are the same. </w:t>
      </w:r>
    </w:p>
    <w:p w:rsidR="0090051E">
      <w:pPr>
        <w:pStyle w:val="xmsolistparagraph"/>
        <w:numPr>
          <w:ilvl w:val="0"/>
          <w:numId w:val="1"/>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 xml:space="preserve">A small number of businesses may have cover in place that will specifically provide for business interruption arising from notifiable diseases.  However, this type of extension is not commonly included as standard.  </w:t>
      </w:r>
    </w:p>
    <w:p w:rsidR="0090051E">
      <w:pPr>
        <w:pStyle w:val="xmsolistparagraph"/>
        <w:numPr>
          <w:ilvl w:val="0"/>
          <w:numId w:val="1"/>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Standard commercial</w:t>
      </w:r>
      <w:r>
        <w:rPr>
          <w:rFonts w:ascii="Times New Roman" w:eastAsia="Times New Roman" w:hAnsi="Times New Roman" w:cs="Times New Roman"/>
          <w:sz w:val="24"/>
          <w:szCs w:val="24"/>
          <w:lang w:val="en-US"/>
        </w:rPr>
        <w:t xml:space="preserve"> insurance policies provide cover against a wide range of risks, including damage caused by fire, flood, losses by theft, and the need for temporary trading premises in certain circumstances (following severe flood or fire).</w:t>
      </w:r>
    </w:p>
    <w:p w:rsidR="0090051E">
      <w:pPr>
        <w:pStyle w:val="xmsolistparagraph"/>
        <w:numPr>
          <w:ilvl w:val="0"/>
          <w:numId w:val="1"/>
        </w:numPr>
        <w:tabs>
          <w:tab w:val="left" w:pos="720"/>
        </w:tabs>
        <w:autoSpaceDE w:val="0"/>
        <w:spacing w:after="240" w:line="300" w:lineRule="atLeast"/>
        <w:ind w:left="1440" w:right="14"/>
      </w:pPr>
      <w:r>
        <w:rPr>
          <w:rFonts w:ascii="Times New Roman" w:eastAsia="Times New Roman" w:hAnsi="Times New Roman" w:cs="Times New Roman"/>
          <w:sz w:val="24"/>
          <w:szCs w:val="24"/>
          <w:lang w:val="en-US"/>
        </w:rPr>
        <w:t xml:space="preserve">An adviser or broker will work </w:t>
      </w:r>
      <w:r>
        <w:rPr>
          <w:rFonts w:ascii="Times New Roman" w:eastAsia="Times New Roman" w:hAnsi="Times New Roman" w:cs="Times New Roman"/>
          <w:sz w:val="24"/>
          <w:szCs w:val="24"/>
          <w:lang w:val="en-US"/>
        </w:rPr>
        <w:t>with the business and advise on the best policy to suit their need</w:t>
      </w:r>
      <w:r>
        <w:rPr>
          <w:rFonts w:ascii="Times New Roman" w:eastAsia="Times New Roman" w:hAnsi="Times New Roman" w:cs="Times New Roman"/>
          <w:b/>
          <w:bCs/>
          <w:sz w:val="24"/>
          <w:szCs w:val="24"/>
          <w:lang w:val="en-US"/>
        </w:rPr>
        <w:t>s</w:t>
      </w:r>
      <w:r>
        <w:rPr>
          <w:rFonts w:ascii="Times New Roman" w:eastAsia="Times New Roman" w:hAnsi="Times New Roman" w:cs="Times New Roman"/>
          <w:sz w:val="24"/>
          <w:szCs w:val="24"/>
          <w:lang w:val="en-US"/>
        </w:rPr>
        <w:t>. Some business may have cover in place that specifically provides cover for contingency business interruption arising from notifiable diseases, such as coronavirus, where their premises ha</w:t>
      </w:r>
      <w:r>
        <w:rPr>
          <w:rFonts w:ascii="Times New Roman" w:eastAsia="Times New Roman" w:hAnsi="Times New Roman" w:cs="Times New Roman"/>
          <w:sz w:val="24"/>
          <w:szCs w:val="24"/>
          <w:lang w:val="en-US"/>
        </w:rPr>
        <w:t xml:space="preserve">ve been contaminated, but this is not common. </w:t>
      </w:r>
    </w:p>
    <w:p w:rsidR="0090051E">
      <w:pPr>
        <w:pStyle w:val="xmsonormal"/>
      </w:pPr>
      <w:r>
        <w:rPr>
          <w:rFonts w:ascii="Times New Roman" w:hAnsi="Times New Roman" w:cs="Times New Roman"/>
          <w:b/>
          <w:bCs/>
          <w:sz w:val="24"/>
          <w:szCs w:val="24"/>
          <w:u w:val="single"/>
        </w:rPr>
        <w:t>Business Interruption</w:t>
      </w:r>
    </w:p>
    <w:p w:rsidR="0090051E">
      <w:pPr>
        <w:pStyle w:val="xmsolistparagraph"/>
        <w:numPr>
          <w:ilvl w:val="0"/>
          <w:numId w:val="2"/>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 xml:space="preserve">Business interruption insurance covers a business for loss of income during periods when it cannot carry out business as usual due to an unexpected event.  It aims to put the </w:t>
      </w:r>
      <w:r>
        <w:rPr>
          <w:rFonts w:ascii="Times New Roman" w:eastAsia="Times New Roman" w:hAnsi="Times New Roman" w:cs="Times New Roman"/>
          <w:sz w:val="24"/>
          <w:szCs w:val="24"/>
          <w:lang w:val="en-US"/>
        </w:rPr>
        <w:t>business back in the same trading position it was in before the event occurred. The insurer will compensate the business for any shortfall in profits and any increased costs of running the business as the result of the event.</w:t>
      </w:r>
    </w:p>
    <w:p w:rsidR="0090051E">
      <w:pPr>
        <w:pStyle w:val="xmsolistparagraph"/>
        <w:numPr>
          <w:ilvl w:val="0"/>
          <w:numId w:val="2"/>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Most policies will provide cov</w:t>
      </w:r>
      <w:r>
        <w:rPr>
          <w:rFonts w:ascii="Times New Roman" w:eastAsia="Times New Roman" w:hAnsi="Times New Roman" w:cs="Times New Roman"/>
          <w:sz w:val="24"/>
          <w:szCs w:val="24"/>
          <w:lang w:val="en-US"/>
        </w:rPr>
        <w:t xml:space="preserve">er should damage be caused to the premises or equipment by a named peril, such as a fire, </w:t>
      </w:r>
      <w:r>
        <w:rPr>
          <w:rFonts w:ascii="Times New Roman" w:eastAsia="Times New Roman" w:hAnsi="Times New Roman" w:cs="Times New Roman"/>
          <w:sz w:val="24"/>
          <w:szCs w:val="24"/>
          <w:lang w:val="en-US"/>
        </w:rPr>
        <w:t>flood</w:t>
      </w:r>
      <w:r>
        <w:rPr>
          <w:rFonts w:ascii="Times New Roman" w:eastAsia="Times New Roman" w:hAnsi="Times New Roman" w:cs="Times New Roman"/>
          <w:sz w:val="24"/>
          <w:szCs w:val="24"/>
          <w:lang w:val="en-US"/>
        </w:rPr>
        <w:t xml:space="preserve"> or storm, and also often for the breakdown of essential equipment.</w:t>
      </w:r>
    </w:p>
    <w:p w:rsidR="0090051E">
      <w:pPr>
        <w:pStyle w:val="xmsolistparagraph"/>
        <w:numPr>
          <w:ilvl w:val="0"/>
          <w:numId w:val="2"/>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Some policies may also cover business interruption as a result of people not being able to ac</w:t>
      </w:r>
      <w:r>
        <w:rPr>
          <w:rFonts w:ascii="Times New Roman" w:eastAsia="Times New Roman" w:hAnsi="Times New Roman" w:cs="Times New Roman"/>
          <w:sz w:val="24"/>
          <w:szCs w:val="24"/>
          <w:lang w:val="en-US"/>
        </w:rPr>
        <w:t>cess the business (such as the police cordoning off an area due to an event such as terrorism, a fire, or the risk of a collapsing building).  In many cases this is known as ‘restricted access’ cover or ‘non-damage business interruption’ cover and may be a</w:t>
      </w:r>
      <w:r>
        <w:rPr>
          <w:rFonts w:ascii="Times New Roman" w:eastAsia="Times New Roman" w:hAnsi="Times New Roman" w:cs="Times New Roman"/>
          <w:sz w:val="24"/>
          <w:szCs w:val="24"/>
          <w:lang w:val="en-US"/>
        </w:rPr>
        <w:t>n add on to a standard policy.</w:t>
      </w:r>
    </w:p>
    <w:p w:rsidR="0090051E">
      <w:pPr>
        <w:pStyle w:val="xmsolistparagraph"/>
        <w:numPr>
          <w:ilvl w:val="0"/>
          <w:numId w:val="2"/>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 xml:space="preserve">Business interruption insurance is often included in, or offered as an optional extra to, business insurance packages which combine </w:t>
      </w:r>
      <w:r>
        <w:rPr>
          <w:rFonts w:ascii="Times New Roman" w:eastAsia="Times New Roman" w:hAnsi="Times New Roman" w:cs="Times New Roman"/>
          <w:sz w:val="24"/>
          <w:szCs w:val="24"/>
          <w:lang w:val="en-US"/>
        </w:rPr>
        <w:t>a number of</w:t>
      </w:r>
      <w:r>
        <w:rPr>
          <w:rFonts w:ascii="Times New Roman" w:eastAsia="Times New Roman" w:hAnsi="Times New Roman" w:cs="Times New Roman"/>
          <w:sz w:val="24"/>
          <w:szCs w:val="24"/>
          <w:lang w:val="en-US"/>
        </w:rPr>
        <w:t xml:space="preserve"> different policies under one premium. It can also be offered as an optional extra</w:t>
      </w:r>
      <w:r>
        <w:rPr>
          <w:rFonts w:ascii="Times New Roman" w:eastAsia="Times New Roman" w:hAnsi="Times New Roman" w:cs="Times New Roman"/>
          <w:sz w:val="24"/>
          <w:szCs w:val="24"/>
          <w:lang w:val="en-US"/>
        </w:rPr>
        <w:t xml:space="preserve"> to buildings and contents insurance policies in some cases.  Most businesses purchase a package of insurance from a broker who will work with them to ensure that they have the appropriate cover for their needs.</w:t>
      </w:r>
    </w:p>
    <w:p w:rsidR="0090051E">
      <w:pPr>
        <w:pStyle w:val="xmsolistparagraph"/>
        <w:numPr>
          <w:ilvl w:val="0"/>
          <w:numId w:val="2"/>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Insurance for business interruption resultin</w:t>
      </w:r>
      <w:r>
        <w:rPr>
          <w:rFonts w:ascii="Times New Roman" w:eastAsia="Times New Roman" w:hAnsi="Times New Roman" w:cs="Times New Roman"/>
          <w:sz w:val="24"/>
          <w:szCs w:val="24"/>
          <w:lang w:val="en-US"/>
        </w:rPr>
        <w:t xml:space="preserve">g from COVID-19 is likely to be rare.  Businesses who are concerned about the impacts of COVID-19 should </w:t>
      </w:r>
      <w:r>
        <w:rPr>
          <w:rFonts w:ascii="Times New Roman" w:eastAsia="Times New Roman" w:hAnsi="Times New Roman" w:cs="Times New Roman"/>
          <w:sz w:val="24"/>
          <w:szCs w:val="24"/>
          <w:lang w:val="en-US"/>
        </w:rPr>
        <w:t>check the scope of their cover, and check with their insurance adviser or broker. Standard business insurance policies are designed and priced to cover</w:t>
      </w:r>
      <w:r>
        <w:rPr>
          <w:rFonts w:ascii="Times New Roman" w:eastAsia="Times New Roman" w:hAnsi="Times New Roman" w:cs="Times New Roman"/>
          <w:sz w:val="24"/>
          <w:szCs w:val="24"/>
          <w:lang w:val="en-US"/>
        </w:rPr>
        <w:t xml:space="preserve"> standard risks and are therefore unlikely to provide cover for the effects of global pandemics like Covid-19. </w:t>
      </w:r>
    </w:p>
    <w:p w:rsidR="0090051E">
      <w:pPr>
        <w:pStyle w:val="xmsonormal"/>
      </w:pPr>
      <w:r>
        <w:rPr>
          <w:rFonts w:ascii="Times New Roman" w:hAnsi="Times New Roman" w:cs="Times New Roman"/>
          <w:b/>
          <w:bCs/>
          <w:sz w:val="24"/>
          <w:szCs w:val="24"/>
        </w:rPr>
        <w:t xml:space="preserve">Notifiable Disease extensions: </w:t>
      </w:r>
    </w:p>
    <w:p w:rsidR="0090051E">
      <w:pPr>
        <w:pStyle w:val="xmsolistparagraph"/>
        <w:numPr>
          <w:ilvl w:val="0"/>
          <w:numId w:val="3"/>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 xml:space="preserve">Businesses may have chosen to purchase cover that will specifically provide for business </w:t>
      </w:r>
      <w:r>
        <w:rPr>
          <w:rFonts w:ascii="Times New Roman" w:eastAsia="Times New Roman" w:hAnsi="Times New Roman" w:cs="Times New Roman"/>
          <w:sz w:val="24"/>
          <w:szCs w:val="24"/>
          <w:lang w:val="en-US"/>
        </w:rPr>
        <w:t xml:space="preserve">interruption arising from ‘notifiable </w:t>
      </w:r>
      <w:r>
        <w:rPr>
          <w:rFonts w:ascii="Times New Roman" w:eastAsia="Times New Roman" w:hAnsi="Times New Roman" w:cs="Times New Roman"/>
          <w:sz w:val="24"/>
          <w:szCs w:val="24"/>
          <w:lang w:val="en-US"/>
        </w:rPr>
        <w:t>diseases’</w:t>
      </w:r>
      <w:r>
        <w:rPr>
          <w:rFonts w:ascii="Times New Roman" w:eastAsia="Times New Roman" w:hAnsi="Times New Roman" w:cs="Times New Roman"/>
          <w:sz w:val="24"/>
          <w:szCs w:val="24"/>
          <w:lang w:val="en-US"/>
        </w:rPr>
        <w:t xml:space="preserve">.  However, this type of extension is not commonly included as standard.  </w:t>
      </w:r>
    </w:p>
    <w:p w:rsidR="0090051E">
      <w:pPr>
        <w:pStyle w:val="xmsolistparagraph"/>
        <w:numPr>
          <w:ilvl w:val="0"/>
          <w:numId w:val="3"/>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Most notifiable disease extensions tend to cover specific diseases that will be named in the cover.  If COVID-19 is not specified, the</w:t>
      </w:r>
      <w:r>
        <w:rPr>
          <w:rFonts w:ascii="Times New Roman" w:eastAsia="Times New Roman" w:hAnsi="Times New Roman" w:cs="Times New Roman"/>
          <w:sz w:val="24"/>
          <w:szCs w:val="24"/>
          <w:lang w:val="en-US"/>
        </w:rPr>
        <w:t xml:space="preserve">n cover may not apply.  </w:t>
      </w:r>
    </w:p>
    <w:p w:rsidR="0090051E">
      <w:pPr>
        <w:pStyle w:val="xmsolistparagraph"/>
        <w:numPr>
          <w:ilvl w:val="0"/>
          <w:numId w:val="3"/>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Some notifiable disease extensions are more general and do not specify certain diseases.  In these cases, business interruption cover for COVID-19 may apply if COVID-19 is present in the business.  If you are unsure about what your</w:t>
      </w:r>
      <w:r>
        <w:rPr>
          <w:rFonts w:ascii="Times New Roman" w:eastAsia="Times New Roman" w:hAnsi="Times New Roman" w:cs="Times New Roman"/>
          <w:sz w:val="24"/>
          <w:szCs w:val="24"/>
          <w:lang w:val="en-US"/>
        </w:rPr>
        <w:t xml:space="preserve"> policy covers your business for, check with the broker you purchased the policy from or your insurer if you purchased it directly.</w:t>
      </w:r>
    </w:p>
    <w:p w:rsidR="0090051E">
      <w:pPr>
        <w:pStyle w:val="xmsonormal"/>
      </w:pPr>
      <w:r>
        <w:rPr>
          <w:rFonts w:ascii="Times New Roman" w:hAnsi="Times New Roman" w:cs="Times New Roman"/>
          <w:b/>
          <w:bCs/>
          <w:sz w:val="24"/>
          <w:szCs w:val="24"/>
        </w:rPr>
        <w:t>Non-Damage business interruption cover</w:t>
      </w:r>
    </w:p>
    <w:p w:rsidR="0090051E">
      <w:pPr>
        <w:pStyle w:val="xmsolistparagraph"/>
        <w:numPr>
          <w:ilvl w:val="0"/>
          <w:numId w:val="4"/>
        </w:numPr>
        <w:tabs>
          <w:tab w:val="left" w:pos="720"/>
        </w:tabs>
        <w:autoSpaceDE w:val="0"/>
        <w:spacing w:after="0" w:line="300" w:lineRule="atLeast"/>
        <w:ind w:left="1440" w:right="14"/>
      </w:pPr>
      <w:r>
        <w:rPr>
          <w:rFonts w:ascii="Times New Roman" w:eastAsia="Times New Roman" w:hAnsi="Times New Roman" w:cs="Times New Roman"/>
          <w:sz w:val="24"/>
          <w:szCs w:val="24"/>
          <w:lang w:val="en-US"/>
        </w:rPr>
        <w:t>Some coverage may exist if the business has purchased a ‘non-damage, denial of access</w:t>
      </w:r>
      <w:r>
        <w:rPr>
          <w:rFonts w:ascii="Times New Roman" w:eastAsia="Times New Roman" w:hAnsi="Times New Roman" w:cs="Times New Roman"/>
          <w:sz w:val="24"/>
          <w:szCs w:val="24"/>
          <w:lang w:val="en-US"/>
        </w:rPr>
        <w:t>’ extension to a business interruption policy.  Again, purchase of these extensions tends to be rare and this is not generally covered under standard business interruption policies.</w:t>
      </w:r>
    </w:p>
    <w:p w:rsidR="0090051E">
      <w:pPr>
        <w:pStyle w:val="xmsolistparagraph"/>
        <w:numPr>
          <w:ilvl w:val="0"/>
          <w:numId w:val="4"/>
        </w:numPr>
        <w:tabs>
          <w:tab w:val="left" w:pos="720"/>
        </w:tabs>
        <w:autoSpaceDE w:val="0"/>
        <w:spacing w:after="240" w:line="300" w:lineRule="atLeast"/>
        <w:ind w:left="1440" w:right="14"/>
      </w:pPr>
      <w:r>
        <w:rPr>
          <w:rFonts w:ascii="Times New Roman" w:eastAsia="Times New Roman" w:hAnsi="Times New Roman" w:cs="Times New Roman"/>
          <w:sz w:val="24"/>
          <w:szCs w:val="24"/>
          <w:lang w:val="en-US"/>
        </w:rPr>
        <w:t>Generally, ‘denial of access coverage’ applies to cordoned off areas and l</w:t>
      </w:r>
      <w:r>
        <w:rPr>
          <w:rFonts w:ascii="Times New Roman" w:eastAsia="Times New Roman" w:hAnsi="Times New Roman" w:cs="Times New Roman"/>
          <w:sz w:val="24"/>
          <w:szCs w:val="24"/>
          <w:lang w:val="en-US"/>
        </w:rPr>
        <w:t xml:space="preserve">oss of trade resulting from a denial of access to the premises (e.g. </w:t>
      </w:r>
      <w:r>
        <w:rPr>
          <w:rFonts w:ascii="Times New Roman" w:eastAsia="Times New Roman" w:hAnsi="Times New Roman" w:cs="Times New Roman"/>
          <w:sz w:val="24"/>
          <w:szCs w:val="24"/>
          <w:lang w:val="en-US"/>
        </w:rPr>
        <w:t>as a result of</w:t>
      </w:r>
      <w:r>
        <w:rPr>
          <w:rFonts w:ascii="Times New Roman" w:eastAsia="Times New Roman" w:hAnsi="Times New Roman" w:cs="Times New Roman"/>
          <w:sz w:val="24"/>
          <w:szCs w:val="24"/>
          <w:lang w:val="en-US"/>
        </w:rPr>
        <w:t xml:space="preserve"> a police cordon).  If a business is forced to close or is told to close by an appropriate authority or is cordoned off, this could trigger a claim under a ‘non-damage, deni</w:t>
      </w:r>
      <w:r>
        <w:rPr>
          <w:rFonts w:ascii="Times New Roman" w:eastAsia="Times New Roman" w:hAnsi="Times New Roman" w:cs="Times New Roman"/>
          <w:sz w:val="24"/>
          <w:szCs w:val="24"/>
          <w:lang w:val="en-US"/>
        </w:rPr>
        <w:t>al of access business’ interruption extension if the infectious disease cover is unspecified or if it includes COVID-19.</w:t>
      </w:r>
    </w:p>
    <w:p w:rsidR="0090051E">
      <w:pPr>
        <w:pStyle w:val="xmsonormal"/>
      </w:pPr>
      <w:r>
        <w:rPr>
          <w:rFonts w:ascii="Times New Roman" w:hAnsi="Times New Roman" w:cs="Times New Roman"/>
          <w:b/>
          <w:bCs/>
          <w:sz w:val="24"/>
          <w:szCs w:val="24"/>
        </w:rPr>
        <w:t> </w:t>
      </w:r>
    </w:p>
    <w:tbl>
      <w:tblPr>
        <w:tblW w:w="5000" w:type="pct"/>
        <w:tblCellMar>
          <w:top w:w="0" w:type="dxa"/>
          <w:left w:w="10" w:type="dxa"/>
          <w:bottom w:w="0" w:type="dxa"/>
          <w:right w:w="10" w:type="dxa"/>
        </w:tblCellMar>
        <w:tblLook w:val="04A0"/>
      </w:tblPr>
      <w:tblGrid>
        <w:gridCol w:w="9026"/>
      </w:tblGrid>
      <w:tr>
        <w:tblPrEx>
          <w:tblW w:w="5000" w:type="pct"/>
          <w:tblCellMar>
            <w:top w:w="0" w:type="dxa"/>
            <w:left w:w="10" w:type="dxa"/>
            <w:bottom w:w="0" w:type="dxa"/>
            <w:right w:w="10" w:type="dxa"/>
          </w:tblCellMar>
          <w:tblLook w:val="04A0"/>
        </w:tblPrEx>
        <w:tc>
          <w:tcPr>
            <w:tcW w:w="9026" w:type="dxa"/>
            <w:shd w:val="clear" w:color="auto" w:fill="auto"/>
            <w:tcMar>
              <w:top w:w="0" w:type="dxa"/>
              <w:left w:w="0" w:type="dxa"/>
              <w:bottom w:w="0" w:type="dxa"/>
              <w:right w:w="0" w:type="dxa"/>
            </w:tcMar>
          </w:tcPr>
          <w:p w:rsidR="0090051E">
            <w:pPr>
              <w:rPr>
                <w:rFonts w:ascii="Times New Roman" w:eastAsia="Times New Roman" w:hAnsi="Times New Roman" w:cs="Times New Roman"/>
                <w:sz w:val="24"/>
                <w:szCs w:val="24"/>
              </w:rPr>
            </w:pPr>
          </w:p>
        </w:tc>
      </w:tr>
    </w:tbl>
    <w:p w:rsidR="0090051E">
      <w:pPr>
        <w:rPr>
          <w:rFonts w:ascii="Times New Roman" w:hAnsi="Times New Roman" w:cs="Times New Roman"/>
          <w:sz w:val="24"/>
          <w:szCs w:val="24"/>
        </w:rPr>
      </w:pPr>
    </w:p>
    <w:p w:rsidR="0090051E">
      <w:r>
        <w:rPr>
          <w:rFonts w:ascii="Times New Roman" w:hAnsi="Times New Roman" w:cs="Times New Roman"/>
          <w:i/>
          <w:iCs/>
          <w:sz w:val="24"/>
          <w:szCs w:val="24"/>
        </w:rPr>
        <w:t>17 March 2020</w:t>
      </w:r>
    </w:p>
    <w:sectPr>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E14FA"/>
    <w:multiLevelType w:val="multilevel"/>
    <w:tmpl w:val="C616D7C6"/>
    <w:lvl w:ilvl="0">
      <w:start w:val="0"/>
      <w:numFmt w:val="bullet"/>
      <w:lvlText w:val=""/>
      <w:lvlJc w:val="left"/>
      <w:pPr>
        <w:ind w:left="720" w:hanging="360"/>
      </w:pPr>
      <w:rPr>
        <w:rFonts w:ascii="Symbol" w:hAnsi="Symbol"/>
        <w:sz w:val="20"/>
      </w:rPr>
    </w:lvl>
    <w:lvl w:ilvl="1">
      <w:start w:val="0"/>
      <w:numFmt w:val="bullet"/>
      <w:lvlText w:val=""/>
      <w:lvlJc w:val="left"/>
      <w:pPr>
        <w:ind w:left="1440" w:hanging="360"/>
      </w:pPr>
      <w:rPr>
        <w:rFonts w:ascii="Symbol" w:hAnsi="Symbol"/>
        <w:sz w:val="20"/>
      </w:rPr>
    </w:lvl>
    <w:lvl w:ilvl="2">
      <w:start w:val="0"/>
      <w:numFmt w:val="bullet"/>
      <w:lvlText w:val=""/>
      <w:lvlJc w:val="left"/>
      <w:pPr>
        <w:ind w:left="2160" w:hanging="360"/>
      </w:pPr>
      <w:rPr>
        <w:rFonts w:ascii="Symbol" w:hAnsi="Symbol"/>
        <w:sz w:val="20"/>
      </w:rPr>
    </w:lvl>
    <w:lvl w:ilvl="3">
      <w:start w:val="0"/>
      <w:numFmt w:val="bullet"/>
      <w:lvlText w:val=""/>
      <w:lvlJc w:val="left"/>
      <w:pPr>
        <w:ind w:left="2880" w:hanging="360"/>
      </w:pPr>
      <w:rPr>
        <w:rFonts w:ascii="Symbol" w:hAnsi="Symbol"/>
        <w:sz w:val="20"/>
      </w:rPr>
    </w:lvl>
    <w:lvl w:ilvl="4">
      <w:start w:val="0"/>
      <w:numFmt w:val="bullet"/>
      <w:lvlText w:val=""/>
      <w:lvlJc w:val="left"/>
      <w:pPr>
        <w:ind w:left="3600" w:hanging="360"/>
      </w:pPr>
      <w:rPr>
        <w:rFonts w:ascii="Symbol" w:hAnsi="Symbol"/>
        <w:sz w:val="20"/>
      </w:rPr>
    </w:lvl>
    <w:lvl w:ilvl="5">
      <w:start w:val="0"/>
      <w:numFmt w:val="bullet"/>
      <w:lvlText w:val=""/>
      <w:lvlJc w:val="left"/>
      <w:pPr>
        <w:ind w:left="4320" w:hanging="360"/>
      </w:pPr>
      <w:rPr>
        <w:rFonts w:ascii="Symbol" w:hAnsi="Symbol"/>
        <w:sz w:val="20"/>
      </w:rPr>
    </w:lvl>
    <w:lvl w:ilvl="6">
      <w:start w:val="0"/>
      <w:numFmt w:val="bullet"/>
      <w:lvlText w:val=""/>
      <w:lvlJc w:val="left"/>
      <w:pPr>
        <w:ind w:left="5040" w:hanging="360"/>
      </w:pPr>
      <w:rPr>
        <w:rFonts w:ascii="Symbol" w:hAnsi="Symbol"/>
        <w:sz w:val="20"/>
      </w:rPr>
    </w:lvl>
    <w:lvl w:ilvl="7">
      <w:start w:val="0"/>
      <w:numFmt w:val="bullet"/>
      <w:lvlText w:val=""/>
      <w:lvlJc w:val="left"/>
      <w:pPr>
        <w:ind w:left="5760" w:hanging="360"/>
      </w:pPr>
      <w:rPr>
        <w:rFonts w:ascii="Symbol" w:hAnsi="Symbol"/>
        <w:sz w:val="20"/>
      </w:rPr>
    </w:lvl>
    <w:lvl w:ilvl="8">
      <w:start w:val="0"/>
      <w:numFmt w:val="bullet"/>
      <w:lvlText w:val=""/>
      <w:lvlJc w:val="left"/>
      <w:pPr>
        <w:ind w:left="6480" w:hanging="360"/>
      </w:pPr>
      <w:rPr>
        <w:rFonts w:ascii="Symbol" w:hAnsi="Symbol"/>
        <w:sz w:val="20"/>
      </w:rPr>
    </w:lvl>
  </w:abstractNum>
  <w:abstractNum w:abstractNumId="1">
    <w:nsid w:val="0FDF1F23"/>
    <w:multiLevelType w:val="multilevel"/>
    <w:tmpl w:val="8278977A"/>
    <w:lvl w:ilvl="0">
      <w:start w:val="0"/>
      <w:numFmt w:val="bullet"/>
      <w:lvlText w:val=""/>
      <w:lvlJc w:val="left"/>
      <w:pPr>
        <w:ind w:left="720" w:hanging="360"/>
      </w:pPr>
      <w:rPr>
        <w:rFonts w:ascii="Symbol" w:hAnsi="Symbol"/>
        <w:sz w:val="20"/>
      </w:rPr>
    </w:lvl>
    <w:lvl w:ilvl="1">
      <w:start w:val="0"/>
      <w:numFmt w:val="bullet"/>
      <w:lvlText w:val=""/>
      <w:lvlJc w:val="left"/>
      <w:pPr>
        <w:ind w:left="1440" w:hanging="360"/>
      </w:pPr>
      <w:rPr>
        <w:rFonts w:ascii="Symbol" w:hAnsi="Symbol"/>
        <w:sz w:val="20"/>
      </w:rPr>
    </w:lvl>
    <w:lvl w:ilvl="2">
      <w:start w:val="0"/>
      <w:numFmt w:val="bullet"/>
      <w:lvlText w:val=""/>
      <w:lvlJc w:val="left"/>
      <w:pPr>
        <w:ind w:left="2160" w:hanging="360"/>
      </w:pPr>
      <w:rPr>
        <w:rFonts w:ascii="Symbol" w:hAnsi="Symbol"/>
        <w:sz w:val="20"/>
      </w:rPr>
    </w:lvl>
    <w:lvl w:ilvl="3">
      <w:start w:val="0"/>
      <w:numFmt w:val="bullet"/>
      <w:lvlText w:val=""/>
      <w:lvlJc w:val="left"/>
      <w:pPr>
        <w:ind w:left="2880" w:hanging="360"/>
      </w:pPr>
      <w:rPr>
        <w:rFonts w:ascii="Symbol" w:hAnsi="Symbol"/>
        <w:sz w:val="20"/>
      </w:rPr>
    </w:lvl>
    <w:lvl w:ilvl="4">
      <w:start w:val="0"/>
      <w:numFmt w:val="bullet"/>
      <w:lvlText w:val=""/>
      <w:lvlJc w:val="left"/>
      <w:pPr>
        <w:ind w:left="3600" w:hanging="360"/>
      </w:pPr>
      <w:rPr>
        <w:rFonts w:ascii="Symbol" w:hAnsi="Symbol"/>
        <w:sz w:val="20"/>
      </w:rPr>
    </w:lvl>
    <w:lvl w:ilvl="5">
      <w:start w:val="0"/>
      <w:numFmt w:val="bullet"/>
      <w:lvlText w:val=""/>
      <w:lvlJc w:val="left"/>
      <w:pPr>
        <w:ind w:left="4320" w:hanging="360"/>
      </w:pPr>
      <w:rPr>
        <w:rFonts w:ascii="Symbol" w:hAnsi="Symbol"/>
        <w:sz w:val="20"/>
      </w:rPr>
    </w:lvl>
    <w:lvl w:ilvl="6">
      <w:start w:val="0"/>
      <w:numFmt w:val="bullet"/>
      <w:lvlText w:val=""/>
      <w:lvlJc w:val="left"/>
      <w:pPr>
        <w:ind w:left="5040" w:hanging="360"/>
      </w:pPr>
      <w:rPr>
        <w:rFonts w:ascii="Symbol" w:hAnsi="Symbol"/>
        <w:sz w:val="20"/>
      </w:rPr>
    </w:lvl>
    <w:lvl w:ilvl="7">
      <w:start w:val="0"/>
      <w:numFmt w:val="bullet"/>
      <w:lvlText w:val=""/>
      <w:lvlJc w:val="left"/>
      <w:pPr>
        <w:ind w:left="5760" w:hanging="360"/>
      </w:pPr>
      <w:rPr>
        <w:rFonts w:ascii="Symbol" w:hAnsi="Symbol"/>
        <w:sz w:val="20"/>
      </w:rPr>
    </w:lvl>
    <w:lvl w:ilvl="8">
      <w:start w:val="0"/>
      <w:numFmt w:val="bullet"/>
      <w:lvlText w:val=""/>
      <w:lvlJc w:val="left"/>
      <w:pPr>
        <w:ind w:left="6480" w:hanging="360"/>
      </w:pPr>
      <w:rPr>
        <w:rFonts w:ascii="Symbol" w:hAnsi="Symbol"/>
        <w:sz w:val="20"/>
      </w:rPr>
    </w:lvl>
  </w:abstractNum>
  <w:abstractNum w:abstractNumId="2">
    <w:nsid w:val="720A3B0B"/>
    <w:multiLevelType w:val="multilevel"/>
    <w:tmpl w:val="C0064FAE"/>
    <w:lvl w:ilvl="0">
      <w:start w:val="0"/>
      <w:numFmt w:val="bullet"/>
      <w:lvlText w:val=""/>
      <w:lvlJc w:val="left"/>
      <w:pPr>
        <w:ind w:left="720" w:hanging="360"/>
      </w:pPr>
      <w:rPr>
        <w:rFonts w:ascii="Symbol" w:hAnsi="Symbol"/>
        <w:sz w:val="20"/>
      </w:rPr>
    </w:lvl>
    <w:lvl w:ilvl="1">
      <w:start w:val="0"/>
      <w:numFmt w:val="bullet"/>
      <w:lvlText w:val=""/>
      <w:lvlJc w:val="left"/>
      <w:pPr>
        <w:ind w:left="1440" w:hanging="360"/>
      </w:pPr>
      <w:rPr>
        <w:rFonts w:ascii="Symbol" w:hAnsi="Symbol"/>
        <w:sz w:val="20"/>
      </w:rPr>
    </w:lvl>
    <w:lvl w:ilvl="2">
      <w:start w:val="0"/>
      <w:numFmt w:val="bullet"/>
      <w:lvlText w:val=""/>
      <w:lvlJc w:val="left"/>
      <w:pPr>
        <w:ind w:left="2160" w:hanging="360"/>
      </w:pPr>
      <w:rPr>
        <w:rFonts w:ascii="Symbol" w:hAnsi="Symbol"/>
        <w:sz w:val="20"/>
      </w:rPr>
    </w:lvl>
    <w:lvl w:ilvl="3">
      <w:start w:val="0"/>
      <w:numFmt w:val="bullet"/>
      <w:lvlText w:val=""/>
      <w:lvlJc w:val="left"/>
      <w:pPr>
        <w:ind w:left="2880" w:hanging="360"/>
      </w:pPr>
      <w:rPr>
        <w:rFonts w:ascii="Symbol" w:hAnsi="Symbol"/>
        <w:sz w:val="20"/>
      </w:rPr>
    </w:lvl>
    <w:lvl w:ilvl="4">
      <w:start w:val="0"/>
      <w:numFmt w:val="bullet"/>
      <w:lvlText w:val=""/>
      <w:lvlJc w:val="left"/>
      <w:pPr>
        <w:ind w:left="3600" w:hanging="360"/>
      </w:pPr>
      <w:rPr>
        <w:rFonts w:ascii="Symbol" w:hAnsi="Symbol"/>
        <w:sz w:val="20"/>
      </w:rPr>
    </w:lvl>
    <w:lvl w:ilvl="5">
      <w:start w:val="0"/>
      <w:numFmt w:val="bullet"/>
      <w:lvlText w:val=""/>
      <w:lvlJc w:val="left"/>
      <w:pPr>
        <w:ind w:left="4320" w:hanging="360"/>
      </w:pPr>
      <w:rPr>
        <w:rFonts w:ascii="Symbol" w:hAnsi="Symbol"/>
        <w:sz w:val="20"/>
      </w:rPr>
    </w:lvl>
    <w:lvl w:ilvl="6">
      <w:start w:val="0"/>
      <w:numFmt w:val="bullet"/>
      <w:lvlText w:val=""/>
      <w:lvlJc w:val="left"/>
      <w:pPr>
        <w:ind w:left="5040" w:hanging="360"/>
      </w:pPr>
      <w:rPr>
        <w:rFonts w:ascii="Symbol" w:hAnsi="Symbol"/>
        <w:sz w:val="20"/>
      </w:rPr>
    </w:lvl>
    <w:lvl w:ilvl="7">
      <w:start w:val="0"/>
      <w:numFmt w:val="bullet"/>
      <w:lvlText w:val=""/>
      <w:lvlJc w:val="left"/>
      <w:pPr>
        <w:ind w:left="5760" w:hanging="360"/>
      </w:pPr>
      <w:rPr>
        <w:rFonts w:ascii="Symbol" w:hAnsi="Symbol"/>
        <w:sz w:val="20"/>
      </w:rPr>
    </w:lvl>
    <w:lvl w:ilvl="8">
      <w:start w:val="0"/>
      <w:numFmt w:val="bullet"/>
      <w:lvlText w:val=""/>
      <w:lvlJc w:val="left"/>
      <w:pPr>
        <w:ind w:left="6480" w:hanging="360"/>
      </w:pPr>
      <w:rPr>
        <w:rFonts w:ascii="Symbol" w:hAnsi="Symbol"/>
        <w:sz w:val="20"/>
      </w:rPr>
    </w:lvl>
  </w:abstractNum>
  <w:abstractNum w:abstractNumId="3">
    <w:nsid w:val="72587457"/>
    <w:multiLevelType w:val="multilevel"/>
    <w:tmpl w:val="EF26370A"/>
    <w:lvl w:ilvl="0">
      <w:start w:val="0"/>
      <w:numFmt w:val="bullet"/>
      <w:lvlText w:val=""/>
      <w:lvlJc w:val="left"/>
      <w:pPr>
        <w:ind w:left="720" w:hanging="360"/>
      </w:pPr>
      <w:rPr>
        <w:rFonts w:ascii="Symbol" w:hAnsi="Symbol"/>
        <w:sz w:val="20"/>
      </w:rPr>
    </w:lvl>
    <w:lvl w:ilvl="1">
      <w:start w:val="0"/>
      <w:numFmt w:val="bullet"/>
      <w:lvlText w:val=""/>
      <w:lvlJc w:val="left"/>
      <w:pPr>
        <w:ind w:left="1440" w:hanging="360"/>
      </w:pPr>
      <w:rPr>
        <w:rFonts w:ascii="Symbol" w:hAnsi="Symbol"/>
        <w:sz w:val="20"/>
      </w:rPr>
    </w:lvl>
    <w:lvl w:ilvl="2">
      <w:start w:val="0"/>
      <w:numFmt w:val="bullet"/>
      <w:lvlText w:val=""/>
      <w:lvlJc w:val="left"/>
      <w:pPr>
        <w:ind w:left="2160" w:hanging="360"/>
      </w:pPr>
      <w:rPr>
        <w:rFonts w:ascii="Symbol" w:hAnsi="Symbol"/>
        <w:sz w:val="20"/>
      </w:rPr>
    </w:lvl>
    <w:lvl w:ilvl="3">
      <w:start w:val="0"/>
      <w:numFmt w:val="bullet"/>
      <w:lvlText w:val=""/>
      <w:lvlJc w:val="left"/>
      <w:pPr>
        <w:ind w:left="2880" w:hanging="360"/>
      </w:pPr>
      <w:rPr>
        <w:rFonts w:ascii="Symbol" w:hAnsi="Symbol"/>
        <w:sz w:val="20"/>
      </w:rPr>
    </w:lvl>
    <w:lvl w:ilvl="4">
      <w:start w:val="0"/>
      <w:numFmt w:val="bullet"/>
      <w:lvlText w:val=""/>
      <w:lvlJc w:val="left"/>
      <w:pPr>
        <w:ind w:left="3600" w:hanging="360"/>
      </w:pPr>
      <w:rPr>
        <w:rFonts w:ascii="Symbol" w:hAnsi="Symbol"/>
        <w:sz w:val="20"/>
      </w:rPr>
    </w:lvl>
    <w:lvl w:ilvl="5">
      <w:start w:val="0"/>
      <w:numFmt w:val="bullet"/>
      <w:lvlText w:val=""/>
      <w:lvlJc w:val="left"/>
      <w:pPr>
        <w:ind w:left="4320" w:hanging="360"/>
      </w:pPr>
      <w:rPr>
        <w:rFonts w:ascii="Symbol" w:hAnsi="Symbol"/>
        <w:sz w:val="20"/>
      </w:rPr>
    </w:lvl>
    <w:lvl w:ilvl="6">
      <w:start w:val="0"/>
      <w:numFmt w:val="bullet"/>
      <w:lvlText w:val=""/>
      <w:lvlJc w:val="left"/>
      <w:pPr>
        <w:ind w:left="5040" w:hanging="360"/>
      </w:pPr>
      <w:rPr>
        <w:rFonts w:ascii="Symbol" w:hAnsi="Symbol"/>
        <w:sz w:val="20"/>
      </w:rPr>
    </w:lvl>
    <w:lvl w:ilvl="7">
      <w:start w:val="0"/>
      <w:numFmt w:val="bullet"/>
      <w:lvlText w:val=""/>
      <w:lvlJc w:val="left"/>
      <w:pPr>
        <w:ind w:left="5760" w:hanging="360"/>
      </w:pPr>
      <w:rPr>
        <w:rFonts w:ascii="Symbol" w:hAnsi="Symbol"/>
        <w:sz w:val="20"/>
      </w:rPr>
    </w:lvl>
    <w:lvl w:ilvl="8">
      <w:start w:val="0"/>
      <w:numFmt w:val="bullet"/>
      <w:lvlText w:val=""/>
      <w:lvlJc w:val="left"/>
      <w:pPr>
        <w:ind w:left="6480" w:hanging="360"/>
      </w:pPr>
      <w:rPr>
        <w:rFonts w:ascii="Symbol" w:hAnsi="Symbol"/>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20"/>
  <w:autoHyphenation/>
  <w:characterSpacingControl w:val="doNotCompress"/>
  <w:compa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0" w:line="240" w:lineRule="auto"/>
    </w:pPr>
    <w:rPr>
      <w:rFonts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style>
  <w:style w:type="paragraph" w:customStyle="1" w:styleId="xmsolistparagraph">
    <w:name w:val="x_msolistparagraph"/>
    <w:basedOn w:val="Normal"/>
    <w:pPr>
      <w:spacing w:after="160" w:line="251" w:lineRule="auto"/>
      <w:ind w:left="720"/>
    </w:pPr>
    <w:rPr>
      <w:rFonts w:ascii="Arial" w:hAnsi="Arial" w:cs="Arial"/>
    </w:rPr>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