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617F88" w:rsidRPr="00617F88" w:rsidP="00617F88">
      <w:pPr>
        <w:ind w:left="720" w:hanging="360"/>
        <w:jc w:val="center"/>
        <w:rPr>
          <w:u w:val="single"/>
        </w:rPr>
      </w:pPr>
      <w:r>
        <w:rPr>
          <w:u w:val="single"/>
        </w:rPr>
        <w:t>Written evidence submitted by</w:t>
      </w:r>
      <w:r w:rsidRPr="00617F88" w:rsidR="00EB5C35">
        <w:rPr>
          <w:u w:val="single"/>
        </w:rPr>
        <w:t xml:space="preserve"> Drax</w:t>
      </w:r>
    </w:p>
    <w:p w:rsidR="00617F88" w:rsidRPr="00436A69" w:rsidP="00436A69">
      <w:pPr>
        <w:rPr>
          <w:b/>
          <w:bCs/>
        </w:rPr>
      </w:pPr>
      <w:r w:rsidRPr="00436A69">
        <w:rPr>
          <w:b/>
          <w:bCs/>
        </w:rPr>
        <w:t>How effective has the Government’s investment in hydrogen projects such as the Low Carbon Hydrogen Supply competition, the UK Hydrogen Mobility Programme and Hy4Heat been in moving the sector towards becoming an integral part of a low-cost, low-carbon econ</w:t>
      </w:r>
      <w:r w:rsidRPr="00436A69">
        <w:rPr>
          <w:b/>
          <w:bCs/>
        </w:rPr>
        <w:t xml:space="preserve">omy and boosting the productivity and competitiveness of the UK energy sector?  </w:t>
      </w:r>
    </w:p>
    <w:p w:rsidR="00436A69" w:rsidP="00436A69">
      <w:pPr>
        <w:tabs>
          <w:tab w:val="left" w:pos="1455"/>
        </w:tabs>
      </w:pPr>
      <w:r>
        <w:t xml:space="preserve">Drax has not been </w:t>
      </w:r>
      <w:r>
        <w:t>directly involved in the government’s innovation and development pots for hydrogen deployment, however we welcome the</w:t>
      </w:r>
      <w:r>
        <w:t xml:space="preserve">se </w:t>
      </w:r>
      <w:r>
        <w:t>investment schemes</w:t>
      </w:r>
      <w:r>
        <w:t xml:space="preserve"> and believe they w</w:t>
      </w:r>
      <w:r>
        <w:t xml:space="preserve">ill play a key role in developing initial hydrogen projects in the UK. We do however believe that a new pot of money should be developed to </w:t>
      </w:r>
      <w:r>
        <w:t xml:space="preserve">support the development and testing of hydrogen in power. As explained in a later answer </w:t>
      </w:r>
      <w:r>
        <w:t>we believe that hydrogen in</w:t>
      </w:r>
      <w:r>
        <w:t xml:space="preserve"> power will play a key role in supporting intermittent renewable technologies such as wind and solar, and this development funding will enable hydrogen power generation turbines to be tested at scale. </w:t>
      </w:r>
    </w:p>
    <w:p w:rsidR="00617F88" w:rsidP="00AF238A">
      <w:pPr>
        <w:rPr>
          <w:b/>
          <w:bCs/>
        </w:rPr>
      </w:pPr>
      <w:r w:rsidRPr="00AF238A">
        <w:rPr>
          <w:b/>
          <w:bCs/>
        </w:rPr>
        <w:t>What level of output can the sector deliver in the UK,</w:t>
      </w:r>
      <w:r w:rsidRPr="00AF238A">
        <w:rPr>
          <w:b/>
          <w:bCs/>
        </w:rPr>
        <w:t xml:space="preserve"> and what Government support would be needed to achieve this? How does the potential for hydrogen differ by end-use?</w:t>
      </w:r>
    </w:p>
    <w:p w:rsidR="00AF238A" w:rsidP="00AF238A">
      <w:r>
        <w:t>Hydrogen could be used to decarbonise a number of sectors of the economy including power generation, industry, heat, and transport. The exa</w:t>
      </w:r>
      <w:r>
        <w:t xml:space="preserve">ct scale of the role of hydrogen in each of these sectors remains </w:t>
      </w:r>
      <w:r>
        <w:t>to be seen</w:t>
      </w:r>
      <w:r>
        <w:t>,</w:t>
      </w:r>
      <w:r>
        <w:t xml:space="preserve"> however the Committee on Climate Change in their net-zero scenario estimate</w:t>
      </w:r>
      <w:r>
        <w:t>s</w:t>
      </w:r>
      <w:r>
        <w:t xml:space="preserve"> that </w:t>
      </w:r>
      <w:r w:rsidRPr="00463ED7">
        <w:t>that UK</w:t>
      </w:r>
      <w:r>
        <w:t>’s</w:t>
      </w:r>
      <w:r w:rsidRPr="00463ED7">
        <w:t xml:space="preserve"> hydrogen production capacity could be comparable in size to the UK’s current fleet of </w:t>
      </w:r>
      <w:r w:rsidRPr="00463ED7">
        <w:t>gas-fired power stations</w:t>
      </w:r>
      <w:r>
        <w:rPr>
          <w:rStyle w:val="FootnoteReference"/>
        </w:rPr>
        <w:footnoteReference w:id="2"/>
      </w:r>
      <w:r>
        <w:t>.</w:t>
      </w:r>
    </w:p>
    <w:p w:rsidR="00463ED7" w:rsidP="00AF238A">
      <w:r>
        <w:t xml:space="preserve">There have been a number of proposals to develop hydrogen production facilities around the UK. Primarily these are located in the UK’s five main proposed Carbon Capture Usage and Storage (CCUS) clusters due to the need to access </w:t>
      </w:r>
      <w:r>
        <w:t xml:space="preserve">CO2 transport and storage networks for blue hydrogen production and the large </w:t>
      </w:r>
      <w:r>
        <w:t>concentration</w:t>
      </w:r>
      <w:r>
        <w:t xml:space="preserve"> of industrial businesses who can act as offtakers of the hydrogen produced. </w:t>
      </w:r>
    </w:p>
    <w:p w:rsidR="00DD2131" w:rsidRPr="00522312" w:rsidP="00DD2131">
      <w:r w:rsidRPr="00775BF8">
        <w:t>Zero Carbon Humber is one of these clusters</w:t>
      </w:r>
      <w:r>
        <w:t xml:space="preserve"> and is l</w:t>
      </w:r>
      <w:r w:rsidRPr="00775BF8">
        <w:t>ed by a consortium consisting of le</w:t>
      </w:r>
      <w:r w:rsidRPr="00775BF8">
        <w:t>ading energy companies Drax, Equinor, and National Grid Ventures</w:t>
      </w:r>
      <w:r>
        <w:t>.</w:t>
      </w:r>
      <w:r w:rsidRPr="00775BF8">
        <w:t xml:space="preserve"> </w:t>
      </w:r>
      <w:r>
        <w:t>T</w:t>
      </w:r>
      <w:r w:rsidRPr="00775BF8">
        <w:t>he group is aiming to deploy blue hydrogen production at scale alongside the application of CCUS in other sectors including</w:t>
      </w:r>
      <w:r>
        <w:t xml:space="preserve"> in industry and with</w:t>
      </w:r>
      <w:r w:rsidRPr="00775BF8">
        <w:t xml:space="preserve"> bioenergy power generation to produce negati</w:t>
      </w:r>
      <w:r w:rsidRPr="00775BF8">
        <w:t>ve</w:t>
      </w:r>
      <w:r>
        <w:t xml:space="preserve"> emissions</w:t>
      </w:r>
      <w:r w:rsidRPr="00775BF8">
        <w:t>. Under the plans the Humber region could deploy a blue hydrogen production demonstration facility as early as 2025. This demonstration facility would create the foundation for unlocking a new hydrogen economy in the region with anticipated wid</w:t>
      </w:r>
      <w:r w:rsidRPr="00775BF8">
        <w:t>espread uptake of hydrogen in the power, industry, heating, and transport sectors</w:t>
      </w:r>
      <w:r>
        <w:rPr>
          <w:rStyle w:val="FootnoteReference"/>
          <w:rFonts w:cs="Arial"/>
          <w:sz w:val="20"/>
          <w:szCs w:val="20"/>
        </w:rPr>
        <w:footnoteReference w:id="3"/>
      </w:r>
      <w:r w:rsidRPr="00775BF8">
        <w:t>.</w:t>
      </w:r>
    </w:p>
    <w:p w:rsidR="00617F88" w:rsidP="000C2963">
      <w:pPr>
        <w:rPr>
          <w:b/>
          <w:bCs/>
        </w:rPr>
      </w:pPr>
      <w:r w:rsidRPr="000C2963">
        <w:rPr>
          <w:b/>
          <w:bCs/>
        </w:rPr>
        <w:t>How realistic is industry’s claim of widespread applicability of hydrogen technology in transport, heating and other sectors? Is hydrogen a cost-effective, feasible solutio</w:t>
      </w:r>
      <w:r w:rsidRPr="000C2963">
        <w:rPr>
          <w:b/>
          <w:bCs/>
        </w:rPr>
        <w:t xml:space="preserve">n towards a low-carbon economy?   </w:t>
      </w:r>
    </w:p>
    <w:p w:rsidR="000C2963" w:rsidP="000C2963">
      <w:r>
        <w:t>From a technical perspective</w:t>
      </w:r>
      <w:r>
        <w:t>,</w:t>
      </w:r>
      <w:r>
        <w:t xml:space="preserve"> hydrogen can be utilised in </w:t>
      </w:r>
      <w:r>
        <w:t xml:space="preserve">multiple different sectors including, industrial fuel switching, power generation replacing gas, heating replacing gas, and transportation both through fuel cells and through the production of synthetic fuels. </w:t>
      </w:r>
      <w:r>
        <w:t xml:space="preserve">Actual deployment levels of hydrogen in these </w:t>
      </w:r>
      <w:r>
        <w:t xml:space="preserve">sectors remains an area of debate. The CCC in their </w:t>
      </w:r>
      <w:r>
        <w:t>net zero scenario estimated that hydrogen use</w:t>
      </w:r>
      <w:r>
        <w:t xml:space="preserve"> in the UK</w:t>
      </w:r>
      <w:r>
        <w:t xml:space="preserve"> by 2050 could reach 270 TWh per year</w:t>
      </w:r>
      <w:r>
        <w:t xml:space="preserve"> spread amongst the potential different uses of hydrogen</w:t>
      </w:r>
      <w:r>
        <w:rPr>
          <w:rStyle w:val="FootnoteReference"/>
        </w:rPr>
        <w:footnoteReference w:id="4"/>
      </w:r>
      <w:r>
        <w:t>.</w:t>
      </w:r>
    </w:p>
    <w:p w:rsidR="00233A18" w:rsidRPr="00775BF8" w:rsidP="00233A18">
      <w:r w:rsidRPr="00775BF8">
        <w:t>Drax is exploring the potential role of hydrogen in p</w:t>
      </w:r>
      <w:r w:rsidRPr="00775BF8">
        <w:t>ower generation and</w:t>
      </w:r>
      <w:r>
        <w:t xml:space="preserve"> in</w:t>
      </w:r>
      <w:r w:rsidRPr="00775BF8">
        <w:t xml:space="preserve"> the aviation sectors in particular. In the power sector the role of hydrogen would be to replace unabated gas fired power stations providing highly flexible</w:t>
      </w:r>
      <w:r>
        <w:t xml:space="preserve"> low-carbon</w:t>
      </w:r>
      <w:r w:rsidRPr="00775BF8">
        <w:t xml:space="preserve"> generation to complement intermittent renewable technologies such</w:t>
      </w:r>
      <w:r w:rsidRPr="00775BF8">
        <w:t xml:space="preserve"> as wind and solar. Analysis from the National Infrastructure Commission has estimated that the deployment of hydrogen in a renewables dominated power system can save anywhere in the region of £10billion to £20billion per year through its role in providing</w:t>
      </w:r>
      <w:r w:rsidRPr="00775BF8">
        <w:t xml:space="preserve"> back-up power and providing system support services</w:t>
      </w:r>
      <w:r>
        <w:rPr>
          <w:rStyle w:val="FootnoteReference"/>
          <w:rFonts w:cs="Arial"/>
          <w:sz w:val="20"/>
          <w:szCs w:val="20"/>
        </w:rPr>
        <w:footnoteReference w:id="5"/>
      </w:r>
      <w:r w:rsidRPr="00775BF8">
        <w:t xml:space="preserve">. </w:t>
      </w:r>
    </w:p>
    <w:p w:rsidR="00670470" w:rsidRPr="00775BF8" w:rsidP="00670470">
      <w:pPr>
        <w:rPr>
          <w:rFonts w:cs="Arial"/>
          <w:sz w:val="20"/>
          <w:szCs w:val="20"/>
        </w:rPr>
      </w:pPr>
      <w:r w:rsidRPr="00670470">
        <w:t>In addition, as an initial end use vector for low-carbon hydrogen, the power sector can act as a large offtaker for initial hydrogen production facilities providing revenue streams to kick-start a hyd</w:t>
      </w:r>
      <w:r w:rsidRPr="00670470">
        <w:t>rogen economy</w:t>
      </w:r>
      <w:r w:rsidRPr="00775BF8">
        <w:rPr>
          <w:rFonts w:cs="Arial"/>
          <w:sz w:val="20"/>
          <w:szCs w:val="20"/>
        </w:rPr>
        <w:t>.</w:t>
      </w:r>
    </w:p>
    <w:p w:rsidR="00670470" w:rsidRPr="00775BF8" w:rsidP="00670470">
      <w:r w:rsidRPr="00775BF8">
        <w:t>Hydrogen, when combined with biogenic CO2 captured through a process known as bioenergy with carbon capture and storage (BECCS), can be used to create a low-carbon synthetic fuel. Synthetic fuels are chemically identical to high-carbon equiv</w:t>
      </w:r>
      <w:r w:rsidRPr="00775BF8">
        <w:t>alents such as gasoline, kerosene, or liquified petroleum gas (LPG)</w:t>
      </w:r>
      <w:r>
        <w:t xml:space="preserve"> and,</w:t>
      </w:r>
      <w:r w:rsidRPr="00775BF8">
        <w:t xml:space="preserve"> </w:t>
      </w:r>
      <w:r>
        <w:t>i</w:t>
      </w:r>
      <w:r w:rsidRPr="00775BF8">
        <w:t>f produced at scale, these synfuels could be utilised to decarbonise difficult</w:t>
      </w:r>
      <w:r>
        <w:t>-</w:t>
      </w:r>
      <w:r w:rsidRPr="00775BF8">
        <w:t>to</w:t>
      </w:r>
      <w:r>
        <w:t>-</w:t>
      </w:r>
      <w:r w:rsidRPr="00775BF8">
        <w:t>decarbonise sectors such as aviation by providing a direct low-carbon replacement for high-carbon fu</w:t>
      </w:r>
      <w:r w:rsidRPr="00775BF8">
        <w:t xml:space="preserve">els. </w:t>
      </w:r>
    </w:p>
    <w:p w:rsidR="00670470" w:rsidRPr="00670470" w:rsidP="00670470">
      <w:r w:rsidRPr="00775BF8">
        <w:t>Drax is of the view that the UK will be unable to reach a ne</w:t>
      </w:r>
      <w:r>
        <w:t>t</w:t>
      </w:r>
      <w:r w:rsidRPr="00775BF8">
        <w:t>-zero target without hydrogen deployed at scale. Whilst the exact role of hydrogen in individual sectors still requires further refinement, given the potential role of hydrogen</w:t>
      </w:r>
      <w:r>
        <w:t>,</w:t>
      </w:r>
      <w:r w:rsidRPr="00775BF8">
        <w:t xml:space="preserve"> particularl</w:t>
      </w:r>
      <w:r w:rsidRPr="00775BF8">
        <w:t>y in flexible power generation and industry, it is clear that it will be necessary for the UK to meet its target.</w:t>
      </w:r>
    </w:p>
    <w:p w:rsidR="00617F88" w:rsidRPr="00947375" w:rsidP="00670470">
      <w:pPr>
        <w:rPr>
          <w:b/>
          <w:bCs/>
        </w:rPr>
      </w:pPr>
      <w:r w:rsidRPr="00947375">
        <w:rPr>
          <w:b/>
          <w:bCs/>
        </w:rPr>
        <w:t xml:space="preserve">What are the different implications of hydrogen produced from fossil fuels versus from renewables in terms of cost, scale, and emissions, and </w:t>
      </w:r>
      <w:r w:rsidRPr="00947375">
        <w:rPr>
          <w:b/>
          <w:bCs/>
        </w:rPr>
        <w:t>in terms of meeting the UK’s net zero targets?</w:t>
      </w:r>
    </w:p>
    <w:p w:rsidR="00670470" w:rsidP="00947375">
      <w:r w:rsidRPr="00775BF8">
        <w:t>Drax believes that in the medium-term a combination of green and blue hydrogen will be the approach taken to produce low carbon hydrogen at scale. Whilst blue hydrogen is the cheaper approach to produce low-ca</w:t>
      </w:r>
      <w:r w:rsidRPr="00775BF8">
        <w:t>rbon hydrogen at present</w:t>
      </w:r>
      <w:r>
        <w:rPr>
          <w:rStyle w:val="FootnoteReference"/>
          <w:rFonts w:cs="Arial"/>
          <w:sz w:val="20"/>
          <w:szCs w:val="20"/>
        </w:rPr>
        <w:footnoteReference w:id="6"/>
      </w:r>
      <w:r w:rsidRPr="00775BF8">
        <w:t xml:space="preserve">, it is expected that green hydrogen will benefit from significant cost reductions when deployed at scale. Blue hydrogen, given the requirement for blue hydrogen production to access CO2 transport and storage networks, will deploy </w:t>
      </w:r>
      <w:r w:rsidRPr="00775BF8">
        <w:t>within the major carbon capture and storage (CCUS) clusters.</w:t>
      </w:r>
    </w:p>
    <w:p w:rsidR="00947375" w:rsidRPr="00D44FA3" w:rsidP="00D44FA3">
      <w:r w:rsidRPr="00775BF8">
        <w:t xml:space="preserve">It is also worth noting that electrolysis of hydrogen is not the only form of green hydrogen. </w:t>
      </w:r>
      <w:r w:rsidRPr="00D44FA3">
        <w:t>Biomass gasification can also produce low carbon hydrogen and, whilst its potential is more limited t</w:t>
      </w:r>
      <w:r w:rsidRPr="00D44FA3">
        <w:t xml:space="preserve">han electrolysed or blue hydrogen given sustainable biomass is a finite resource, when combined with CCUS, biomass gasification can produce negative emissions, which will be highly valuable as the UK attempts to reach a net zero target. Negative emissions </w:t>
      </w:r>
      <w:r w:rsidRPr="00D44FA3">
        <w:t>are not currently rewarded through the EU Emissions Trading Scheme or its proposed UK replacement, nor are they rewarded through any standalone scheme. We believe that the government should develop and consult on a mechanism to reward negative emissions as</w:t>
      </w:r>
      <w:r w:rsidRPr="00D44FA3">
        <w:t xml:space="preserve"> soon as possible in addition to supporting the research and innovation of biomass gasification through development funding. </w:t>
      </w:r>
    </w:p>
    <w:p w:rsidR="00947375" w:rsidP="00947375">
      <w:pPr>
        <w:pStyle w:val="NoSpacing"/>
      </w:pPr>
    </w:p>
    <w:p w:rsidR="00617F88" w:rsidP="00947375">
      <w:pPr>
        <w:rPr>
          <w:b/>
          <w:bCs/>
        </w:rPr>
      </w:pPr>
      <w:r w:rsidRPr="00947375">
        <w:rPr>
          <w:b/>
          <w:bCs/>
        </w:rPr>
        <w:t xml:space="preserve">How feasibly can hydrogen technology be applied in various sectors, from transportation, to energy generation and </w:t>
      </w:r>
      <w:r w:rsidRPr="00947375">
        <w:rPr>
          <w:b/>
          <w:bCs/>
        </w:rPr>
        <w:t>industrial processes, whilst maintaining the highest safety standards?</w:t>
      </w:r>
    </w:p>
    <w:p w:rsidR="00617F88" w:rsidP="00D44FA3">
      <w:r>
        <w:t>It</w:t>
      </w:r>
      <w:r w:rsidRPr="00775BF8">
        <w:t xml:space="preserve"> can be difficult for developers to source hydrogen in bulk to test operational characteristics. Using the power sector as an example, it can be difficult for turbine manufacturers to</w:t>
      </w:r>
      <w:r w:rsidRPr="00775BF8">
        <w:t xml:space="preserve"> source enough hydrogen to test blended operation or full hydrogen operation of the turbine with hydrogen. This is hindering the development of hydrogen compatible technologies. The UK has the opportunity to establish a hydrogen test centre which could bec</w:t>
      </w:r>
      <w:r w:rsidRPr="00775BF8">
        <w:t>ome a hub for the development of hydrogen technologies in Europe and globally. We would encourage the government to explore this approach.</w:t>
      </w:r>
    </w:p>
    <w:p w:rsidR="00617F88" w:rsidRPr="00D44FA3" w:rsidP="00D44FA3">
      <w:pPr>
        <w:rPr>
          <w:b/>
          <w:bCs/>
        </w:rPr>
      </w:pPr>
      <w:r w:rsidRPr="00D44FA3">
        <w:rPr>
          <w:b/>
          <w:bCs/>
        </w:rPr>
        <w:t>How might the UK take advantage of further advances in hydrogen technology, such as hydrogen boilers and innovative s</w:t>
      </w:r>
      <w:r w:rsidRPr="00D44FA3">
        <w:rPr>
          <w:b/>
          <w:bCs/>
        </w:rPr>
        <w:t>torage and distribution solutions?</w:t>
      </w:r>
    </w:p>
    <w:p w:rsidR="00617F88" w:rsidP="00D44FA3">
      <w:r>
        <w:t>Not Answered.</w:t>
      </w:r>
    </w:p>
    <w:p w:rsidR="00617F88" w:rsidRPr="00D44FA3" w:rsidP="00D44FA3">
      <w:pPr>
        <w:rPr>
          <w:b/>
          <w:bCs/>
        </w:rPr>
      </w:pPr>
      <w:r w:rsidRPr="00D44FA3">
        <w:rPr>
          <w:b/>
          <w:bCs/>
        </w:rPr>
        <w:t>What support does the sector require to keep pace with the most cutting-edge innovations, such as in hydrogen fuel cells</w:t>
      </w:r>
      <w:r>
        <w:rPr>
          <w:b/>
          <w:bCs/>
        </w:rPr>
        <w:t xml:space="preserve"> and </w:t>
      </w:r>
      <w:r w:rsidRPr="00D44FA3">
        <w:rPr>
          <w:b/>
          <w:bCs/>
        </w:rPr>
        <w:t>using Small Modular Reactors for hydrogen production?</w:t>
      </w:r>
    </w:p>
    <w:p w:rsidR="00617F88" w:rsidP="00D44FA3">
      <w:r>
        <w:t>Not Answered</w:t>
      </w:r>
      <w:r>
        <w:t>.</w:t>
      </w:r>
    </w:p>
    <w:p w:rsidR="00617F88" w:rsidRPr="00D44FA3" w:rsidP="00D44FA3">
      <w:pPr>
        <w:rPr>
          <w:b/>
          <w:bCs/>
        </w:rPr>
      </w:pPr>
      <w:r w:rsidRPr="00D44FA3">
        <w:rPr>
          <w:b/>
          <w:bCs/>
        </w:rPr>
        <w:t xml:space="preserve">What is the </w:t>
      </w:r>
      <w:r w:rsidRPr="00D44FA3">
        <w:rPr>
          <w:b/>
          <w:bCs/>
        </w:rPr>
        <w:t>UK industry doing to scale up green and blue hydrogen production by using its offshore wind capability and developing feasible, cost-effective Carbon Capture and Storage technologies?</w:t>
      </w:r>
    </w:p>
    <w:p w:rsidR="00D44FA3" w:rsidP="00D44FA3">
      <w:r>
        <w:t>As mentioned earlier</w:t>
      </w:r>
      <w:r>
        <w:t>,</w:t>
      </w:r>
      <w:r>
        <w:t xml:space="preserve"> Drax is heavily involved in CCUS</w:t>
      </w:r>
      <w:r>
        <w:t xml:space="preserve"> development</w:t>
      </w:r>
      <w:r>
        <w:t xml:space="preserve"> in th</w:t>
      </w:r>
      <w:r>
        <w:t xml:space="preserve">e Humber region </w:t>
      </w:r>
      <w:r>
        <w:t>as part of the Zero Carbon Humber initiative. This initiative aims to develop CCUS infrastructure in the Humber region to enable the deployment of CCUS technology including blue hydrogen production. The Zero Carbon Humber project is not the</w:t>
      </w:r>
      <w:r>
        <w:t xml:space="preserve"> only CCUS cluster project in the UK. There are projects in all five of the identified major industrial clusters in the UK all of which </w:t>
      </w:r>
      <w:r>
        <w:t>are proposing the deployment of hydrogen production facilities and have identified potential end users of hydrogen in th</w:t>
      </w:r>
      <w:r>
        <w:t>eir respective regions.</w:t>
      </w:r>
    </w:p>
    <w:p w:rsidR="00455E96" w:rsidRPr="00775BF8" w:rsidP="00455E96">
      <w:r w:rsidRPr="00775BF8">
        <w:t>When deployed as part of CCUS clusters hydrogen has significant potential to support economic growth and job creation and retention. Using the Humber region as an example the area is home to a multitude of carbon intensive industria</w:t>
      </w:r>
      <w:r w:rsidRPr="00775BF8">
        <w:t>l emitters, contributing £18 billion per year to UK GVA, and employ</w:t>
      </w:r>
      <w:r>
        <w:t>ing</w:t>
      </w:r>
      <w:r w:rsidRPr="00775BF8">
        <w:t xml:space="preserve"> tens of thousands of workers with 55,000 employed in the manufacturing sector alone.</w:t>
      </w:r>
      <w:r>
        <w:t xml:space="preserve"> These jobs and jobs in similar sectors are at risk unless CCUS and hydrogen is developed in the regi</w:t>
      </w:r>
      <w:r>
        <w:t xml:space="preserve">on. </w:t>
      </w:r>
    </w:p>
    <w:p w:rsidR="00455E96" w:rsidRPr="00455E96" w:rsidP="00455E96">
      <w:r w:rsidRPr="00775BF8">
        <w:t>Developing Hydrogen and CCUS technology in the region would not only safeguard these jobs but would enable much needed investment to pour into the region in a period of economic uncertainty with billions of pounds of private investment waiting to be u</w:t>
      </w:r>
      <w:r w:rsidRPr="00775BF8">
        <w:t>nlocked. This investment would create numerous jobs during both the construction and operational phases of the CCUS and hydrogen infrastructure and will provide opportunities for workers in various high-carbon industries to retrain for highly skilled and w</w:t>
      </w:r>
      <w:r w:rsidRPr="00775BF8">
        <w:t>ell-paying new work in a low-carbon industry.</w:t>
      </w:r>
    </w:p>
    <w:p w:rsidR="002E7002" w:rsidP="00D44FA3">
      <w:r>
        <w:t xml:space="preserve">It has become increasingly clear that if we are to meet a net-zero target we must deploy carbon capture and storage in all five of the identified major CCUS clusters in the UK. Each of the clusters is ready to </w:t>
      </w:r>
      <w:r>
        <w:t>progress their development in the near term but will require significant government support for development and ultimately will require investable business models across the CCUS chain including hydrogen production.</w:t>
      </w:r>
      <w:r>
        <w:t xml:space="preserve"> The government’s </w:t>
      </w:r>
      <w:r>
        <w:t>current approach of sup</w:t>
      </w:r>
      <w:r>
        <w:t xml:space="preserve">porting just two of these clusters under the Industrial Strategy Challenge Fund and the proposed £800 million for CCUS clusters </w:t>
      </w:r>
      <w:r>
        <w:t>should be expanded to include all of the major clusters.</w:t>
      </w:r>
    </w:p>
    <w:p w:rsidR="00617F88" w:rsidRPr="000E7D98" w:rsidP="000E7D98">
      <w:pPr>
        <w:rPr>
          <w:b/>
          <w:bCs/>
        </w:rPr>
      </w:pPr>
      <w:r w:rsidRPr="000E7D98">
        <w:rPr>
          <w:b/>
          <w:bCs/>
        </w:rPr>
        <w:t>Given hydrogen’s potential cross-sector application, how co-ordinated i</w:t>
      </w:r>
      <w:r w:rsidRPr="000E7D98">
        <w:rPr>
          <w:b/>
          <w:bCs/>
        </w:rPr>
        <w:t xml:space="preserve">s the Government’s approach to policy and regulatory development of hydrogen?  </w:t>
      </w:r>
    </w:p>
    <w:p w:rsidR="000E7D98" w:rsidP="000E7D98">
      <w:r w:rsidRPr="000E7D98">
        <w:t xml:space="preserve">BEIS has recently introduced a hydrogen expert working group to develop hydrogen production business models. Drax strongly welcomes the introduction of this group and believes </w:t>
      </w:r>
      <w:r w:rsidRPr="000E7D98">
        <w:t xml:space="preserve">this is a vital first step in developing a hydrogen economy. This group has started by initially </w:t>
      </w:r>
      <w:r>
        <w:t>discussing</w:t>
      </w:r>
      <w:r w:rsidRPr="000E7D98">
        <w:t xml:space="preserve"> the role of a policy mechanism to support hydrogen production</w:t>
      </w:r>
      <w:r>
        <w:t xml:space="preserve"> and</w:t>
      </w:r>
      <w:r w:rsidRPr="000E7D98">
        <w:t>, whilst this will be a key aspect of deploying hydrogen at scale, we are of the vi</w:t>
      </w:r>
      <w:r w:rsidRPr="000E7D98">
        <w:t>ew that consideration of end user business models or obligations will also be necessary to see deployment in end use sectors</w:t>
      </w:r>
      <w:r>
        <w:t>.</w:t>
      </w:r>
    </w:p>
    <w:p w:rsidR="000E7D98" w:rsidP="000E7D98">
      <w:r>
        <w:t>We believe there are a number of areas where</w:t>
      </w:r>
      <w:r>
        <w:t xml:space="preserve"> the</w:t>
      </w:r>
      <w:r>
        <w:t xml:space="preserve"> government</w:t>
      </w:r>
      <w:r>
        <w:t>’</w:t>
      </w:r>
      <w:r>
        <w:t>s approach to hydrogen development could be improved. In addition to i</w:t>
      </w:r>
      <w:r>
        <w:t>ncrease</w:t>
      </w:r>
      <w:r>
        <w:t>d</w:t>
      </w:r>
      <w:r>
        <w:t xml:space="preserve"> development funding </w:t>
      </w:r>
      <w:r>
        <w:t>for hydrogen in power and hydrogen gasification</w:t>
      </w:r>
      <w:r>
        <w:t>,</w:t>
      </w:r>
      <w:r>
        <w:t xml:space="preserve"> the government should continue its work in funding the research and development of hydrogen ready appliances. In addition, we believe that a comprehensive hydrogen strategy should be developed, outlining the government</w:t>
      </w:r>
      <w:r>
        <w:t>’s</w:t>
      </w:r>
      <w:r>
        <w:t xml:space="preserve"> approach to </w:t>
      </w:r>
      <w:r>
        <w:t>supporting hydrogen pr</w:t>
      </w:r>
      <w:r>
        <w:t>oduction and the use of hydrogen in end use sectors</w:t>
      </w:r>
      <w:r>
        <w:t xml:space="preserve"> and outlining an export strategy for hydrogen produced in the UK. </w:t>
      </w:r>
    </w:p>
    <w:p w:rsidR="00617F88" w:rsidP="00CF2086">
      <w:pPr>
        <w:rPr>
          <w:b/>
          <w:bCs/>
        </w:rPr>
      </w:pPr>
      <w:r w:rsidRPr="00CF2086">
        <w:rPr>
          <w:b/>
          <w:bCs/>
        </w:rPr>
        <w:t>How well has the Government raised awareness amongst industry, public officials and the general public of the potential for hydrogen to s</w:t>
      </w:r>
      <w:r w:rsidRPr="00CF2086">
        <w:rPr>
          <w:b/>
          <w:bCs/>
        </w:rPr>
        <w:t>upport a low-carbon economy?</w:t>
      </w:r>
    </w:p>
    <w:p w:rsidR="00CF2086" w:rsidP="00CF2086">
      <w:r>
        <w:t xml:space="preserve">Awareness of hydrogen amongst industry participants is high and there are a number of companies both large and small with interests in developing hydrogen technologies. Similarly, public officials seem to have a generally high </w:t>
      </w:r>
      <w:r>
        <w:t xml:space="preserve">awareness of the potential role of hydrogen in decarbonisation. </w:t>
      </w:r>
    </w:p>
    <w:p w:rsidR="00455E96" w:rsidRPr="00CF2086" w:rsidP="00CF2086">
      <w:r>
        <w:t xml:space="preserve">Public awareness of </w:t>
      </w:r>
      <w:r>
        <w:t>hydrogen</w:t>
      </w:r>
      <w:r>
        <w:t xml:space="preserve"> </w:t>
      </w:r>
      <w:r>
        <w:t xml:space="preserve">however </w:t>
      </w:r>
      <w:r>
        <w:t>is low. This is particularly prevalent when discussing the potential role of decarbonised heating systems as these systems will have a direct impact on th</w:t>
      </w:r>
      <w:r>
        <w:t xml:space="preserve">e lives of the general public. Data on heat from the latest BEIS public attitudes survey has shown that the public is </w:t>
      </w:r>
      <w:r>
        <w:t xml:space="preserve">generally </w:t>
      </w:r>
      <w:r>
        <w:t>unaware that heating systems will need to be decarbonised</w:t>
      </w:r>
      <w:r>
        <w:rPr>
          <w:rStyle w:val="FootnoteReference"/>
        </w:rPr>
        <w:footnoteReference w:id="7"/>
      </w:r>
      <w:r>
        <w:t>. This will need to change as high-carbon forms of heating are gradual</w:t>
      </w:r>
      <w:r>
        <w:t xml:space="preserve">ly phased out in favour of low-carbon alternatives including hydrogen. </w:t>
      </w:r>
    </w:p>
    <w:p w:rsidR="00617F88" w:rsidP="00455E96">
      <w:pPr>
        <w:rPr>
          <w:b/>
          <w:bCs/>
        </w:rPr>
      </w:pPr>
      <w:r w:rsidRPr="00455E96">
        <w:rPr>
          <w:b/>
          <w:bCs/>
        </w:rPr>
        <w:t>To what extent has the UK established, or can establish, any early adopter advantage in the use of hydrogen in research, applied science or industrial processes? Which countries are at</w:t>
      </w:r>
      <w:r w:rsidRPr="00455E96">
        <w:rPr>
          <w:b/>
          <w:bCs/>
        </w:rPr>
        <w:t xml:space="preserve"> a similar or more advanced stage than the UK in exploring applications for hydrogen in helping deliver net-zero targets?</w:t>
      </w:r>
    </w:p>
    <w:p w:rsidR="00455E96" w:rsidP="00455E96">
      <w:r>
        <w:t>The UK has a significant opportunity to become a global leader in hydrogen production and end use technologies however must act quickl</w:t>
      </w:r>
      <w:r>
        <w:t xml:space="preserve">y to ensure that these opportunities are seized. </w:t>
      </w:r>
    </w:p>
    <w:p w:rsidR="00455E96" w:rsidRPr="00775BF8" w:rsidP="00455E96">
      <w:r w:rsidRPr="00775BF8">
        <w:t>A study by Element Energy highlighted that</w:t>
      </w:r>
      <w:r>
        <w:t>,</w:t>
      </w:r>
      <w:r w:rsidRPr="00775BF8">
        <w:t xml:space="preserve"> in a scenario where the UK becomes a world leading decarbonised economy with significant hydrogen deployment and export of </w:t>
      </w:r>
      <w:r w:rsidRPr="00775BF8">
        <w:t xml:space="preserve">hydrogen to Europe, the development of </w:t>
      </w:r>
      <w:r w:rsidRPr="00775BF8">
        <w:t>a hydrogen economy could create 221,000 jobs and contribute to £18 billion to GVA in the UK per year</w:t>
      </w:r>
      <w:r>
        <w:rPr>
          <w:rStyle w:val="FootnoteReference"/>
          <w:rFonts w:cs="Arial"/>
          <w:sz w:val="20"/>
          <w:szCs w:val="20"/>
        </w:rPr>
        <w:footnoteReference w:id="8"/>
      </w:r>
      <w:r w:rsidRPr="00775BF8">
        <w:t xml:space="preserve">. </w:t>
      </w:r>
    </w:p>
    <w:p w:rsidR="00455E96" w:rsidRPr="00455E96" w:rsidP="00455E96">
      <w:r>
        <w:t>In order to realise this ambition, the UK government should continue to develop hydrogen production business models, and other CCUS business models to e</w:t>
      </w:r>
      <w:r>
        <w:t>nsure that all proposed clusters are able to deploy hydrogen production at scale. The UK could also take a lead in developing and testing end use hydrogen technologies such as power turbines or hydrogen boilers and develop business models or obligations to</w:t>
      </w:r>
      <w:r>
        <w:t xml:space="preserve"> deploy hydrogen in end use sectors. </w:t>
      </w:r>
    </w:p>
    <w:p w:rsidR="00617F88" w:rsidP="00455E96">
      <w:pPr>
        <w:rPr>
          <w:b/>
          <w:bCs/>
        </w:rPr>
      </w:pPr>
      <w:r w:rsidRPr="00455E96">
        <w:rPr>
          <w:b/>
          <w:bCs/>
        </w:rPr>
        <w:t>What can the UK hydrogen sector learn from other countries’ hydrogen strategi</w:t>
      </w:r>
      <w:r>
        <w:rPr>
          <w:b/>
          <w:bCs/>
        </w:rPr>
        <w:t>es?</w:t>
      </w:r>
    </w:p>
    <w:p w:rsidR="00455E96" w:rsidP="00455E96">
      <w:r>
        <w:t>The recently published German Hydrogen Strategy (Die Nationale Wasserstoffstrategie)</w:t>
      </w:r>
      <w:r>
        <w:rPr>
          <w:rStyle w:val="FootnoteReference"/>
        </w:rPr>
        <w:footnoteReference w:id="9"/>
      </w:r>
      <w:r>
        <w:t xml:space="preserve"> should be considered in the context of the developm</w:t>
      </w:r>
      <w:r>
        <w:t xml:space="preserve">ent of a UK Hydrogen Strategy. The German strategy effectively excludes domestic blue hydrogen production from receiving support under the proposed </w:t>
      </w:r>
      <w:r>
        <w:rPr>
          <w:rFonts w:cs="Arial"/>
        </w:rPr>
        <w:t>€</w:t>
      </w:r>
      <w:r>
        <w:t>9 billion hydrogen support package.</w:t>
      </w:r>
    </w:p>
    <w:p w:rsidR="00455E96" w:rsidP="00455E96">
      <w:r>
        <w:t>However, the strategy recognises that domestic green hydrogen productio</w:t>
      </w:r>
      <w:r>
        <w:t xml:space="preserve">n (14 TWh predicted) will be unable to meet domestic demand for hydrogen (90-110 TWh predicted) with a large gap to be filled by hydrogen imports. </w:t>
      </w:r>
    </w:p>
    <w:p w:rsidR="00455E96" w:rsidP="00455E96">
      <w:r>
        <w:t>Since blue hydrogen production is likely to play a key role in the UK’s hydrogen production, the UK has an e</w:t>
      </w:r>
      <w:r>
        <w:t xml:space="preserve">xcellent opportunity to supply low-carbon hydrogen to Germany and other European countries supporting hundreds of thousands of jobs and contributing £billions to UK GVA. The UK government will need to act quickly to realise this opportunity. </w:t>
      </w:r>
    </w:p>
    <w:p w:rsidR="004A0F69" w:rsidP="00455E96"/>
    <w:p w:rsidR="004A0F69" w:rsidRPr="00455E96" w:rsidP="00455E96">
      <w:r>
        <w:t>June 2020</w:t>
      </w:r>
      <w:bookmarkStart w:id="0" w:name="_GoBack"/>
      <w:bookmarkEnd w:id="0"/>
    </w:p>
    <w:sectPr>
      <w:headerReference w:type="default" r:id="rId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EB5C35" w:rsidP="00463ED7">
      <w:pPr>
        <w:spacing w:after="0" w:line="240" w:lineRule="auto"/>
      </w:pPr>
      <w:r>
        <w:separator/>
      </w:r>
    </w:p>
  </w:footnote>
  <w:footnote w:type="continuationSeparator" w:id="1">
    <w:p w:rsidR="00EB5C35" w:rsidP="00463ED7">
      <w:pPr>
        <w:spacing w:after="0" w:line="240" w:lineRule="auto"/>
      </w:pPr>
      <w:r>
        <w:continuationSeparator/>
      </w:r>
    </w:p>
  </w:footnote>
  <w:footnote w:id="2">
    <w:p w:rsidR="00947375">
      <w:pPr>
        <w:pStyle w:val="FootnoteText"/>
      </w:pPr>
      <w:r>
        <w:rPr>
          <w:rStyle w:val="FootnoteReference"/>
        </w:rPr>
        <w:footnoteRef/>
      </w:r>
      <w:r>
        <w:t xml:space="preserve"> </w:t>
      </w:r>
      <w:r>
        <w:fldChar w:fldCharType="begin"/>
      </w:r>
      <w:r>
        <w:instrText xml:space="preserve"> HYPERLINK "https://www.theccc.org.uk/publication/net-zero-the-uks-contribution-to-stopping-global-warming/" </w:instrText>
      </w:r>
      <w:r>
        <w:fldChar w:fldCharType="separate"/>
      </w:r>
      <w:r>
        <w:rPr>
          <w:rStyle w:val="Hyperlink"/>
        </w:rPr>
        <w:t>https://www.theccc.org.uk/publication/net-zero-the-uks-contribution-to-stopping-global-warming/</w:t>
      </w:r>
      <w:r>
        <w:fldChar w:fldCharType="end"/>
      </w:r>
    </w:p>
  </w:footnote>
  <w:footnote w:id="3">
    <w:p w:rsidR="00947375" w:rsidP="00DD2131">
      <w:pPr>
        <w:pStyle w:val="FootnoteText"/>
      </w:pPr>
      <w:r>
        <w:rPr>
          <w:rStyle w:val="FootnoteReference"/>
        </w:rPr>
        <w:footnoteRef/>
      </w:r>
      <w:r>
        <w:t xml:space="preserve"> </w:t>
      </w:r>
      <w:r>
        <w:fldChar w:fldCharType="begin"/>
      </w:r>
      <w:r>
        <w:instrText xml:space="preserve"> HYPERLINK "https://www.zerocarbonhumber.co.uk/wp-content/uploads/2019/11/Capture-for-Growth-Zero-Carbon-Humber-V4.9-Digital.pdf" </w:instrText>
      </w:r>
      <w:r>
        <w:fldChar w:fldCharType="separate"/>
      </w:r>
      <w:r>
        <w:rPr>
          <w:rStyle w:val="Hyperlink"/>
        </w:rPr>
        <w:t>https://www.zerocarbonhumber.co.uk/wp-content/uploads/2019/11/Capture-for-Growth-Zero-Carbon-Humber-V4.9-Digital.pdf</w:t>
      </w:r>
      <w:r>
        <w:fldChar w:fldCharType="end"/>
      </w:r>
    </w:p>
  </w:footnote>
  <w:footnote w:id="4">
    <w:p w:rsidR="00947375">
      <w:pPr>
        <w:pStyle w:val="FootnoteText"/>
      </w:pPr>
      <w:r>
        <w:rPr>
          <w:rStyle w:val="FootnoteReference"/>
        </w:rPr>
        <w:footnoteRef/>
      </w:r>
      <w:r>
        <w:t xml:space="preserve"> </w:t>
      </w:r>
      <w:r>
        <w:fldChar w:fldCharType="begin"/>
      </w:r>
      <w:r>
        <w:instrText xml:space="preserve"> HYPERLINK "https://www.theccc.org.uk/publication/net-zero-technical-report/" </w:instrText>
      </w:r>
      <w:r>
        <w:fldChar w:fldCharType="separate"/>
      </w:r>
      <w:r>
        <w:rPr>
          <w:rStyle w:val="Hyperlink"/>
        </w:rPr>
        <w:t>https://www.theccc.org.uk/publication/net-zero-technical-report/</w:t>
      </w:r>
      <w:r>
        <w:fldChar w:fldCharType="end"/>
      </w:r>
    </w:p>
  </w:footnote>
  <w:footnote w:id="5">
    <w:p w:rsidR="00947375" w:rsidP="00233A18">
      <w:pPr>
        <w:pStyle w:val="FootnoteText"/>
      </w:pPr>
      <w:r>
        <w:rPr>
          <w:rStyle w:val="FootnoteReference"/>
        </w:rPr>
        <w:footnoteRef/>
      </w:r>
      <w:r>
        <w:t xml:space="preserve"> </w:t>
      </w:r>
      <w:r>
        <w:fldChar w:fldCharType="begin"/>
      </w:r>
      <w:r>
        <w:instrText xml:space="preserve"> HYPERLINK "https://www.nic.org.uk/wp-content/uploads/Net-Zero-6-March-2020.pdf" </w:instrText>
      </w:r>
      <w:r>
        <w:fldChar w:fldCharType="separate"/>
      </w:r>
      <w:r>
        <w:rPr>
          <w:rStyle w:val="Hyperlink"/>
        </w:rPr>
        <w:t>https://www.nic.org.uk/wp-content/uploads/Net-Zero-6-March-2020.pdf</w:t>
      </w:r>
      <w:r>
        <w:fldChar w:fldCharType="end"/>
      </w:r>
    </w:p>
  </w:footnote>
  <w:footnote w:id="6">
    <w:p w:rsidR="00947375" w:rsidP="00947375">
      <w:pPr>
        <w:pStyle w:val="FootnoteText"/>
      </w:pPr>
      <w:r>
        <w:rPr>
          <w:rStyle w:val="FootnoteReference"/>
        </w:rPr>
        <w:footnoteRef/>
      </w:r>
      <w:r>
        <w:t xml:space="preserve"> </w:t>
      </w:r>
      <w:r>
        <w:fldChar w:fldCharType="begin"/>
      </w:r>
      <w:r>
        <w:instrText xml:space="preserve"> HYPERLINK "https://www.iea.org/reports/the-future-of-hydrogen" </w:instrText>
      </w:r>
      <w:r>
        <w:fldChar w:fldCharType="separate"/>
      </w:r>
      <w:r>
        <w:rPr>
          <w:rStyle w:val="Hyperlink"/>
        </w:rPr>
        <w:t>https://www.iea.org/reports/the-future-of-hydrogen</w:t>
      </w:r>
      <w:r>
        <w:fldChar w:fldCharType="end"/>
      </w:r>
    </w:p>
  </w:footnote>
  <w:footnote w:id="7">
    <w:p w:rsidR="00455E96">
      <w:pPr>
        <w:pStyle w:val="FootnoteText"/>
      </w:pPr>
      <w:r>
        <w:rPr>
          <w:rStyle w:val="FootnoteReference"/>
        </w:rPr>
        <w:footnoteRef/>
      </w:r>
      <w:r>
        <w:t xml:space="preserve"> </w:t>
      </w:r>
      <w:r>
        <w:fldChar w:fldCharType="begin"/>
      </w:r>
      <w:r>
        <w:instrText xml:space="preserve"> HYPERLINK "https://www.gov.uk/government/statistics/beis-public-attitudes-tracker-wave-33" </w:instrText>
      </w:r>
      <w:r>
        <w:fldChar w:fldCharType="separate"/>
      </w:r>
      <w:r>
        <w:rPr>
          <w:rStyle w:val="Hyperlink"/>
        </w:rPr>
        <w:t>https://www.gov.uk/government/statistics/b</w:t>
      </w:r>
      <w:r>
        <w:rPr>
          <w:rStyle w:val="Hyperlink"/>
        </w:rPr>
        <w:t>eis-public-attitudes-tracker-wave-33</w:t>
      </w:r>
      <w:r>
        <w:fldChar w:fldCharType="end"/>
      </w:r>
    </w:p>
  </w:footnote>
  <w:footnote w:id="8">
    <w:p w:rsidR="00455E96" w:rsidP="00455E96">
      <w:pPr>
        <w:pStyle w:val="FootnoteText"/>
      </w:pPr>
      <w:r>
        <w:rPr>
          <w:rStyle w:val="FootnoteReference"/>
        </w:rPr>
        <w:footnoteRef/>
      </w:r>
      <w:r>
        <w:t xml:space="preserve"> </w:t>
      </w:r>
      <w:r>
        <w:fldChar w:fldCharType="begin"/>
      </w:r>
      <w:r>
        <w:instrText xml:space="preserve"> HYPERLINK "http://www.element-energy.co.uk/wordpress/wp-content/uploads/2019/11/Element-Energy-Hy-Impact-Series-Study-1-Hydrogen-for-Economic-Growth.pdf" </w:instrText>
      </w:r>
      <w:r>
        <w:fldChar w:fldCharType="separate"/>
      </w:r>
      <w:r>
        <w:rPr>
          <w:rStyle w:val="Hyperlink"/>
        </w:rPr>
        <w:t>http://www.element-energy.co.uk/wordpress/wp-content/upload</w:t>
      </w:r>
      <w:r>
        <w:rPr>
          <w:rStyle w:val="Hyperlink"/>
        </w:rPr>
        <w:t>s/2019/11/Element-Energy-Hy-Impact-Series-Study-1-Hydrogen-for-Economic-Growth.pdf</w:t>
      </w:r>
      <w:r>
        <w:fldChar w:fldCharType="end"/>
      </w:r>
    </w:p>
  </w:footnote>
  <w:footnote w:id="9">
    <w:p w:rsidR="00455E96">
      <w:pPr>
        <w:pStyle w:val="FootnoteText"/>
      </w:pPr>
      <w:r>
        <w:rPr>
          <w:rStyle w:val="FootnoteReference"/>
        </w:rPr>
        <w:footnoteRef/>
      </w:r>
      <w:r>
        <w:t xml:space="preserve"> </w:t>
      </w:r>
      <w:r>
        <w:fldChar w:fldCharType="begin"/>
      </w:r>
      <w:r>
        <w:instrText xml:space="preserve"> HYPERLINK "https://www.bmwi.de/Redaktion/DE/Publikationen/Energie/die-nationale-wasserstoffstrategie.pdf?__blob=publicationFile&amp;v=12" </w:instrText>
      </w:r>
      <w:r>
        <w:fldChar w:fldCharType="separate"/>
      </w:r>
      <w:r>
        <w:rPr>
          <w:rStyle w:val="Hyperlink"/>
        </w:rPr>
        <w:t>https://www.bmwi.de/Redaktion/DE/</w:t>
      </w:r>
      <w:r>
        <w:rPr>
          <w:rStyle w:val="Hyperlink"/>
        </w:rPr>
        <w:t>Publikationen/Energie/die-nationale-wasserstoffstrategie.pdf?__blob=publicationFile&amp;v=12</w:t>
      </w:r>
      <w:r>
        <w:fldChar w:fldCharType="end"/>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0F69">
    <w:pPr>
      <w:pStyle w:val="Header"/>
    </w:pPr>
    <w:r>
      <w:t>HYD0036</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E86615E"/>
    <w:multiLevelType w:val="multilevel"/>
    <w:tmpl w:val="4858EF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EA95EC2"/>
    <w:multiLevelType w:val="hybridMultilevel"/>
    <w:tmpl w:val="F5A414E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
    <w:nsid w:val="3B957F0E"/>
    <w:multiLevelType w:val="multilevel"/>
    <w:tmpl w:val="0B4A75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56751302"/>
    <w:multiLevelType w:val="multilevel"/>
    <w:tmpl w:val="BD9449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TrackMoves/>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277105"/>
    <w:rPr>
      <w:rFonts w:ascii="Arial" w:hAnsi="Arial"/>
    </w:rPr>
  </w:style>
  <w:style w:type="paragraph" w:styleId="Heading1">
    <w:name w:val="heading 1"/>
    <w:basedOn w:val="Normal"/>
    <w:next w:val="Normal"/>
    <w:link w:val="Heading1Char"/>
    <w:uiPriority w:val="9"/>
    <w:qFormat/>
    <w:rsid w:val="00277105"/>
    <w:pPr>
      <w:keepNext/>
      <w:keepLines/>
      <w:spacing w:before="240" w:after="0"/>
      <w:outlineLvl w:val="0"/>
    </w:pPr>
    <w:rPr>
      <w:rFonts w:eastAsiaTheme="majorEastAsia"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277105"/>
    <w:pPr>
      <w:keepNext/>
      <w:keepLines/>
      <w:spacing w:before="40" w:after="0"/>
      <w:outlineLvl w:val="1"/>
    </w:pPr>
    <w:rPr>
      <w:rFonts w:eastAsiaTheme="majorEastAsia"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277105"/>
    <w:pPr>
      <w:keepNext/>
      <w:keepLines/>
      <w:spacing w:before="40" w:after="0"/>
      <w:outlineLvl w:val="2"/>
    </w:pPr>
    <w:rPr>
      <w:rFonts w:eastAsiaTheme="majorEastAsia"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77105"/>
    <w:rPr>
      <w:rFonts w:ascii="Arial" w:hAnsi="Arial" w:eastAsiaTheme="majorEastAsia" w:cstheme="majorBidi"/>
      <w:color w:val="2F5496" w:themeColor="accent1" w:themeShade="BF"/>
      <w:sz w:val="32"/>
      <w:szCs w:val="32"/>
    </w:rPr>
  </w:style>
  <w:style w:type="paragraph" w:styleId="NoSpacing">
    <w:name w:val="No Spacing"/>
    <w:uiPriority w:val="1"/>
    <w:qFormat/>
    <w:rsid w:val="00277105"/>
    <w:pPr>
      <w:spacing w:after="0" w:line="240" w:lineRule="auto"/>
    </w:pPr>
    <w:rPr>
      <w:rFonts w:ascii="Arial" w:hAnsi="Arial"/>
    </w:rPr>
  </w:style>
  <w:style w:type="character" w:customStyle="1" w:styleId="Heading2Char">
    <w:name w:val="Heading 2 Char"/>
    <w:basedOn w:val="DefaultParagraphFont"/>
    <w:link w:val="Heading2"/>
    <w:uiPriority w:val="9"/>
    <w:rsid w:val="00277105"/>
    <w:rPr>
      <w:rFonts w:ascii="Arial" w:hAnsi="Arial" w:eastAsiaTheme="majorEastAsia" w:cstheme="majorBidi"/>
      <w:color w:val="2F5496" w:themeColor="accent1" w:themeShade="BF"/>
      <w:sz w:val="26"/>
      <w:szCs w:val="26"/>
    </w:rPr>
  </w:style>
  <w:style w:type="character" w:customStyle="1" w:styleId="Heading3Char">
    <w:name w:val="Heading 3 Char"/>
    <w:basedOn w:val="DefaultParagraphFont"/>
    <w:link w:val="Heading3"/>
    <w:uiPriority w:val="9"/>
    <w:rsid w:val="00277105"/>
    <w:rPr>
      <w:rFonts w:ascii="Arial" w:hAnsi="Arial" w:eastAsiaTheme="majorEastAsia" w:cstheme="majorBidi"/>
      <w:color w:val="1F3763" w:themeColor="accent1" w:themeShade="7F"/>
      <w:sz w:val="24"/>
      <w:szCs w:val="24"/>
    </w:rPr>
  </w:style>
  <w:style w:type="paragraph" w:styleId="Title">
    <w:name w:val="Title"/>
    <w:basedOn w:val="Normal"/>
    <w:next w:val="Normal"/>
    <w:link w:val="TitleChar"/>
    <w:uiPriority w:val="10"/>
    <w:qFormat/>
    <w:rsid w:val="00277105"/>
    <w:pPr>
      <w:spacing w:after="0" w:line="240" w:lineRule="auto"/>
      <w:contextualSpacing/>
    </w:pPr>
    <w:rPr>
      <w:rFonts w:eastAsiaTheme="majorEastAsia" w:cstheme="majorBidi"/>
      <w:spacing w:val="-10"/>
      <w:kern w:val="28"/>
      <w:sz w:val="56"/>
      <w:szCs w:val="56"/>
    </w:rPr>
  </w:style>
  <w:style w:type="character" w:customStyle="1" w:styleId="TitleChar">
    <w:name w:val="Title Char"/>
    <w:basedOn w:val="DefaultParagraphFont"/>
    <w:link w:val="Title"/>
    <w:uiPriority w:val="10"/>
    <w:rsid w:val="00277105"/>
    <w:rPr>
      <w:rFonts w:ascii="Arial" w:hAnsi="Arial" w:eastAsiaTheme="majorEastAsia" w:cstheme="majorBidi"/>
      <w:spacing w:val="-10"/>
      <w:kern w:val="28"/>
      <w:sz w:val="56"/>
      <w:szCs w:val="56"/>
    </w:rPr>
  </w:style>
  <w:style w:type="paragraph" w:styleId="Subtitle">
    <w:name w:val="Subtitle"/>
    <w:basedOn w:val="Normal"/>
    <w:next w:val="Normal"/>
    <w:link w:val="SubtitleChar"/>
    <w:uiPriority w:val="11"/>
    <w:qFormat/>
    <w:rsid w:val="00277105"/>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277105"/>
    <w:rPr>
      <w:rFonts w:ascii="Arial" w:hAnsi="Arial" w:eastAsiaTheme="minorEastAsia"/>
      <w:color w:val="5A5A5A" w:themeColor="text1" w:themeTint="A5"/>
      <w:spacing w:val="15"/>
    </w:rPr>
  </w:style>
  <w:style w:type="paragraph" w:styleId="ListParagraph">
    <w:name w:val="List Paragraph"/>
    <w:basedOn w:val="Normal"/>
    <w:uiPriority w:val="34"/>
    <w:qFormat/>
    <w:rsid w:val="00617F88"/>
    <w:pPr>
      <w:ind w:left="720"/>
      <w:contextualSpacing/>
    </w:pPr>
  </w:style>
  <w:style w:type="paragraph" w:styleId="BalloonText">
    <w:name w:val="Balloon Text"/>
    <w:basedOn w:val="Normal"/>
    <w:link w:val="BalloonTextChar"/>
    <w:uiPriority w:val="99"/>
    <w:semiHidden/>
    <w:unhideWhenUsed/>
    <w:rsid w:val="00436A6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36A69"/>
    <w:rPr>
      <w:rFonts w:ascii="Segoe UI" w:hAnsi="Segoe UI" w:cs="Segoe UI"/>
      <w:sz w:val="18"/>
      <w:szCs w:val="18"/>
    </w:rPr>
  </w:style>
  <w:style w:type="paragraph" w:styleId="FootnoteText">
    <w:name w:val="footnote text"/>
    <w:basedOn w:val="Normal"/>
    <w:link w:val="FootnoteTextChar"/>
    <w:uiPriority w:val="99"/>
    <w:semiHidden/>
    <w:unhideWhenUsed/>
    <w:rsid w:val="00463ED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63ED7"/>
    <w:rPr>
      <w:rFonts w:ascii="Arial" w:hAnsi="Arial"/>
      <w:sz w:val="20"/>
      <w:szCs w:val="20"/>
    </w:rPr>
  </w:style>
  <w:style w:type="character" w:styleId="FootnoteReference">
    <w:name w:val="footnote reference"/>
    <w:basedOn w:val="DefaultParagraphFont"/>
    <w:uiPriority w:val="99"/>
    <w:semiHidden/>
    <w:unhideWhenUsed/>
    <w:rsid w:val="00463ED7"/>
    <w:rPr>
      <w:vertAlign w:val="superscript"/>
    </w:rPr>
  </w:style>
  <w:style w:type="character" w:styleId="Hyperlink">
    <w:name w:val="Hyperlink"/>
    <w:basedOn w:val="DefaultParagraphFont"/>
    <w:uiPriority w:val="99"/>
    <w:semiHidden/>
    <w:unhideWhenUsed/>
    <w:rsid w:val="00463ED7"/>
    <w:rPr>
      <w:color w:val="0000FF"/>
      <w:u w:val="single"/>
    </w:rPr>
  </w:style>
  <w:style w:type="paragraph" w:styleId="Header">
    <w:name w:val="header"/>
    <w:basedOn w:val="Normal"/>
    <w:link w:val="HeaderChar"/>
    <w:uiPriority w:val="99"/>
    <w:unhideWhenUsed/>
    <w:rsid w:val="004A0F69"/>
    <w:pPr>
      <w:tabs>
        <w:tab w:val="center" w:pos="4513"/>
        <w:tab w:val="right" w:pos="9026"/>
      </w:tabs>
      <w:spacing w:after="0" w:line="240" w:lineRule="auto"/>
    </w:pPr>
  </w:style>
  <w:style w:type="character" w:customStyle="1" w:styleId="HeaderChar">
    <w:name w:val="Header Char"/>
    <w:basedOn w:val="DefaultParagraphFont"/>
    <w:link w:val="Header"/>
    <w:uiPriority w:val="99"/>
    <w:rsid w:val="004A0F69"/>
    <w:rPr>
      <w:rFonts w:ascii="Arial" w:hAnsi="Arial"/>
    </w:rPr>
  </w:style>
  <w:style w:type="paragraph" w:styleId="Footer">
    <w:name w:val="footer"/>
    <w:basedOn w:val="Normal"/>
    <w:link w:val="FooterChar"/>
    <w:uiPriority w:val="99"/>
    <w:unhideWhenUsed/>
    <w:rsid w:val="004A0F69"/>
    <w:pPr>
      <w:tabs>
        <w:tab w:val="center" w:pos="4513"/>
        <w:tab w:val="right" w:pos="9026"/>
      </w:tabs>
      <w:spacing w:after="0" w:line="240" w:lineRule="auto"/>
    </w:pPr>
  </w:style>
  <w:style w:type="character" w:customStyle="1" w:styleId="FooterChar">
    <w:name w:val="Footer Char"/>
    <w:basedOn w:val="DefaultParagraphFont"/>
    <w:link w:val="Footer"/>
    <w:uiPriority w:val="99"/>
    <w:rsid w:val="004A0F69"/>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EE2F6A1FAF37548944F321125EFA40C" ma:contentTypeVersion="13" ma:contentTypeDescription="Create a new document." ma:contentTypeScope="" ma:versionID="25b03016bce56bc689fb8bf22cd1e9ee">
  <xsd:schema xmlns:xsd="http://www.w3.org/2001/XMLSchema" xmlns:xs="http://www.w3.org/2001/XMLSchema" xmlns:p="http://schemas.microsoft.com/office/2006/metadata/properties" xmlns:ns3="cff41d9c-1186-480b-845e-fa1cb3f6ab57" xmlns:ns4="340d00ed-ef11-474d-baa0-320f37c446ec" targetNamespace="http://schemas.microsoft.com/office/2006/metadata/properties" ma:root="true" ma:fieldsID="7241698e99f824e5b5ca3b753ae62c15" ns3:_="" ns4:_="">
    <xsd:import namespace="cff41d9c-1186-480b-845e-fa1cb3f6ab57"/>
    <xsd:import namespace="340d00ed-ef11-474d-baa0-320f37c446ec"/>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DateTaken" minOccurs="0"/>
                <xsd:element ref="ns3:MediaServiceLocation" minOccurs="0"/>
                <xsd:element ref="ns3:MediaServiceOCR" minOccurs="0"/>
                <xsd:element ref="ns3:MediaServiceGenerationTime" minOccurs="0"/>
                <xsd:element ref="ns3:MediaServiceEventHashCod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ff41d9c-1186-480b-845e-fa1cb3f6ab5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MediaServiceAutoTags" ma:internalName="MediaServiceAutoTags"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40d00ed-ef11-474d-baa0-320f37c446ec"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937203-51EF-4373-B6BB-FB610F9AC9C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ff41d9c-1186-480b-845e-fa1cb3f6ab57"/>
    <ds:schemaRef ds:uri="340d00ed-ef11-474d-baa0-320f37c446e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6B35C76-7354-498F-8866-FA0B5F8FDCBD}">
  <ds:schemaRefs>
    <ds:schemaRef ds:uri="http://schemas.microsoft.com/sharepoint/v3/contenttype/forms"/>
  </ds:schemaRefs>
</ds:datastoreItem>
</file>

<file path=customXml/itemProps3.xml><?xml version="1.0" encoding="utf-8"?>
<ds:datastoreItem xmlns:ds="http://schemas.openxmlformats.org/officeDocument/2006/customXml" ds:itemID="{DD31369C-811B-408C-A50B-5FD19DF894EA}">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39C123F1-2E3D-431A-8EDE-76BD1EA117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