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231CA" w:rsidRPr="000231CA" w:rsidP="000231CA">
      <w:pPr>
        <w:autoSpaceDE w:val="0"/>
        <w:autoSpaceDN w:val="0"/>
        <w:adjustRightInd w:val="0"/>
        <w:spacing w:after="0" w:line="360" w:lineRule="auto"/>
        <w:jc w:val="center"/>
        <w:rPr>
          <w:rFonts w:asciiTheme="majorBidi" w:hAnsiTheme="majorBidi" w:cstheme="majorBidi"/>
          <w:i/>
          <w:u w:val="single"/>
        </w:rPr>
      </w:pPr>
      <w:r w:rsidRPr="000231CA">
        <w:rPr>
          <w:rFonts w:asciiTheme="majorBidi" w:hAnsiTheme="majorBidi" w:cstheme="majorBidi"/>
          <w:b/>
          <w:u w:val="single"/>
        </w:rPr>
        <w:t>Further written evidence submi</w:t>
      </w:r>
      <w:r w:rsidRPr="000231CA">
        <w:rPr>
          <w:rFonts w:asciiTheme="majorBidi" w:hAnsiTheme="majorBidi" w:cstheme="majorBidi"/>
          <w:b/>
          <w:u w:val="single"/>
        </w:rPr>
        <w:t xml:space="preserve">tted by </w:t>
      </w:r>
      <w:r w:rsidRPr="000231CA">
        <w:rPr>
          <w:rFonts w:asciiTheme="majorBidi" w:hAnsiTheme="majorBidi" w:cstheme="majorBidi"/>
          <w:b/>
          <w:u w:val="single"/>
        </w:rPr>
        <w:t>Jamie Grace, Sheffield Hallam University</w:t>
      </w:r>
    </w:p>
    <w:p w:rsidR="000A603A" w:rsidRPr="000A603A" w:rsidP="000A603A">
      <w:pPr>
        <w:autoSpaceDE w:val="0"/>
        <w:autoSpaceDN w:val="0"/>
        <w:adjustRightInd w:val="0"/>
        <w:spacing w:after="0" w:line="360" w:lineRule="auto"/>
        <w:jc w:val="center"/>
        <w:rPr>
          <w:rFonts w:asciiTheme="majorBidi" w:hAnsiTheme="majorBidi" w:cstheme="majorBidi"/>
          <w:b/>
        </w:rPr>
      </w:pPr>
    </w:p>
    <w:p w:rsidR="000A603A" w:rsidRPr="000A603A" w:rsidP="000A603A">
      <w:pPr>
        <w:autoSpaceDE w:val="0"/>
        <w:autoSpaceDN w:val="0"/>
        <w:adjustRightInd w:val="0"/>
        <w:spacing w:after="0" w:line="360" w:lineRule="auto"/>
        <w:jc w:val="center"/>
        <w:rPr>
          <w:rFonts w:asciiTheme="majorBidi" w:hAnsiTheme="majorBidi" w:cstheme="majorBidi"/>
          <w:b/>
          <w:i/>
        </w:rPr>
      </w:pPr>
      <w:r w:rsidRPr="000A603A">
        <w:rPr>
          <w:rFonts w:asciiTheme="majorBidi" w:hAnsiTheme="majorBidi" w:cstheme="majorBidi"/>
          <w:b/>
          <w:i/>
        </w:rPr>
        <w:t>The Macpherson Report: Twenty-one years on</w:t>
      </w:r>
    </w:p>
    <w:p w:rsidR="000A603A" w:rsidP="000A603A">
      <w:pPr>
        <w:autoSpaceDE w:val="0"/>
        <w:autoSpaceDN w:val="0"/>
        <w:adjustRightInd w:val="0"/>
        <w:spacing w:after="0" w:line="360" w:lineRule="auto"/>
        <w:jc w:val="center"/>
        <w:rPr>
          <w:rFonts w:asciiTheme="majorBidi" w:hAnsiTheme="majorBidi" w:cstheme="majorBidi"/>
          <w:i/>
        </w:rPr>
      </w:pPr>
    </w:p>
    <w:p w:rsidR="000A603A" w:rsidP="006E20E4">
      <w:pPr>
        <w:autoSpaceDE w:val="0"/>
        <w:autoSpaceDN w:val="0"/>
        <w:adjustRightInd w:val="0"/>
        <w:spacing w:after="0" w:line="360" w:lineRule="auto"/>
        <w:rPr>
          <w:rFonts w:asciiTheme="majorBidi" w:hAnsiTheme="majorBidi" w:cstheme="majorBidi"/>
        </w:rPr>
      </w:pPr>
    </w:p>
    <w:p w:rsidR="000A603A" w:rsidP="006E20E4">
      <w:pPr>
        <w:autoSpaceDE w:val="0"/>
        <w:autoSpaceDN w:val="0"/>
        <w:adjustRightInd w:val="0"/>
        <w:spacing w:after="0" w:line="360" w:lineRule="auto"/>
        <w:rPr>
          <w:rFonts w:asciiTheme="majorBidi" w:hAnsiTheme="majorBidi" w:cstheme="majorBidi"/>
          <w:u w:val="single"/>
        </w:rPr>
      </w:pPr>
      <w:r w:rsidRPr="000A603A">
        <w:rPr>
          <w:rFonts w:asciiTheme="majorBidi" w:hAnsiTheme="majorBidi" w:cstheme="majorBidi"/>
          <w:u w:val="single"/>
        </w:rPr>
        <w:t>Summary</w:t>
      </w:r>
      <w:r>
        <w:rPr>
          <w:rFonts w:asciiTheme="majorBidi" w:hAnsiTheme="majorBidi" w:cstheme="majorBidi"/>
          <w:u w:val="single"/>
        </w:rPr>
        <w:t xml:space="preserve"> - The need to reform public policy on Clare's Law to highlight BAME victims</w:t>
      </w:r>
    </w:p>
    <w:p w:rsidR="00F53561" w:rsidRPr="00F53561" w:rsidP="006E20E4">
      <w:pPr>
        <w:autoSpaceDE w:val="0"/>
        <w:autoSpaceDN w:val="0"/>
        <w:adjustRightInd w:val="0"/>
        <w:spacing w:after="0" w:line="360" w:lineRule="auto"/>
        <w:rPr>
          <w:rFonts w:asciiTheme="majorBidi" w:hAnsiTheme="majorBidi" w:cstheme="majorBidi"/>
        </w:rPr>
      </w:pPr>
      <w:r>
        <w:rPr>
          <w:rFonts w:asciiTheme="majorBidi" w:hAnsiTheme="majorBidi" w:cstheme="majorBidi"/>
        </w:rPr>
        <w:t xml:space="preserve">1. 'Clare's Law' has been national Home Office policy for England and Wales since March 2014. However, Domestic Violence Disclosure </w:t>
      </w:r>
      <w:r w:rsidRPr="00812678">
        <w:rPr>
          <w:rFonts w:asciiTheme="majorBidi" w:hAnsiTheme="majorBidi" w:cstheme="majorBidi"/>
        </w:rPr>
        <w:t xml:space="preserve">Scheme </w:t>
      </w:r>
      <w:r>
        <w:rPr>
          <w:rFonts w:asciiTheme="majorBidi" w:hAnsiTheme="majorBidi" w:cstheme="majorBidi"/>
        </w:rPr>
        <w:t xml:space="preserve">(DVDS) </w:t>
      </w:r>
      <w:r w:rsidRPr="00812678">
        <w:rPr>
          <w:rFonts w:asciiTheme="majorBidi" w:hAnsiTheme="majorBidi" w:cstheme="majorBidi"/>
        </w:rPr>
        <w:t xml:space="preserve">guidance </w:t>
      </w:r>
      <w:r>
        <w:rPr>
          <w:rFonts w:asciiTheme="majorBidi" w:hAnsiTheme="majorBidi" w:cstheme="majorBidi"/>
        </w:rPr>
        <w:t>for 'Clare's Law' in Eng</w:t>
      </w:r>
      <w:r>
        <w:rPr>
          <w:rFonts w:asciiTheme="majorBidi" w:hAnsiTheme="majorBidi" w:cstheme="majorBidi"/>
        </w:rPr>
        <w:t xml:space="preserve">land and Wales, last revised in 2016, </w:t>
      </w:r>
      <w:r w:rsidRPr="00812678">
        <w:rPr>
          <w:rFonts w:asciiTheme="majorBidi" w:hAnsiTheme="majorBidi" w:cstheme="majorBidi"/>
        </w:rPr>
        <w:t xml:space="preserve">is silent </w:t>
      </w:r>
      <w:r>
        <w:rPr>
          <w:rFonts w:asciiTheme="majorBidi" w:hAnsiTheme="majorBidi" w:cstheme="majorBidi"/>
        </w:rPr>
        <w:t>with regard to</w:t>
      </w:r>
      <w:r>
        <w:rPr>
          <w:rFonts w:asciiTheme="majorBidi" w:hAnsiTheme="majorBidi" w:cstheme="majorBidi"/>
        </w:rPr>
        <w:t xml:space="preserve"> how different ethnic groups or communities might face different issues affecting the request, the receipt or the efficacy of disclosures</w:t>
      </w:r>
      <w:r w:rsidRPr="00812678">
        <w:rPr>
          <w:rFonts w:asciiTheme="majorBidi" w:hAnsiTheme="majorBidi" w:cstheme="majorBidi"/>
        </w:rPr>
        <w:t>.</w:t>
      </w:r>
      <w:r>
        <w:rPr>
          <w:rFonts w:asciiTheme="majorBidi" w:hAnsiTheme="majorBidi" w:cstheme="majorBidi"/>
        </w:rPr>
        <w:t xml:space="preserve"> The only Home Office-led review of the national Scheme </w:t>
      </w:r>
      <w:r>
        <w:rPr>
          <w:rFonts w:asciiTheme="majorBidi" w:hAnsiTheme="majorBidi" w:cstheme="majorBidi"/>
        </w:rPr>
        <w:t xml:space="preserve">in England and Wales to date, a 'one year on' report published in 2016, also does not mention any analysis of the operation of the Scheme in terms of race or ethnicity. </w:t>
      </w:r>
      <w:r>
        <w:rPr>
          <w:rFonts w:ascii="Times New Roman" w:hAnsi="Times New Roman" w:cs="Times New Roman"/>
        </w:rPr>
        <w:t>Given the silence of the current DVDS guidance on this issue, there is a considerable n</w:t>
      </w:r>
      <w:r>
        <w:rPr>
          <w:rFonts w:ascii="Times New Roman" w:hAnsi="Times New Roman" w:cs="Times New Roman"/>
        </w:rPr>
        <w:t>eed to revise this guidance underpinning the DVDS, as the most prevalent of the three UK Domestic Abuse Disclosure Schemes, and in doing so there is a real opportunity to avoid inadvertent or institutional racial discrimination in this developing feature o</w:t>
      </w:r>
      <w:r>
        <w:rPr>
          <w:rFonts w:ascii="Times New Roman" w:hAnsi="Times New Roman" w:cs="Times New Roman"/>
        </w:rPr>
        <w:t>f British policing. One chief aim of this revision of DVDS guidance would be to highlight known difficulties and risk factors in policing domestic abuse in some minority communities in the UK, to avoid pitfalls around</w:t>
      </w:r>
      <w:r>
        <w:rPr>
          <w:rFonts w:ascii="Times New Roman" w:hAnsi="Times New Roman" w:cs="Times New Roman"/>
        </w:rPr>
        <w:t xml:space="preserve"> obtaining or making</w:t>
      </w:r>
      <w:r>
        <w:rPr>
          <w:rFonts w:ascii="Times New Roman" w:hAnsi="Times New Roman" w:cs="Times New Roman"/>
        </w:rPr>
        <w:t xml:space="preserve"> disclosures to peo</w:t>
      </w:r>
      <w:r>
        <w:rPr>
          <w:rFonts w:ascii="Times New Roman" w:hAnsi="Times New Roman" w:cs="Times New Roman"/>
        </w:rPr>
        <w:t>ple at risk.</w:t>
      </w:r>
    </w:p>
    <w:p w:rsidR="000A603A" w:rsidP="006E20E4">
      <w:pPr>
        <w:autoSpaceDE w:val="0"/>
        <w:autoSpaceDN w:val="0"/>
        <w:adjustRightInd w:val="0"/>
        <w:spacing w:after="0" w:line="360" w:lineRule="auto"/>
        <w:rPr>
          <w:rFonts w:asciiTheme="majorBidi" w:hAnsiTheme="majorBidi" w:cstheme="majorBidi"/>
        </w:rPr>
      </w:pPr>
    </w:p>
    <w:p w:rsidR="00E77FD4" w:rsidRPr="00947880" w:rsidP="006E20E4">
      <w:pPr>
        <w:autoSpaceDE w:val="0"/>
        <w:autoSpaceDN w:val="0"/>
        <w:adjustRightInd w:val="0"/>
        <w:spacing w:after="0" w:line="360" w:lineRule="auto"/>
        <w:rPr>
          <w:rFonts w:asciiTheme="majorBidi" w:hAnsiTheme="majorBidi" w:cstheme="majorBidi"/>
          <w:u w:val="single"/>
        </w:rPr>
      </w:pPr>
      <w:r>
        <w:rPr>
          <w:rFonts w:asciiTheme="majorBidi" w:hAnsiTheme="majorBidi" w:cstheme="majorBidi"/>
          <w:u w:val="single"/>
        </w:rPr>
        <w:t>Details</w:t>
      </w:r>
    </w:p>
    <w:p w:rsidR="00E77FD4" w:rsidP="006E20E4">
      <w:pPr>
        <w:autoSpaceDE w:val="0"/>
        <w:autoSpaceDN w:val="0"/>
        <w:adjustRightInd w:val="0"/>
        <w:spacing w:after="0" w:line="360" w:lineRule="auto"/>
        <w:rPr>
          <w:rFonts w:asciiTheme="majorBidi" w:hAnsiTheme="majorBidi" w:cstheme="majorBidi"/>
        </w:rPr>
      </w:pPr>
      <w:r>
        <w:rPr>
          <w:rFonts w:asciiTheme="majorBidi" w:hAnsiTheme="majorBidi" w:cstheme="majorBidi"/>
        </w:rPr>
        <w:t xml:space="preserve">2. </w:t>
      </w:r>
      <w:r>
        <w:rPr>
          <w:rFonts w:asciiTheme="majorBidi" w:hAnsiTheme="majorBidi" w:cstheme="majorBidi"/>
        </w:rPr>
        <w:t>As a Committee, you have called for evidence on the impact on different communities in the UK, through the unequal treatment of people in terms of their race or ethnicity in the use of police powers and in police investigations of crime. I am a human right</w:t>
      </w:r>
      <w:r>
        <w:rPr>
          <w:rFonts w:asciiTheme="majorBidi" w:hAnsiTheme="majorBidi" w:cstheme="majorBidi"/>
        </w:rPr>
        <w:t xml:space="preserve">s academic based at Sheffield Hallam University, and while I have previously contributed written evidence on issues of race or ethnicity in the context of the police use of data-driven technologies, I have recently completed a short </w:t>
      </w:r>
      <w:r>
        <w:rPr>
          <w:rFonts w:asciiTheme="majorBidi" w:hAnsiTheme="majorBidi" w:cstheme="majorBidi"/>
        </w:rPr>
        <w:t>policy</w:t>
      </w:r>
      <w:r>
        <w:rPr>
          <w:rFonts w:asciiTheme="majorBidi" w:hAnsiTheme="majorBidi" w:cstheme="majorBidi"/>
        </w:rPr>
        <w:t xml:space="preserve"> analysis from a </w:t>
      </w:r>
      <w:r>
        <w:rPr>
          <w:rFonts w:asciiTheme="majorBidi" w:hAnsiTheme="majorBidi" w:cstheme="majorBidi"/>
        </w:rPr>
        <w:t xml:space="preserve">race equality perspective, </w:t>
      </w:r>
      <w:r>
        <w:rPr>
          <w:rFonts w:asciiTheme="majorBidi" w:hAnsiTheme="majorBidi" w:cstheme="majorBidi"/>
        </w:rPr>
        <w:t>in relation</w:t>
      </w:r>
      <w:r>
        <w:rPr>
          <w:rFonts w:asciiTheme="majorBidi" w:hAnsiTheme="majorBidi" w:cstheme="majorBidi"/>
        </w:rPr>
        <w:t xml:space="preserve"> my other main area of </w:t>
      </w:r>
      <w:r>
        <w:rPr>
          <w:rFonts w:asciiTheme="majorBidi" w:hAnsiTheme="majorBidi" w:cstheme="majorBidi"/>
        </w:rPr>
        <w:t xml:space="preserve">research </w:t>
      </w:r>
      <w:r>
        <w:rPr>
          <w:rFonts w:asciiTheme="majorBidi" w:hAnsiTheme="majorBidi" w:cstheme="majorBidi"/>
        </w:rPr>
        <w:t>interest - namely Domestic Abuse Disclosure Schemes.</w:t>
      </w:r>
    </w:p>
    <w:p w:rsidR="00E77FD4" w:rsidP="006E20E4">
      <w:pPr>
        <w:autoSpaceDE w:val="0"/>
        <w:autoSpaceDN w:val="0"/>
        <w:adjustRightInd w:val="0"/>
        <w:spacing w:after="0" w:line="360" w:lineRule="auto"/>
        <w:rPr>
          <w:rFonts w:asciiTheme="majorBidi" w:hAnsiTheme="majorBidi" w:cstheme="majorBidi"/>
        </w:rPr>
      </w:pPr>
    </w:p>
    <w:p w:rsidR="00E36311" w:rsidP="006E20E4">
      <w:pPr>
        <w:autoSpaceDE w:val="0"/>
        <w:autoSpaceDN w:val="0"/>
        <w:adjustRightInd w:val="0"/>
        <w:spacing w:after="0" w:line="360" w:lineRule="auto"/>
        <w:rPr>
          <w:rFonts w:asciiTheme="majorBidi" w:hAnsiTheme="majorBidi" w:cstheme="majorBidi"/>
        </w:rPr>
      </w:pPr>
      <w:r>
        <w:rPr>
          <w:rFonts w:asciiTheme="majorBidi" w:hAnsiTheme="majorBidi" w:cstheme="majorBidi"/>
        </w:rPr>
        <w:t xml:space="preserve">3. </w:t>
      </w:r>
      <w:r>
        <w:rPr>
          <w:rFonts w:asciiTheme="majorBidi" w:hAnsiTheme="majorBidi" w:cstheme="majorBidi"/>
        </w:rPr>
        <w:t xml:space="preserve">Across the United Kingdom, three different Domestic Abuse Disclosure Schemes </w:t>
      </w:r>
      <w:r>
        <w:rPr>
          <w:rFonts w:asciiTheme="majorBidi" w:hAnsiTheme="majorBidi" w:cstheme="majorBidi"/>
        </w:rPr>
        <w:t xml:space="preserve">(DADS) </w:t>
      </w:r>
      <w:r>
        <w:rPr>
          <w:rFonts w:asciiTheme="majorBidi" w:hAnsiTheme="majorBidi" w:cstheme="majorBidi"/>
        </w:rPr>
        <w:t>are operated. These are the original 'Clare's</w:t>
      </w:r>
      <w:r>
        <w:rPr>
          <w:rFonts w:asciiTheme="majorBidi" w:hAnsiTheme="majorBidi" w:cstheme="majorBidi"/>
        </w:rPr>
        <w:t xml:space="preserve"> Law'</w:t>
      </w:r>
      <w:r>
        <w:rPr>
          <w:rFonts w:asciiTheme="majorBidi" w:hAnsiTheme="majorBidi" w:cstheme="majorBidi"/>
        </w:rPr>
        <w:t>, operated</w:t>
      </w:r>
      <w:r>
        <w:rPr>
          <w:rFonts w:asciiTheme="majorBidi" w:hAnsiTheme="majorBidi" w:cstheme="majorBidi"/>
        </w:rPr>
        <w:t xml:space="preserve"> in </w:t>
      </w:r>
      <w:r>
        <w:rPr>
          <w:rFonts w:asciiTheme="majorBidi" w:hAnsiTheme="majorBidi" w:cstheme="majorBidi"/>
        </w:rPr>
        <w:t xml:space="preserve">all </w:t>
      </w:r>
      <w:r>
        <w:rPr>
          <w:rFonts w:asciiTheme="majorBidi" w:hAnsiTheme="majorBidi" w:cstheme="majorBidi"/>
        </w:rPr>
        <w:t>police forces in</w:t>
      </w:r>
      <w:r>
        <w:rPr>
          <w:rFonts w:asciiTheme="majorBidi" w:hAnsiTheme="majorBidi" w:cstheme="majorBidi"/>
        </w:rPr>
        <w:t xml:space="preserve"> </w:t>
      </w:r>
      <w:r>
        <w:rPr>
          <w:rFonts w:asciiTheme="majorBidi" w:hAnsiTheme="majorBidi" w:cstheme="majorBidi"/>
        </w:rPr>
        <w:t>England and Wales</w:t>
      </w:r>
      <w:r>
        <w:rPr>
          <w:rFonts w:asciiTheme="majorBidi" w:hAnsiTheme="majorBidi" w:cstheme="majorBidi"/>
        </w:rPr>
        <w:t xml:space="preserve"> since 2014</w:t>
      </w:r>
      <w:r>
        <w:rPr>
          <w:rFonts w:asciiTheme="majorBidi" w:hAnsiTheme="majorBidi" w:cstheme="majorBidi"/>
        </w:rPr>
        <w:t xml:space="preserve"> (</w:t>
      </w:r>
      <w:r>
        <w:rPr>
          <w:rFonts w:asciiTheme="majorBidi" w:hAnsiTheme="majorBidi" w:cstheme="majorBidi"/>
        </w:rPr>
        <w:t xml:space="preserve">and </w:t>
      </w:r>
      <w:r>
        <w:rPr>
          <w:rFonts w:asciiTheme="majorBidi" w:hAnsiTheme="majorBidi" w:cstheme="majorBidi"/>
        </w:rPr>
        <w:t>formally known as the Domestic Violence Disclosure Scheme, or 'DVDS</w:t>
      </w:r>
      <w:r>
        <w:rPr>
          <w:rFonts w:asciiTheme="majorBidi" w:hAnsiTheme="majorBidi" w:cstheme="majorBidi"/>
        </w:rPr>
        <w:t>'</w:t>
      </w:r>
      <w:r>
        <w:rPr>
          <w:rFonts w:asciiTheme="majorBidi" w:hAnsiTheme="majorBidi" w:cstheme="majorBidi"/>
        </w:rPr>
        <w:t>), the Disclosure Scheme for Domestic Abuse (Scotland) (DSDAS)</w:t>
      </w:r>
      <w:r>
        <w:rPr>
          <w:rFonts w:asciiTheme="majorBidi" w:hAnsiTheme="majorBidi" w:cstheme="majorBidi"/>
        </w:rPr>
        <w:t xml:space="preserve"> since 2015</w:t>
      </w:r>
      <w:r>
        <w:rPr>
          <w:rFonts w:asciiTheme="majorBidi" w:hAnsiTheme="majorBidi" w:cstheme="majorBidi"/>
        </w:rPr>
        <w:t xml:space="preserve">, and </w:t>
      </w:r>
      <w:r>
        <w:rPr>
          <w:rFonts w:asciiTheme="majorBidi" w:hAnsiTheme="majorBidi" w:cstheme="majorBidi"/>
        </w:rPr>
        <w:t>the Domestic Violence and Abuse Dis</w:t>
      </w:r>
      <w:r>
        <w:rPr>
          <w:rFonts w:asciiTheme="majorBidi" w:hAnsiTheme="majorBidi" w:cstheme="majorBidi"/>
        </w:rPr>
        <w:t>closure Scheme (DVADS) in Northern Ireland</w:t>
      </w:r>
      <w:r>
        <w:rPr>
          <w:rFonts w:asciiTheme="majorBidi" w:hAnsiTheme="majorBidi" w:cstheme="majorBidi"/>
        </w:rPr>
        <w:t xml:space="preserve"> since 2016</w:t>
      </w:r>
      <w:r>
        <w:rPr>
          <w:rFonts w:asciiTheme="majorBidi" w:hAnsiTheme="majorBidi" w:cstheme="majorBidi"/>
        </w:rPr>
        <w:t>. The policy aim of these Schemes is archetypically to allow potential victims of domes</w:t>
      </w:r>
      <w:r>
        <w:rPr>
          <w:rFonts w:asciiTheme="majorBidi" w:hAnsiTheme="majorBidi" w:cstheme="majorBidi"/>
        </w:rPr>
        <w:t>t</w:t>
      </w:r>
      <w:r>
        <w:rPr>
          <w:rFonts w:asciiTheme="majorBidi" w:hAnsiTheme="majorBidi" w:cstheme="majorBidi"/>
        </w:rPr>
        <w:t>ic violence to make an 'informed choice'</w:t>
      </w:r>
      <w:r>
        <w:rPr>
          <w:rStyle w:val="FootnoteReference"/>
          <w:rFonts w:asciiTheme="majorBidi" w:hAnsiTheme="majorBidi" w:cstheme="majorBidi"/>
        </w:rPr>
        <w:footnoteReference w:id="2"/>
      </w:r>
      <w:r>
        <w:rPr>
          <w:rFonts w:asciiTheme="majorBidi" w:hAnsiTheme="majorBidi" w:cstheme="majorBidi"/>
        </w:rPr>
        <w:t xml:space="preserve"> as to whether to carry on a relationship with new partner when the police</w:t>
      </w:r>
      <w:r>
        <w:rPr>
          <w:rFonts w:asciiTheme="majorBidi" w:hAnsiTheme="majorBidi" w:cstheme="majorBidi"/>
        </w:rPr>
        <w:t xml:space="preserve"> inform them that this new partner has a history of perpetrating domestic abuse. </w:t>
      </w:r>
    </w:p>
    <w:p w:rsidR="00E36311" w:rsidP="006E20E4">
      <w:pPr>
        <w:autoSpaceDE w:val="0"/>
        <w:autoSpaceDN w:val="0"/>
        <w:adjustRightInd w:val="0"/>
        <w:spacing w:after="0" w:line="360" w:lineRule="auto"/>
        <w:rPr>
          <w:rFonts w:asciiTheme="majorBidi" w:hAnsiTheme="majorBidi" w:cstheme="majorBidi"/>
        </w:rPr>
      </w:pPr>
    </w:p>
    <w:p w:rsidR="006C415D" w:rsidP="006E20E4">
      <w:pPr>
        <w:autoSpaceDE w:val="0"/>
        <w:autoSpaceDN w:val="0"/>
        <w:adjustRightInd w:val="0"/>
        <w:spacing w:after="0" w:line="360" w:lineRule="auto"/>
        <w:rPr>
          <w:rFonts w:asciiTheme="majorBidi" w:hAnsiTheme="majorBidi" w:cstheme="majorBidi"/>
        </w:rPr>
      </w:pPr>
      <w:r>
        <w:rPr>
          <w:rFonts w:asciiTheme="majorBidi" w:hAnsiTheme="majorBidi" w:cstheme="majorBidi"/>
        </w:rPr>
        <w:t>4. Potential victims can contact police organisations (</w:t>
      </w:r>
      <w:r>
        <w:rPr>
          <w:rFonts w:asciiTheme="majorBidi" w:hAnsiTheme="majorBidi" w:cstheme="majorBidi"/>
        </w:rPr>
        <w:t>i.e. regional police forces in England &amp; Wales, or Police Scotland or the Police Service of Northern Ireland respectiv</w:t>
      </w:r>
      <w:r>
        <w:rPr>
          <w:rFonts w:asciiTheme="majorBidi" w:hAnsiTheme="majorBidi" w:cstheme="majorBidi"/>
        </w:rPr>
        <w:t>ely) using some form of what is often termed their 'Right to Ask'; and relatives of police partner agencies such as social work bodies can request the police consider making a disclosure to a victim at risk under the 'Right to Know' strand of each of the t</w:t>
      </w:r>
      <w:r>
        <w:rPr>
          <w:rFonts w:asciiTheme="majorBidi" w:hAnsiTheme="majorBidi" w:cstheme="majorBidi"/>
        </w:rPr>
        <w:t>hree UK DADS. The legal basis of the Schemes in Scotland and Northern Ireland is stated in the relevant force guidance for each as existing statute concerning police duties to protect the public; while, at the time of writing in June 2020, the DVDS in Engl</w:t>
      </w:r>
      <w:r>
        <w:rPr>
          <w:rFonts w:asciiTheme="majorBidi" w:hAnsiTheme="majorBidi" w:cstheme="majorBidi"/>
        </w:rPr>
        <w:t xml:space="preserve">and and Wales is to be placed on a statutory footing for the first time in </w:t>
      </w:r>
      <w:r>
        <w:rPr>
          <w:rFonts w:asciiTheme="majorBidi" w:hAnsiTheme="majorBidi" w:cstheme="majorBidi"/>
        </w:rPr>
        <w:t xml:space="preserve">(most likely) </w:t>
      </w:r>
      <w:r>
        <w:rPr>
          <w:rFonts w:asciiTheme="majorBidi" w:hAnsiTheme="majorBidi" w:cstheme="majorBidi"/>
        </w:rPr>
        <w:t xml:space="preserve">2021, when </w:t>
      </w:r>
      <w:r>
        <w:rPr>
          <w:rFonts w:asciiTheme="majorBidi" w:hAnsiTheme="majorBidi" w:cstheme="majorBidi"/>
        </w:rPr>
        <w:t xml:space="preserve">provisions in </w:t>
      </w:r>
      <w:r>
        <w:rPr>
          <w:rFonts w:asciiTheme="majorBidi" w:hAnsiTheme="majorBidi" w:cstheme="majorBidi"/>
        </w:rPr>
        <w:t>the Domestic Violence Bill</w:t>
      </w:r>
      <w:r>
        <w:rPr>
          <w:rFonts w:asciiTheme="majorBidi" w:hAnsiTheme="majorBidi" w:cstheme="majorBidi"/>
        </w:rPr>
        <w:t xml:space="preserve"> currently before Parliament</w:t>
      </w:r>
      <w:r>
        <w:rPr>
          <w:rFonts w:asciiTheme="majorBidi" w:hAnsiTheme="majorBidi" w:cstheme="majorBidi"/>
        </w:rPr>
        <w:t xml:space="preserve"> </w:t>
      </w:r>
      <w:r>
        <w:rPr>
          <w:rFonts w:asciiTheme="majorBidi" w:hAnsiTheme="majorBidi" w:cstheme="majorBidi"/>
        </w:rPr>
        <w:t>have</w:t>
      </w:r>
      <w:r>
        <w:rPr>
          <w:rFonts w:asciiTheme="majorBidi" w:hAnsiTheme="majorBidi" w:cstheme="majorBidi"/>
        </w:rPr>
        <w:t xml:space="preserve"> been enacted and brought into force.</w:t>
      </w:r>
    </w:p>
    <w:p w:rsidR="006C415D" w:rsidP="006E20E4">
      <w:pPr>
        <w:autoSpaceDE w:val="0"/>
        <w:autoSpaceDN w:val="0"/>
        <w:adjustRightInd w:val="0"/>
        <w:spacing w:after="0" w:line="360" w:lineRule="auto"/>
        <w:rPr>
          <w:rFonts w:asciiTheme="majorBidi" w:hAnsiTheme="majorBidi" w:cstheme="majorBidi"/>
        </w:rPr>
      </w:pPr>
    </w:p>
    <w:p w:rsidR="00E77FD4" w:rsidP="006E20E4">
      <w:pPr>
        <w:autoSpaceDE w:val="0"/>
        <w:autoSpaceDN w:val="0"/>
        <w:adjustRightInd w:val="0"/>
        <w:spacing w:after="0" w:line="360" w:lineRule="auto"/>
        <w:rPr>
          <w:rFonts w:asciiTheme="majorBidi" w:hAnsiTheme="majorBidi" w:cstheme="majorBidi"/>
        </w:rPr>
      </w:pPr>
      <w:r>
        <w:rPr>
          <w:rFonts w:asciiTheme="majorBidi" w:hAnsiTheme="majorBidi" w:cstheme="majorBidi"/>
        </w:rPr>
        <w:t xml:space="preserve">5. </w:t>
      </w:r>
      <w:r>
        <w:rPr>
          <w:rFonts w:asciiTheme="majorBidi" w:hAnsiTheme="majorBidi" w:cstheme="majorBidi"/>
        </w:rPr>
        <w:t xml:space="preserve">There are considerable problems with the </w:t>
      </w:r>
      <w:r>
        <w:rPr>
          <w:rFonts w:asciiTheme="majorBidi" w:hAnsiTheme="majorBidi" w:cstheme="majorBidi"/>
        </w:rPr>
        <w:t>operation of the thre</w:t>
      </w:r>
      <w:r>
        <w:rPr>
          <w:rFonts w:asciiTheme="majorBidi" w:hAnsiTheme="majorBidi" w:cstheme="majorBidi"/>
        </w:rPr>
        <w:t>e UK DADS</w:t>
      </w:r>
      <w:r>
        <w:rPr>
          <w:rStyle w:val="FootnoteReference"/>
          <w:rFonts w:asciiTheme="majorBidi" w:hAnsiTheme="majorBidi" w:cstheme="majorBidi"/>
        </w:rPr>
        <w:footnoteReference w:id="3"/>
      </w:r>
      <w:r>
        <w:rPr>
          <w:rFonts w:asciiTheme="majorBidi" w:hAnsiTheme="majorBidi" w:cstheme="majorBidi"/>
        </w:rPr>
        <w:t>:</w:t>
      </w:r>
    </w:p>
    <w:p w:rsidR="00E77FD4" w:rsidRPr="00CE1C7A" w:rsidP="00CE1C7A">
      <w:pPr>
        <w:pStyle w:val="ListParagraph"/>
        <w:numPr>
          <w:ilvl w:val="0"/>
          <w:numId w:val="1"/>
        </w:numPr>
        <w:autoSpaceDE w:val="0"/>
        <w:autoSpaceDN w:val="0"/>
        <w:adjustRightInd w:val="0"/>
        <w:spacing w:after="0" w:line="360" w:lineRule="auto"/>
        <w:rPr>
          <w:rFonts w:asciiTheme="majorBidi" w:hAnsiTheme="majorBidi" w:cstheme="majorBidi"/>
        </w:rPr>
      </w:pPr>
      <w:r w:rsidRPr="00CE1C7A">
        <w:rPr>
          <w:rFonts w:asciiTheme="majorBidi" w:hAnsiTheme="majorBidi" w:cstheme="majorBidi"/>
        </w:rPr>
        <w:t>T</w:t>
      </w:r>
      <w:r w:rsidRPr="00CE1C7A">
        <w:rPr>
          <w:rFonts w:asciiTheme="majorBidi" w:hAnsiTheme="majorBidi" w:cstheme="majorBidi"/>
        </w:rPr>
        <w:t>here is some (limited) evidence of the displacement of risk following disclosures</w:t>
      </w:r>
      <w:r w:rsidRPr="00CE1C7A">
        <w:rPr>
          <w:rFonts w:asciiTheme="majorBidi" w:hAnsiTheme="majorBidi" w:cstheme="majorBidi"/>
        </w:rPr>
        <w:t>, when one relationship is en</w:t>
      </w:r>
      <w:r w:rsidRPr="00CE1C7A">
        <w:rPr>
          <w:rFonts w:asciiTheme="majorBidi" w:hAnsiTheme="majorBidi" w:cstheme="majorBidi"/>
        </w:rPr>
        <w:t xml:space="preserve">ded for a perpetrator and they move on to a more vulnerable potential victim; </w:t>
      </w:r>
    </w:p>
    <w:p w:rsidR="00E77FD4" w:rsidRPr="00CE1C7A" w:rsidP="00CE1C7A">
      <w:pPr>
        <w:pStyle w:val="ListParagraph"/>
        <w:numPr>
          <w:ilvl w:val="0"/>
          <w:numId w:val="1"/>
        </w:numPr>
        <w:autoSpaceDE w:val="0"/>
        <w:autoSpaceDN w:val="0"/>
        <w:adjustRightInd w:val="0"/>
        <w:spacing w:after="0" w:line="360" w:lineRule="auto"/>
        <w:rPr>
          <w:rFonts w:asciiTheme="majorBidi" w:hAnsiTheme="majorBidi" w:cstheme="majorBidi"/>
        </w:rPr>
      </w:pPr>
      <w:r w:rsidRPr="00CE1C7A">
        <w:rPr>
          <w:rFonts w:asciiTheme="majorBidi" w:hAnsiTheme="majorBidi" w:cstheme="majorBidi"/>
        </w:rPr>
        <w:t>T</w:t>
      </w:r>
      <w:r w:rsidRPr="00CE1C7A">
        <w:rPr>
          <w:rFonts w:asciiTheme="majorBidi" w:hAnsiTheme="majorBidi" w:cstheme="majorBidi"/>
        </w:rPr>
        <w:t xml:space="preserve">here </w:t>
      </w:r>
      <w:r w:rsidRPr="00CE1C7A">
        <w:rPr>
          <w:rFonts w:asciiTheme="majorBidi" w:hAnsiTheme="majorBidi" w:cstheme="majorBidi"/>
        </w:rPr>
        <w:t xml:space="preserve">is (again limited) evidence of </w:t>
      </w:r>
      <w:r w:rsidRPr="00CE1C7A">
        <w:rPr>
          <w:rFonts w:asciiTheme="majorBidi" w:hAnsiTheme="majorBidi" w:cstheme="majorBidi"/>
        </w:rPr>
        <w:t xml:space="preserve">a degree of 'victim blaming' in the family courts concerning women who do not act 'correctly' </w:t>
      </w:r>
      <w:r w:rsidRPr="00CE1C7A">
        <w:rPr>
          <w:rFonts w:asciiTheme="majorBidi" w:hAnsiTheme="majorBidi" w:cstheme="majorBidi"/>
        </w:rPr>
        <w:t>to protect their children when the receive a d</w:t>
      </w:r>
      <w:r w:rsidRPr="00CE1C7A">
        <w:rPr>
          <w:rFonts w:asciiTheme="majorBidi" w:hAnsiTheme="majorBidi" w:cstheme="majorBidi"/>
        </w:rPr>
        <w:t>isclosure</w:t>
      </w:r>
    </w:p>
    <w:p w:rsidR="00E77FD4" w:rsidP="00CE1C7A">
      <w:pPr>
        <w:pStyle w:val="ListParagraph"/>
        <w:numPr>
          <w:ilvl w:val="0"/>
          <w:numId w:val="1"/>
        </w:numPr>
        <w:autoSpaceDE w:val="0"/>
        <w:autoSpaceDN w:val="0"/>
        <w:adjustRightInd w:val="0"/>
        <w:spacing w:after="0" w:line="360" w:lineRule="auto"/>
        <w:rPr>
          <w:rFonts w:asciiTheme="majorBidi" w:hAnsiTheme="majorBidi" w:cstheme="majorBidi"/>
        </w:rPr>
      </w:pPr>
      <w:r>
        <w:rPr>
          <w:rFonts w:asciiTheme="majorBidi" w:hAnsiTheme="majorBidi" w:cstheme="majorBidi"/>
        </w:rPr>
        <w:t>But most importantly t</w:t>
      </w:r>
      <w:r w:rsidRPr="00CE1C7A">
        <w:rPr>
          <w:rFonts w:asciiTheme="majorBidi" w:hAnsiTheme="majorBidi" w:cstheme="majorBidi"/>
        </w:rPr>
        <w:t>here is a fundamental problem of gaps in police intelligence on domestic violence perpetrators</w:t>
      </w:r>
      <w:r>
        <w:rPr>
          <w:rFonts w:asciiTheme="majorBidi" w:hAnsiTheme="majorBidi" w:cstheme="majorBidi"/>
        </w:rPr>
        <w:t>,</w:t>
      </w:r>
      <w:r w:rsidRPr="00CE1C7A">
        <w:rPr>
          <w:rFonts w:asciiTheme="majorBidi" w:hAnsiTheme="majorBidi" w:cstheme="majorBidi"/>
        </w:rPr>
        <w:t xml:space="preserve"> due to the under-reporting of domestic abuse across UK society, and the well-known difficulties and barriers in convicting domes</w:t>
      </w:r>
      <w:r w:rsidRPr="00CE1C7A">
        <w:rPr>
          <w:rFonts w:asciiTheme="majorBidi" w:hAnsiTheme="majorBidi" w:cstheme="majorBidi"/>
        </w:rPr>
        <w:t xml:space="preserve">tic abuse </w:t>
      </w:r>
      <w:r w:rsidRPr="00CE1C7A">
        <w:rPr>
          <w:rFonts w:asciiTheme="majorBidi" w:hAnsiTheme="majorBidi" w:cstheme="majorBidi"/>
        </w:rPr>
        <w:t>perpetrators in large numbers, given the estimated total volume of this type of crime in its many terrible forms.</w:t>
      </w:r>
    </w:p>
    <w:p w:rsidR="00C33986" w:rsidRPr="00CE1C7A" w:rsidP="00CE1C7A">
      <w:pPr>
        <w:pStyle w:val="ListParagraph"/>
        <w:numPr>
          <w:ilvl w:val="0"/>
          <w:numId w:val="1"/>
        </w:numPr>
        <w:autoSpaceDE w:val="0"/>
        <w:autoSpaceDN w:val="0"/>
        <w:adjustRightInd w:val="0"/>
        <w:spacing w:after="0" w:line="360" w:lineRule="auto"/>
        <w:rPr>
          <w:rFonts w:asciiTheme="majorBidi" w:hAnsiTheme="majorBidi" w:cstheme="majorBidi"/>
        </w:rPr>
      </w:pPr>
      <w:r>
        <w:rPr>
          <w:rFonts w:asciiTheme="majorBidi" w:hAnsiTheme="majorBidi" w:cstheme="majorBidi"/>
        </w:rPr>
        <w:t>And my freedom-of-information research has found that at least 45% of recipients of disclosures in England and Wales, from 2014 onwa</w:t>
      </w:r>
      <w:r>
        <w:rPr>
          <w:rFonts w:asciiTheme="majorBidi" w:hAnsiTheme="majorBidi" w:cstheme="majorBidi"/>
        </w:rPr>
        <w:t>rds, would go on to be victimised by the perpetrators they were warned about</w:t>
      </w:r>
      <w:r>
        <w:rPr>
          <w:rStyle w:val="FootnoteReference"/>
          <w:rFonts w:asciiTheme="majorBidi" w:hAnsiTheme="majorBidi" w:cstheme="majorBidi"/>
        </w:rPr>
        <w:footnoteReference w:id="4"/>
      </w:r>
      <w:r>
        <w:rPr>
          <w:rFonts w:asciiTheme="majorBidi" w:hAnsiTheme="majorBidi" w:cstheme="majorBidi"/>
        </w:rPr>
        <w:t>.</w:t>
      </w:r>
    </w:p>
    <w:p w:rsidR="00E77FD4" w:rsidP="006E20E4">
      <w:pPr>
        <w:autoSpaceDE w:val="0"/>
        <w:autoSpaceDN w:val="0"/>
        <w:adjustRightInd w:val="0"/>
        <w:spacing w:after="0" w:line="360" w:lineRule="auto"/>
        <w:rPr>
          <w:rFonts w:asciiTheme="majorBidi" w:hAnsiTheme="majorBidi" w:cstheme="majorBidi"/>
        </w:rPr>
      </w:pPr>
    </w:p>
    <w:p w:rsidR="006C415D" w:rsidP="006E20E4">
      <w:pPr>
        <w:autoSpaceDE w:val="0"/>
        <w:autoSpaceDN w:val="0"/>
        <w:adjustRightInd w:val="0"/>
        <w:spacing w:after="0" w:line="360" w:lineRule="auto"/>
        <w:rPr>
          <w:rFonts w:asciiTheme="majorBidi" w:hAnsiTheme="majorBidi" w:cstheme="majorBidi"/>
        </w:rPr>
      </w:pPr>
      <w:r>
        <w:rPr>
          <w:rFonts w:asciiTheme="majorBidi" w:hAnsiTheme="majorBidi" w:cstheme="majorBidi"/>
        </w:rPr>
        <w:t xml:space="preserve">6. </w:t>
      </w:r>
      <w:r>
        <w:rPr>
          <w:rFonts w:asciiTheme="majorBidi" w:hAnsiTheme="majorBidi" w:cstheme="majorBidi"/>
        </w:rPr>
        <w:t xml:space="preserve">The Crown Prosecution Service have </w:t>
      </w:r>
      <w:r>
        <w:rPr>
          <w:rFonts w:asciiTheme="majorBidi" w:hAnsiTheme="majorBidi" w:cstheme="majorBidi"/>
        </w:rPr>
        <w:t>highlighted</w:t>
      </w:r>
      <w:r>
        <w:rPr>
          <w:rFonts w:asciiTheme="majorBidi" w:hAnsiTheme="majorBidi" w:cstheme="majorBidi"/>
        </w:rPr>
        <w:t xml:space="preserve"> an </w:t>
      </w:r>
      <w:r>
        <w:rPr>
          <w:rFonts w:asciiTheme="majorBidi" w:hAnsiTheme="majorBidi" w:cstheme="majorBidi"/>
        </w:rPr>
        <w:t xml:space="preserve">overall </w:t>
      </w:r>
      <w:r w:rsidRPr="00812678">
        <w:rPr>
          <w:rFonts w:asciiTheme="majorBidi" w:hAnsiTheme="majorBidi" w:cstheme="majorBidi"/>
        </w:rPr>
        <w:t>information</w:t>
      </w:r>
      <w:r>
        <w:rPr>
          <w:rFonts w:asciiTheme="majorBidi" w:hAnsiTheme="majorBidi" w:cstheme="majorBidi"/>
        </w:rPr>
        <w:t>al flaw when it comes to the issue of recording</w:t>
      </w:r>
      <w:r w:rsidRPr="00812678">
        <w:rPr>
          <w:rFonts w:asciiTheme="majorBidi" w:hAnsiTheme="majorBidi" w:cstheme="majorBidi"/>
        </w:rPr>
        <w:t xml:space="preserve"> the ethnicity of victims </w:t>
      </w:r>
      <w:r>
        <w:rPr>
          <w:rFonts w:asciiTheme="majorBidi" w:hAnsiTheme="majorBidi" w:cstheme="majorBidi"/>
        </w:rPr>
        <w:t xml:space="preserve">of violence, noting that while </w:t>
      </w:r>
      <w:r>
        <w:rPr>
          <w:rFonts w:asciiTheme="majorBidi" w:hAnsiTheme="majorBidi" w:cstheme="majorBidi"/>
        </w:rPr>
        <w:t>in</w:t>
      </w:r>
      <w:r w:rsidRPr="00812678">
        <w:rPr>
          <w:rFonts w:asciiTheme="majorBidi" w:hAnsiTheme="majorBidi" w:cstheme="majorBidi"/>
          <w:color w:val="000000"/>
        </w:rPr>
        <w:t xml:space="preserve"> </w:t>
      </w:r>
      <w:r>
        <w:rPr>
          <w:rFonts w:asciiTheme="majorBidi" w:hAnsiTheme="majorBidi" w:cstheme="majorBidi"/>
          <w:color w:val="000000"/>
        </w:rPr>
        <w:t>2018-19, the ethnicity of just 65.1% of domestic abuse complainants was recorded, while in previous years this had been even lower, including just 52.9% in 2017-18</w:t>
      </w:r>
      <w:r>
        <w:rPr>
          <w:rStyle w:val="FootnoteReference"/>
          <w:rFonts w:asciiTheme="majorBidi" w:hAnsiTheme="majorBidi" w:cstheme="majorBidi"/>
          <w:color w:val="000000"/>
        </w:rPr>
        <w:footnoteReference w:id="5"/>
      </w:r>
      <w:r>
        <w:rPr>
          <w:rFonts w:asciiTheme="majorBidi" w:hAnsiTheme="majorBidi" w:cstheme="majorBidi"/>
          <w:color w:val="000000"/>
        </w:rPr>
        <w:t>.</w:t>
      </w:r>
      <w:r w:rsidRPr="00812678">
        <w:rPr>
          <w:rFonts w:asciiTheme="majorBidi" w:hAnsiTheme="majorBidi" w:cstheme="majorBidi"/>
        </w:rPr>
        <w:t xml:space="preserve"> This</w:t>
      </w:r>
      <w:r>
        <w:rPr>
          <w:rFonts w:asciiTheme="majorBidi" w:hAnsiTheme="majorBidi" w:cstheme="majorBidi"/>
        </w:rPr>
        <w:t xml:space="preserve"> </w:t>
      </w:r>
      <w:r>
        <w:rPr>
          <w:rFonts w:asciiTheme="majorBidi" w:hAnsiTheme="majorBidi" w:cstheme="majorBidi"/>
        </w:rPr>
        <w:t>is a strong example of</w:t>
      </w:r>
      <w:r>
        <w:rPr>
          <w:rFonts w:asciiTheme="majorBidi" w:hAnsiTheme="majorBidi" w:cstheme="majorBidi"/>
        </w:rPr>
        <w:t xml:space="preserve"> the </w:t>
      </w:r>
      <w:r>
        <w:rPr>
          <w:rFonts w:asciiTheme="majorBidi" w:hAnsiTheme="majorBidi" w:cstheme="majorBidi"/>
        </w:rPr>
        <w:t>problem,</w:t>
      </w:r>
      <w:r w:rsidRPr="00812678">
        <w:rPr>
          <w:rFonts w:asciiTheme="majorBidi" w:hAnsiTheme="majorBidi" w:cstheme="majorBidi"/>
        </w:rPr>
        <w:t xml:space="preserve"> that </w:t>
      </w:r>
      <w:r>
        <w:rPr>
          <w:rFonts w:asciiTheme="majorBidi" w:hAnsiTheme="majorBidi" w:cstheme="majorBidi"/>
        </w:rPr>
        <w:t xml:space="preserve">the criminal justice system does not </w:t>
      </w:r>
      <w:r>
        <w:rPr>
          <w:rFonts w:asciiTheme="majorBidi" w:hAnsiTheme="majorBidi" w:cstheme="majorBidi"/>
        </w:rPr>
        <w:t>know enough</w:t>
      </w:r>
      <w:r w:rsidRPr="00812678">
        <w:rPr>
          <w:rFonts w:asciiTheme="majorBidi" w:hAnsiTheme="majorBidi" w:cstheme="majorBidi"/>
        </w:rPr>
        <w:t xml:space="preserve"> about the perpetration of domestic violence </w:t>
      </w:r>
      <w:r>
        <w:rPr>
          <w:rFonts w:asciiTheme="majorBidi" w:hAnsiTheme="majorBidi" w:cstheme="majorBidi"/>
        </w:rPr>
        <w:t>from one</w:t>
      </w:r>
      <w:r w:rsidRPr="00812678">
        <w:rPr>
          <w:rFonts w:asciiTheme="majorBidi" w:hAnsiTheme="majorBidi" w:cstheme="majorBidi"/>
        </w:rPr>
        <w:t xml:space="preserve"> particular ra</w:t>
      </w:r>
      <w:r>
        <w:rPr>
          <w:rFonts w:asciiTheme="majorBidi" w:hAnsiTheme="majorBidi" w:cstheme="majorBidi"/>
        </w:rPr>
        <w:t>cial and/or cultural community</w:t>
      </w:r>
      <w:r w:rsidRPr="00812678">
        <w:rPr>
          <w:rFonts w:asciiTheme="majorBidi" w:hAnsiTheme="majorBidi" w:cstheme="majorBidi"/>
        </w:rPr>
        <w:t xml:space="preserve"> </w:t>
      </w:r>
      <w:r>
        <w:rPr>
          <w:rFonts w:asciiTheme="majorBidi" w:hAnsiTheme="majorBidi" w:cstheme="majorBidi"/>
        </w:rPr>
        <w:t>or context to another.</w:t>
      </w:r>
      <w:r>
        <w:rPr>
          <w:rFonts w:asciiTheme="majorBidi" w:hAnsiTheme="majorBidi" w:cstheme="majorBidi"/>
        </w:rPr>
        <w:t xml:space="preserve"> </w:t>
      </w:r>
      <w:r>
        <w:rPr>
          <w:rFonts w:asciiTheme="majorBidi" w:hAnsiTheme="majorBidi" w:cstheme="majorBidi"/>
        </w:rPr>
        <w:t>In relation to the specific context of this written evidence submission, i</w:t>
      </w:r>
      <w:r>
        <w:rPr>
          <w:rFonts w:asciiTheme="majorBidi" w:hAnsiTheme="majorBidi" w:cstheme="majorBidi"/>
        </w:rPr>
        <w:t>t should be noted that</w:t>
      </w:r>
      <w:r w:rsidRPr="00812678">
        <w:rPr>
          <w:rFonts w:asciiTheme="majorBidi" w:hAnsiTheme="majorBidi" w:cstheme="majorBidi"/>
        </w:rPr>
        <w:t xml:space="preserve"> the </w:t>
      </w:r>
      <w:r>
        <w:rPr>
          <w:rFonts w:asciiTheme="majorBidi" w:hAnsiTheme="majorBidi" w:cstheme="majorBidi"/>
        </w:rPr>
        <w:t xml:space="preserve">current </w:t>
      </w:r>
      <w:r w:rsidRPr="00812678">
        <w:rPr>
          <w:rFonts w:asciiTheme="majorBidi" w:hAnsiTheme="majorBidi" w:cstheme="majorBidi"/>
        </w:rPr>
        <w:t>Scheme guidance</w:t>
      </w:r>
      <w:r w:rsidRPr="00812678">
        <w:rPr>
          <w:rFonts w:asciiTheme="majorBidi" w:hAnsiTheme="majorBidi" w:cstheme="majorBidi"/>
        </w:rPr>
        <w:t xml:space="preserve"> </w:t>
      </w:r>
      <w:r>
        <w:rPr>
          <w:rFonts w:asciiTheme="majorBidi" w:hAnsiTheme="majorBidi" w:cstheme="majorBidi"/>
        </w:rPr>
        <w:t>for the DVDS in England and Wales, last revised in 2016</w:t>
      </w:r>
      <w:r>
        <w:rPr>
          <w:rFonts w:asciiTheme="majorBidi" w:hAnsiTheme="majorBidi" w:cstheme="majorBidi"/>
        </w:rPr>
        <w:t>,</w:t>
      </w:r>
      <w:r>
        <w:rPr>
          <w:rFonts w:asciiTheme="majorBidi" w:hAnsiTheme="majorBidi" w:cstheme="majorBidi"/>
        </w:rPr>
        <w:t xml:space="preserve"> </w:t>
      </w:r>
      <w:r w:rsidRPr="00812678">
        <w:rPr>
          <w:rFonts w:asciiTheme="majorBidi" w:hAnsiTheme="majorBidi" w:cstheme="majorBidi"/>
        </w:rPr>
        <w:t>is silent upon</w:t>
      </w:r>
      <w:r>
        <w:rPr>
          <w:rFonts w:asciiTheme="majorBidi" w:hAnsiTheme="majorBidi" w:cstheme="majorBidi"/>
        </w:rPr>
        <w:t xml:space="preserve"> considerations of how </w:t>
      </w:r>
      <w:r>
        <w:rPr>
          <w:rFonts w:asciiTheme="majorBidi" w:hAnsiTheme="majorBidi" w:cstheme="majorBidi"/>
        </w:rPr>
        <w:t>issues</w:t>
      </w:r>
      <w:r>
        <w:rPr>
          <w:rFonts w:asciiTheme="majorBidi" w:hAnsiTheme="majorBidi" w:cstheme="majorBidi"/>
        </w:rPr>
        <w:t xml:space="preserve"> in one ethnic group or </w:t>
      </w:r>
      <w:r>
        <w:rPr>
          <w:rFonts w:asciiTheme="majorBidi" w:hAnsiTheme="majorBidi" w:cstheme="majorBidi"/>
        </w:rPr>
        <w:t>community</w:t>
      </w:r>
      <w:r>
        <w:rPr>
          <w:rFonts w:asciiTheme="majorBidi" w:hAnsiTheme="majorBidi" w:cstheme="majorBidi"/>
        </w:rPr>
        <w:t xml:space="preserve"> might affect the </w:t>
      </w:r>
      <w:r>
        <w:rPr>
          <w:rFonts w:asciiTheme="majorBidi" w:hAnsiTheme="majorBidi" w:cstheme="majorBidi"/>
        </w:rPr>
        <w:t xml:space="preserve">request, </w:t>
      </w:r>
      <w:r>
        <w:rPr>
          <w:rFonts w:asciiTheme="majorBidi" w:hAnsiTheme="majorBidi" w:cstheme="majorBidi"/>
        </w:rPr>
        <w:t>receipt or efficacy of disclosures</w:t>
      </w:r>
      <w:r>
        <w:rPr>
          <w:rStyle w:val="FootnoteReference"/>
          <w:rFonts w:asciiTheme="majorBidi" w:hAnsiTheme="majorBidi" w:cstheme="majorBidi"/>
        </w:rPr>
        <w:footnoteReference w:id="6"/>
      </w:r>
      <w:r w:rsidRPr="00812678">
        <w:rPr>
          <w:rFonts w:asciiTheme="majorBidi" w:hAnsiTheme="majorBidi" w:cstheme="majorBidi"/>
        </w:rPr>
        <w:t xml:space="preserve">. </w:t>
      </w:r>
      <w:r>
        <w:rPr>
          <w:rFonts w:asciiTheme="majorBidi" w:hAnsiTheme="majorBidi" w:cstheme="majorBidi"/>
        </w:rPr>
        <w:t>T</w:t>
      </w:r>
      <w:r w:rsidRPr="00812678">
        <w:rPr>
          <w:rFonts w:asciiTheme="majorBidi" w:hAnsiTheme="majorBidi" w:cstheme="majorBidi"/>
        </w:rPr>
        <w:t>here has been criticism that the Scheme is not a policing</w:t>
      </w:r>
      <w:r w:rsidRPr="00812678">
        <w:rPr>
          <w:rFonts w:asciiTheme="majorBidi" w:hAnsiTheme="majorBidi" w:cstheme="majorBidi"/>
        </w:rPr>
        <w:t xml:space="preserve"> </w:t>
      </w:r>
      <w:r>
        <w:rPr>
          <w:rFonts w:asciiTheme="majorBidi" w:hAnsiTheme="majorBidi" w:cstheme="majorBidi"/>
        </w:rPr>
        <w:t>safeguard</w:t>
      </w:r>
      <w:r w:rsidRPr="00812678">
        <w:rPr>
          <w:rFonts w:asciiTheme="majorBidi" w:hAnsiTheme="majorBidi" w:cstheme="majorBidi"/>
        </w:rPr>
        <w:t xml:space="preserve"> which some women, particularly, from certain BME and/or immigrant communities would find culturally easy to engage with</w:t>
      </w:r>
      <w:r>
        <w:rPr>
          <w:rStyle w:val="FootnoteReference"/>
          <w:rFonts w:asciiTheme="majorBidi" w:hAnsiTheme="majorBidi" w:cstheme="majorBidi"/>
        </w:rPr>
        <w:footnoteReference w:id="7"/>
      </w:r>
      <w:r w:rsidRPr="00812678">
        <w:rPr>
          <w:rFonts w:asciiTheme="majorBidi" w:hAnsiTheme="majorBidi" w:cstheme="majorBidi"/>
        </w:rPr>
        <w:t xml:space="preserve">. </w:t>
      </w:r>
      <w:r>
        <w:rPr>
          <w:rFonts w:asciiTheme="majorBidi" w:hAnsiTheme="majorBidi" w:cstheme="majorBidi"/>
        </w:rPr>
        <w:t>The only Home Office-led review</w:t>
      </w:r>
      <w:r>
        <w:rPr>
          <w:rFonts w:asciiTheme="majorBidi" w:hAnsiTheme="majorBidi" w:cstheme="majorBidi"/>
        </w:rPr>
        <w:t xml:space="preserve"> of the </w:t>
      </w:r>
      <w:r>
        <w:rPr>
          <w:rFonts w:asciiTheme="majorBidi" w:hAnsiTheme="majorBidi" w:cstheme="majorBidi"/>
        </w:rPr>
        <w:t xml:space="preserve">national </w:t>
      </w:r>
      <w:r>
        <w:rPr>
          <w:rFonts w:asciiTheme="majorBidi" w:hAnsiTheme="majorBidi" w:cstheme="majorBidi"/>
        </w:rPr>
        <w:t>Scheme in England and Wales</w:t>
      </w:r>
      <w:r>
        <w:rPr>
          <w:rFonts w:asciiTheme="majorBidi" w:hAnsiTheme="majorBidi" w:cstheme="majorBidi"/>
        </w:rPr>
        <w:t>,</w:t>
      </w:r>
      <w:r>
        <w:rPr>
          <w:rFonts w:asciiTheme="majorBidi" w:hAnsiTheme="majorBidi" w:cstheme="majorBidi"/>
        </w:rPr>
        <w:t xml:space="preserve"> a 'one year on' report</w:t>
      </w:r>
      <w:r>
        <w:rPr>
          <w:rFonts w:asciiTheme="majorBidi" w:hAnsiTheme="majorBidi" w:cstheme="majorBidi"/>
        </w:rPr>
        <w:t xml:space="preserve"> published in 2016</w:t>
      </w:r>
      <w:r>
        <w:rPr>
          <w:rStyle w:val="FootnoteReference"/>
          <w:rFonts w:asciiTheme="majorBidi" w:hAnsiTheme="majorBidi" w:cstheme="majorBidi"/>
        </w:rPr>
        <w:footnoteReference w:id="8"/>
      </w:r>
      <w:r>
        <w:rPr>
          <w:rFonts w:asciiTheme="majorBidi" w:hAnsiTheme="majorBidi" w:cstheme="majorBidi"/>
        </w:rPr>
        <w:t xml:space="preserve">, </w:t>
      </w:r>
      <w:r>
        <w:rPr>
          <w:rFonts w:asciiTheme="majorBidi" w:hAnsiTheme="majorBidi" w:cstheme="majorBidi"/>
        </w:rPr>
        <w:t>also does not mention any analysis</w:t>
      </w:r>
      <w:r>
        <w:rPr>
          <w:rFonts w:asciiTheme="majorBidi" w:hAnsiTheme="majorBidi" w:cstheme="majorBidi"/>
        </w:rPr>
        <w:t xml:space="preserve"> of the operation of the Scheme in terms</w:t>
      </w:r>
      <w:r>
        <w:rPr>
          <w:rFonts w:asciiTheme="majorBidi" w:hAnsiTheme="majorBidi" w:cstheme="majorBidi"/>
        </w:rPr>
        <w:t xml:space="preserve"> of race or </w:t>
      </w:r>
      <w:r>
        <w:rPr>
          <w:rFonts w:asciiTheme="majorBidi" w:hAnsiTheme="majorBidi" w:cstheme="majorBidi"/>
        </w:rPr>
        <w:t>ethnicity</w:t>
      </w:r>
      <w:r>
        <w:rPr>
          <w:rFonts w:asciiTheme="majorBidi" w:hAnsiTheme="majorBidi" w:cstheme="majorBidi"/>
        </w:rPr>
        <w:t xml:space="preserve"> - despite the fact that non-white individuals at risk </w:t>
      </w:r>
      <w:r>
        <w:rPr>
          <w:rFonts w:asciiTheme="majorBidi" w:hAnsiTheme="majorBidi" w:cstheme="majorBidi"/>
        </w:rPr>
        <w:t>can</w:t>
      </w:r>
      <w:r>
        <w:rPr>
          <w:rFonts w:asciiTheme="majorBidi" w:hAnsiTheme="majorBidi" w:cstheme="majorBidi"/>
        </w:rPr>
        <w:t xml:space="preserve"> </w:t>
      </w:r>
      <w:r>
        <w:rPr>
          <w:rFonts w:asciiTheme="majorBidi" w:hAnsiTheme="majorBidi" w:cstheme="majorBidi"/>
        </w:rPr>
        <w:t xml:space="preserve">be </w:t>
      </w:r>
      <w:r>
        <w:rPr>
          <w:rFonts w:asciiTheme="majorBidi" w:hAnsiTheme="majorBidi" w:cstheme="majorBidi"/>
        </w:rPr>
        <w:t>identified as under-represented in the piloting of the Scheme (forming 5% of t</w:t>
      </w:r>
      <w:r>
        <w:rPr>
          <w:rFonts w:asciiTheme="majorBidi" w:hAnsiTheme="majorBidi" w:cstheme="majorBidi"/>
        </w:rPr>
        <w:t xml:space="preserve">he cohort studied in the pilot, with </w:t>
      </w:r>
      <w:r>
        <w:rPr>
          <w:rFonts w:asciiTheme="majorBidi" w:hAnsiTheme="majorBidi" w:cstheme="majorBidi"/>
        </w:rPr>
        <w:t xml:space="preserve">an additional </w:t>
      </w:r>
      <w:r>
        <w:rPr>
          <w:rFonts w:asciiTheme="majorBidi" w:hAnsiTheme="majorBidi" w:cstheme="majorBidi"/>
        </w:rPr>
        <w:t xml:space="preserve">12% of all of those at risk </w:t>
      </w:r>
      <w:r>
        <w:rPr>
          <w:rFonts w:asciiTheme="majorBidi" w:hAnsiTheme="majorBidi" w:cstheme="majorBidi"/>
        </w:rPr>
        <w:t>with an un-recorded ethnicity</w:t>
      </w:r>
      <w:r>
        <w:rPr>
          <w:rFonts w:asciiTheme="majorBidi" w:hAnsiTheme="majorBidi" w:cstheme="majorBidi"/>
        </w:rPr>
        <w:t>)</w:t>
      </w:r>
      <w:r>
        <w:rPr>
          <w:rStyle w:val="FootnoteReference"/>
          <w:rFonts w:asciiTheme="majorBidi" w:hAnsiTheme="majorBidi" w:cstheme="majorBidi"/>
        </w:rPr>
        <w:footnoteReference w:id="9"/>
      </w:r>
      <w:r>
        <w:rPr>
          <w:rFonts w:asciiTheme="majorBidi" w:hAnsiTheme="majorBidi" w:cstheme="majorBidi"/>
        </w:rPr>
        <w:t>.</w:t>
      </w:r>
      <w:r>
        <w:rPr>
          <w:rFonts w:asciiTheme="majorBidi" w:hAnsiTheme="majorBidi" w:cstheme="majorBidi"/>
        </w:rPr>
        <w:t xml:space="preserve"> </w:t>
      </w:r>
    </w:p>
    <w:p w:rsidR="00947880" w:rsidP="006E20E4">
      <w:pPr>
        <w:autoSpaceDE w:val="0"/>
        <w:autoSpaceDN w:val="0"/>
        <w:adjustRightInd w:val="0"/>
        <w:spacing w:after="0" w:line="360" w:lineRule="auto"/>
        <w:rPr>
          <w:rFonts w:asciiTheme="majorBidi" w:hAnsiTheme="majorBidi" w:cstheme="majorBidi"/>
        </w:rPr>
      </w:pPr>
    </w:p>
    <w:p w:rsidR="00E61679" w:rsidP="006E20E4">
      <w:pPr>
        <w:autoSpaceDE w:val="0"/>
        <w:autoSpaceDN w:val="0"/>
        <w:adjustRightInd w:val="0"/>
        <w:spacing w:after="0" w:line="360" w:lineRule="auto"/>
        <w:rPr>
          <w:rFonts w:asciiTheme="majorBidi" w:hAnsiTheme="majorBidi" w:cstheme="majorBidi"/>
        </w:rPr>
      </w:pPr>
      <w:r>
        <w:rPr>
          <w:rFonts w:asciiTheme="majorBidi" w:hAnsiTheme="majorBidi" w:cstheme="majorBidi"/>
        </w:rPr>
        <w:t xml:space="preserve">7. </w:t>
      </w:r>
      <w:r>
        <w:rPr>
          <w:rFonts w:asciiTheme="majorBidi" w:hAnsiTheme="majorBidi" w:cstheme="majorBidi"/>
        </w:rPr>
        <w:t>Women from migrant and/or BME communities face intersectional, aggravating risk factors in terms of their vulnerability to domestic violenc</w:t>
      </w:r>
      <w:r>
        <w:rPr>
          <w:rFonts w:asciiTheme="majorBidi" w:hAnsiTheme="majorBidi" w:cstheme="majorBidi"/>
        </w:rPr>
        <w:t>e, and there are systemic problems that arise for police officers in working with women in those communities. These have been argued</w:t>
      </w:r>
      <w:r>
        <w:rPr>
          <w:rFonts w:asciiTheme="majorBidi" w:hAnsiTheme="majorBidi" w:cstheme="majorBidi"/>
        </w:rPr>
        <w:t xml:space="preserve"> and evidenced</w:t>
      </w:r>
      <w:r>
        <w:rPr>
          <w:rFonts w:asciiTheme="majorBidi" w:hAnsiTheme="majorBidi" w:cstheme="majorBidi"/>
        </w:rPr>
        <w:t xml:space="preserve"> to include the risks of inadequate interpreting facilities, a relative lack of ethnic minority female officer</w:t>
      </w:r>
      <w:r>
        <w:rPr>
          <w:rFonts w:asciiTheme="majorBidi" w:hAnsiTheme="majorBidi" w:cstheme="majorBidi"/>
        </w:rPr>
        <w:t>s,</w:t>
      </w:r>
      <w:r>
        <w:rPr>
          <w:rFonts w:asciiTheme="majorBidi" w:hAnsiTheme="majorBidi" w:cstheme="majorBidi"/>
        </w:rPr>
        <w:t xml:space="preserve"> the psychology and legality of fragile immigration statuses, 'honour' violence arising from cultural stigma </w:t>
      </w:r>
      <w:r>
        <w:rPr>
          <w:rFonts w:asciiTheme="majorBidi" w:hAnsiTheme="majorBidi" w:cstheme="majorBidi"/>
        </w:rPr>
        <w:t>concerning</w:t>
      </w:r>
      <w:r>
        <w:rPr>
          <w:rFonts w:asciiTheme="majorBidi" w:hAnsiTheme="majorBidi" w:cstheme="majorBidi"/>
        </w:rPr>
        <w:t xml:space="preserve"> the breakdown of relationships including marriage</w:t>
      </w:r>
      <w:r>
        <w:rPr>
          <w:rFonts w:asciiTheme="majorBidi" w:hAnsiTheme="majorBidi" w:cstheme="majorBidi"/>
        </w:rPr>
        <w:t>, and a lack of specialised support services</w:t>
      </w:r>
      <w:r>
        <w:rPr>
          <w:rStyle w:val="FootnoteReference"/>
          <w:rFonts w:asciiTheme="majorBidi" w:hAnsiTheme="majorBidi" w:cstheme="majorBidi"/>
        </w:rPr>
        <w:footnoteReference w:id="10"/>
      </w:r>
      <w:r>
        <w:rPr>
          <w:rFonts w:asciiTheme="majorBidi" w:hAnsiTheme="majorBidi" w:cstheme="majorBidi"/>
        </w:rPr>
        <w:t>, and these issues must, as a result, be</w:t>
      </w:r>
      <w:r>
        <w:rPr>
          <w:rFonts w:asciiTheme="majorBidi" w:hAnsiTheme="majorBidi" w:cstheme="majorBidi"/>
        </w:rPr>
        <w:t xml:space="preserve"> highlighted strongly in the guidance that regulates the operation of the Domestic Violence Disclosure Scheme in Engl</w:t>
      </w:r>
      <w:r>
        <w:rPr>
          <w:rFonts w:asciiTheme="majorBidi" w:hAnsiTheme="majorBidi" w:cstheme="majorBidi"/>
        </w:rPr>
        <w:t>and and Wales</w:t>
      </w:r>
      <w:r>
        <w:rPr>
          <w:rFonts w:asciiTheme="majorBidi" w:hAnsiTheme="majorBidi" w:cstheme="majorBidi"/>
        </w:rPr>
        <w:t xml:space="preserve">. But </w:t>
      </w:r>
      <w:r>
        <w:rPr>
          <w:rFonts w:asciiTheme="majorBidi" w:hAnsiTheme="majorBidi" w:cstheme="majorBidi"/>
        </w:rPr>
        <w:t>these sorts of issues are</w:t>
      </w:r>
      <w:r w:rsidRPr="00812678">
        <w:rPr>
          <w:rFonts w:asciiTheme="majorBidi" w:hAnsiTheme="majorBidi" w:cstheme="majorBidi"/>
        </w:rPr>
        <w:t xml:space="preserve"> not </w:t>
      </w:r>
      <w:r>
        <w:rPr>
          <w:rFonts w:asciiTheme="majorBidi" w:hAnsiTheme="majorBidi" w:cstheme="majorBidi"/>
        </w:rPr>
        <w:t xml:space="preserve">addressed at all </w:t>
      </w:r>
      <w:r w:rsidRPr="00812678">
        <w:rPr>
          <w:rFonts w:asciiTheme="majorBidi" w:hAnsiTheme="majorBidi" w:cstheme="majorBidi"/>
        </w:rPr>
        <w:t xml:space="preserve">by the Scheme guidance. </w:t>
      </w:r>
      <w:r>
        <w:rPr>
          <w:rFonts w:asciiTheme="majorBidi" w:hAnsiTheme="majorBidi" w:cstheme="majorBidi"/>
        </w:rPr>
        <w:t xml:space="preserve">This appears to be </w:t>
      </w:r>
      <w:r w:rsidRPr="00812678">
        <w:rPr>
          <w:rFonts w:asciiTheme="majorBidi" w:hAnsiTheme="majorBidi" w:cstheme="majorBidi"/>
        </w:rPr>
        <w:t xml:space="preserve">because a </w:t>
      </w:r>
      <w:r>
        <w:rPr>
          <w:rFonts w:asciiTheme="majorBidi" w:hAnsiTheme="majorBidi" w:cstheme="majorBidi"/>
        </w:rPr>
        <w:t>sort of victim neutr</w:t>
      </w:r>
      <w:r>
        <w:rPr>
          <w:rFonts w:asciiTheme="majorBidi" w:hAnsiTheme="majorBidi" w:cstheme="majorBidi"/>
        </w:rPr>
        <w:t xml:space="preserve">ality </w:t>
      </w:r>
      <w:r w:rsidRPr="00812678">
        <w:rPr>
          <w:rFonts w:asciiTheme="majorBidi" w:hAnsiTheme="majorBidi" w:cstheme="majorBidi"/>
        </w:rPr>
        <w:t xml:space="preserve">appears to underpin the Scheme guidance: but it has been </w:t>
      </w:r>
      <w:r>
        <w:rPr>
          <w:rFonts w:asciiTheme="majorBidi" w:hAnsiTheme="majorBidi" w:cstheme="majorBidi"/>
        </w:rPr>
        <w:t>argued</w:t>
      </w:r>
      <w:r>
        <w:rPr>
          <w:rStyle w:val="FootnoteReference"/>
          <w:rFonts w:asciiTheme="majorBidi" w:hAnsiTheme="majorBidi" w:cstheme="majorBidi"/>
        </w:rPr>
        <w:footnoteReference w:id="11"/>
      </w:r>
      <w:r w:rsidRPr="00812678">
        <w:rPr>
          <w:rFonts w:asciiTheme="majorBidi" w:hAnsiTheme="majorBidi" w:cstheme="majorBidi"/>
        </w:rPr>
        <w:t xml:space="preserve"> that cultural factors may play a large role in the 'take up' (or not) of the Scheme in certain minority communities, and thus cultural factors may play a large role in the purported suc</w:t>
      </w:r>
      <w:r w:rsidRPr="00812678">
        <w:rPr>
          <w:rFonts w:asciiTheme="majorBidi" w:hAnsiTheme="majorBidi" w:cstheme="majorBidi"/>
        </w:rPr>
        <w:t>cess of the DVDS in helping</w:t>
      </w:r>
      <w:r>
        <w:rPr>
          <w:rFonts w:asciiTheme="majorBidi" w:hAnsiTheme="majorBidi" w:cstheme="majorBidi"/>
        </w:rPr>
        <w:t xml:space="preserve"> victims</w:t>
      </w:r>
      <w:r>
        <w:rPr>
          <w:rFonts w:asciiTheme="majorBidi" w:hAnsiTheme="majorBidi" w:cstheme="majorBidi"/>
        </w:rPr>
        <w:t>, including</w:t>
      </w:r>
      <w:r>
        <w:rPr>
          <w:rFonts w:asciiTheme="majorBidi" w:hAnsiTheme="majorBidi" w:cstheme="majorBidi"/>
        </w:rPr>
        <w:t xml:space="preserve"> in those </w:t>
      </w:r>
      <w:r>
        <w:rPr>
          <w:rFonts w:asciiTheme="majorBidi" w:hAnsiTheme="majorBidi" w:cstheme="majorBidi"/>
        </w:rPr>
        <w:t xml:space="preserve">minority </w:t>
      </w:r>
      <w:r>
        <w:rPr>
          <w:rFonts w:asciiTheme="majorBidi" w:hAnsiTheme="majorBidi" w:cstheme="majorBidi"/>
        </w:rPr>
        <w:t xml:space="preserve">communities. </w:t>
      </w:r>
      <w:r w:rsidRPr="00812678">
        <w:rPr>
          <w:rFonts w:asciiTheme="majorBidi" w:hAnsiTheme="majorBidi" w:cstheme="majorBidi"/>
        </w:rPr>
        <w:t>'Purported' success is a phrase used here because the DVDS has not been widely or thoroughly evaluated</w:t>
      </w:r>
      <w:r>
        <w:rPr>
          <w:rFonts w:asciiTheme="majorBidi" w:hAnsiTheme="majorBidi" w:cstheme="majorBidi"/>
        </w:rPr>
        <w:t xml:space="preserve">, and certainly not from a critical </w:t>
      </w:r>
      <w:r>
        <w:rPr>
          <w:rFonts w:asciiTheme="majorBidi" w:hAnsiTheme="majorBidi" w:cstheme="majorBidi"/>
        </w:rPr>
        <w:t>perspective in terms of race or</w:t>
      </w:r>
      <w:r>
        <w:rPr>
          <w:rFonts w:asciiTheme="majorBidi" w:hAnsiTheme="majorBidi" w:cstheme="majorBidi"/>
        </w:rPr>
        <w:t xml:space="preserve"> ethnicity, by HM Government</w:t>
      </w:r>
      <w:r w:rsidRPr="00812678">
        <w:rPr>
          <w:rFonts w:asciiTheme="majorBidi" w:hAnsiTheme="majorBidi" w:cstheme="majorBidi"/>
        </w:rPr>
        <w:t xml:space="preserve">. </w:t>
      </w:r>
      <w:r w:rsidRPr="00812678">
        <w:rPr>
          <w:rFonts w:asciiTheme="majorBidi" w:hAnsiTheme="majorBidi" w:cstheme="majorBidi"/>
        </w:rPr>
        <w:t>The Home Office impact assessment</w:t>
      </w:r>
      <w:r>
        <w:rPr>
          <w:rFonts w:asciiTheme="majorBidi" w:hAnsiTheme="majorBidi" w:cstheme="majorBidi"/>
        </w:rPr>
        <w:t xml:space="preserve"> on the piloting of the DVDS in 2012-13 did note however </w:t>
      </w:r>
      <w:r w:rsidRPr="00812678">
        <w:rPr>
          <w:rFonts w:asciiTheme="majorBidi" w:hAnsiTheme="majorBidi" w:cstheme="majorBidi"/>
        </w:rPr>
        <w:t>that there were potential equality-related issues concerning the operation of the Scheme, such as in relation to issues of first languag</w:t>
      </w:r>
      <w:r w:rsidRPr="00812678">
        <w:rPr>
          <w:rFonts w:asciiTheme="majorBidi" w:hAnsiTheme="majorBidi" w:cstheme="majorBidi"/>
        </w:rPr>
        <w:t xml:space="preserve">e; potential risks of so-called honour-based violence; a need for police outreach work in particular communities in relation to the Scheme; the importance that the Scheme was perceived as gender neutral; and the involvement of carers in disclosures, where </w:t>
      </w:r>
      <w:r w:rsidRPr="00812678">
        <w:rPr>
          <w:rFonts w:asciiTheme="majorBidi" w:hAnsiTheme="majorBidi" w:cstheme="majorBidi"/>
        </w:rPr>
        <w:t>relevant.</w:t>
      </w:r>
      <w:r>
        <w:rPr>
          <w:rStyle w:val="FootnoteReference"/>
          <w:rFonts w:asciiTheme="majorBidi" w:hAnsiTheme="majorBidi" w:cstheme="majorBidi"/>
        </w:rPr>
        <w:footnoteReference w:id="12"/>
      </w:r>
    </w:p>
    <w:p w:rsidR="007351F8" w:rsidP="006E20E4">
      <w:pPr>
        <w:autoSpaceDE w:val="0"/>
        <w:autoSpaceDN w:val="0"/>
        <w:adjustRightInd w:val="0"/>
        <w:spacing w:after="0" w:line="360" w:lineRule="auto"/>
        <w:rPr>
          <w:rFonts w:ascii="Times New Roman" w:hAnsi="Times New Roman" w:cs="Times New Roman"/>
        </w:rPr>
      </w:pPr>
    </w:p>
    <w:p w:rsidR="00E61679" w:rsidP="006E20E4">
      <w:pPr>
        <w:autoSpaceDE w:val="0"/>
        <w:autoSpaceDN w:val="0"/>
        <w:adjustRightInd w:val="0"/>
        <w:spacing w:after="0" w:line="360" w:lineRule="auto"/>
        <w:rPr>
          <w:rFonts w:ascii="Times New Roman" w:hAnsi="Times New Roman" w:cs="Times New Roman"/>
        </w:rPr>
      </w:pPr>
      <w:r>
        <w:rPr>
          <w:rFonts w:ascii="Times New Roman" w:hAnsi="Times New Roman" w:cs="Times New Roman"/>
        </w:rPr>
        <w:t xml:space="preserve">8. </w:t>
      </w:r>
      <w:r>
        <w:rPr>
          <w:rFonts w:ascii="Times New Roman" w:hAnsi="Times New Roman" w:cs="Times New Roman"/>
        </w:rPr>
        <w:t>G</w:t>
      </w:r>
      <w:r w:rsidRPr="008724B6">
        <w:rPr>
          <w:rFonts w:ascii="Times New Roman" w:hAnsi="Times New Roman" w:cs="Times New Roman"/>
        </w:rPr>
        <w:t xml:space="preserve">uidance on the DVDS in England and Wales, including statutory guidance in the future, has to be produced by the Home </w:t>
      </w:r>
      <w:r>
        <w:rPr>
          <w:rFonts w:ascii="Times New Roman" w:hAnsi="Times New Roman" w:cs="Times New Roman"/>
        </w:rPr>
        <w:t>Office</w:t>
      </w:r>
      <w:r w:rsidRPr="008724B6">
        <w:rPr>
          <w:rFonts w:ascii="Times New Roman" w:hAnsi="Times New Roman" w:cs="Times New Roman"/>
        </w:rPr>
        <w:t xml:space="preserve"> in such a way that it meets the public sector equality duty (PSED), which in this context requires 'due regard' to the need to prevent victimisation (through disproportionate levels of domestic violence) against women (as a group with a 'protected charact</w:t>
      </w:r>
      <w:r w:rsidRPr="008724B6">
        <w:rPr>
          <w:rFonts w:ascii="Times New Roman" w:hAnsi="Times New Roman" w:cs="Times New Roman"/>
        </w:rPr>
        <w:t>eristic' of sex). This requirement under Section 149 of the Equality Act 2010, as it applies in this policymaking context, entails a duty, the courts have determined, on ministers to be 'properly informed</w:t>
      </w:r>
      <w:r>
        <w:rPr>
          <w:rFonts w:ascii="Times New Roman" w:hAnsi="Times New Roman" w:cs="Times New Roman"/>
        </w:rPr>
        <w:t>'</w:t>
      </w:r>
      <w:r w:rsidRPr="008724B6">
        <w:rPr>
          <w:rFonts w:ascii="Times New Roman" w:hAnsi="Times New Roman" w:cs="Times New Roman"/>
        </w:rPr>
        <w:t xml:space="preserve"> in their decision making</w:t>
      </w:r>
      <w:r>
        <w:rPr>
          <w:rStyle w:val="FootnoteReference"/>
          <w:rFonts w:ascii="Times New Roman" w:hAnsi="Times New Roman" w:cs="Times New Roman"/>
        </w:rPr>
        <w:footnoteReference w:id="13"/>
      </w:r>
      <w:r w:rsidRPr="008724B6">
        <w:rPr>
          <w:rFonts w:ascii="Times New Roman" w:hAnsi="Times New Roman" w:cs="Times New Roman"/>
        </w:rPr>
        <w:t>. The failure of the Home</w:t>
      </w:r>
      <w:r w:rsidRPr="008724B6">
        <w:rPr>
          <w:rFonts w:ascii="Times New Roman" w:hAnsi="Times New Roman" w:cs="Times New Roman"/>
        </w:rPr>
        <w:t xml:space="preserve"> Office or national policing bodies to examine the</w:t>
      </w:r>
      <w:r>
        <w:rPr>
          <w:rFonts w:ascii="Times New Roman" w:hAnsi="Times New Roman" w:cs="Times New Roman"/>
        </w:rPr>
        <w:t xml:space="preserve"> overall</w:t>
      </w:r>
      <w:r w:rsidRPr="008724B6">
        <w:rPr>
          <w:rFonts w:ascii="Times New Roman" w:hAnsi="Times New Roman" w:cs="Times New Roman"/>
        </w:rPr>
        <w:t xml:space="preserve"> </w:t>
      </w:r>
      <w:r w:rsidRPr="002F4DDD">
        <w:rPr>
          <w:rFonts w:ascii="Times New Roman" w:hAnsi="Times New Roman" w:cs="Times New Roman"/>
          <w:i/>
        </w:rPr>
        <w:t>efficacy</w:t>
      </w:r>
      <w:r w:rsidRPr="008724B6">
        <w:rPr>
          <w:rFonts w:ascii="Times New Roman" w:hAnsi="Times New Roman" w:cs="Times New Roman"/>
        </w:rPr>
        <w:t xml:space="preserve"> of the Scheme</w:t>
      </w:r>
      <w:r>
        <w:rPr>
          <w:rFonts w:ascii="Times New Roman" w:hAnsi="Times New Roman" w:cs="Times New Roman"/>
        </w:rPr>
        <w:t xml:space="preserve"> across </w:t>
      </w:r>
      <w:r>
        <w:rPr>
          <w:rFonts w:ascii="Times New Roman" w:hAnsi="Times New Roman" w:cs="Times New Roman"/>
        </w:rPr>
        <w:t>diverse</w:t>
      </w:r>
      <w:r>
        <w:rPr>
          <w:rFonts w:ascii="Times New Roman" w:hAnsi="Times New Roman" w:cs="Times New Roman"/>
        </w:rPr>
        <w:t xml:space="preserve"> communities in the England and Wales,</w:t>
      </w:r>
      <w:r w:rsidRPr="008724B6">
        <w:rPr>
          <w:rFonts w:ascii="Times New Roman" w:hAnsi="Times New Roman" w:cs="Times New Roman"/>
        </w:rPr>
        <w:t xml:space="preserve"> </w:t>
      </w:r>
      <w:r>
        <w:rPr>
          <w:rFonts w:ascii="Times New Roman" w:hAnsi="Times New Roman" w:cs="Times New Roman"/>
        </w:rPr>
        <w:t xml:space="preserve">and the silence on issues of ethnicity or nationality </w:t>
      </w:r>
      <w:r w:rsidRPr="008724B6">
        <w:rPr>
          <w:rFonts w:ascii="Times New Roman" w:hAnsi="Times New Roman" w:cs="Times New Roman"/>
        </w:rPr>
        <w:t>across several iterations of guidance on it</w:t>
      </w:r>
      <w:r>
        <w:rPr>
          <w:rFonts w:ascii="Times New Roman" w:hAnsi="Times New Roman" w:cs="Times New Roman"/>
        </w:rPr>
        <w:t>,</w:t>
      </w:r>
      <w:r w:rsidRPr="008724B6">
        <w:rPr>
          <w:rFonts w:ascii="Times New Roman" w:hAnsi="Times New Roman" w:cs="Times New Roman"/>
        </w:rPr>
        <w:t xml:space="preserve"> </w:t>
      </w:r>
      <w:r>
        <w:rPr>
          <w:rFonts w:ascii="Times New Roman" w:hAnsi="Times New Roman" w:cs="Times New Roman"/>
        </w:rPr>
        <w:t>could be seen as evide</w:t>
      </w:r>
      <w:r>
        <w:rPr>
          <w:rFonts w:ascii="Times New Roman" w:hAnsi="Times New Roman" w:cs="Times New Roman"/>
        </w:rPr>
        <w:t>nce that</w:t>
      </w:r>
      <w:r>
        <w:rPr>
          <w:rFonts w:ascii="Times New Roman" w:hAnsi="Times New Roman" w:cs="Times New Roman"/>
        </w:rPr>
        <w:t xml:space="preserve"> the Home Office,</w:t>
      </w:r>
      <w:r>
        <w:rPr>
          <w:rFonts w:ascii="Times New Roman" w:hAnsi="Times New Roman" w:cs="Times New Roman"/>
        </w:rPr>
        <w:t xml:space="preserve"> in creating the most recent guidance on</w:t>
      </w:r>
      <w:r w:rsidRPr="008724B6">
        <w:rPr>
          <w:rFonts w:ascii="Times New Roman" w:hAnsi="Times New Roman" w:cs="Times New Roman"/>
        </w:rPr>
        <w:t xml:space="preserve"> the operation of the DVDS</w:t>
      </w:r>
      <w:r>
        <w:rPr>
          <w:rFonts w:ascii="Times New Roman" w:hAnsi="Times New Roman" w:cs="Times New Roman"/>
        </w:rPr>
        <w:t xml:space="preserve"> in 2016</w:t>
      </w:r>
      <w:r>
        <w:rPr>
          <w:rFonts w:ascii="Times New Roman" w:hAnsi="Times New Roman" w:cs="Times New Roman"/>
        </w:rPr>
        <w:t>,</w:t>
      </w:r>
      <w:r w:rsidRPr="008724B6">
        <w:rPr>
          <w:rFonts w:ascii="Times New Roman" w:hAnsi="Times New Roman" w:cs="Times New Roman"/>
        </w:rPr>
        <w:t xml:space="preserve"> was not 'properly informed'</w:t>
      </w:r>
      <w:r>
        <w:rPr>
          <w:rFonts w:ascii="Times New Roman" w:hAnsi="Times New Roman" w:cs="Times New Roman"/>
        </w:rPr>
        <w:t xml:space="preserve"> on issues of race and ethnicity and how they would affect the operation of the Scheme, and so, it could be argued, </w:t>
      </w:r>
      <w:r w:rsidRPr="008724B6">
        <w:rPr>
          <w:rFonts w:ascii="Times New Roman" w:hAnsi="Times New Roman" w:cs="Times New Roman"/>
        </w:rPr>
        <w:t xml:space="preserve">had not had </w:t>
      </w:r>
      <w:r w:rsidRPr="008724B6">
        <w:rPr>
          <w:rFonts w:ascii="Times New Roman" w:hAnsi="Times New Roman" w:cs="Times New Roman"/>
        </w:rPr>
        <w:t>'due regard' to the PSED</w:t>
      </w:r>
      <w:r>
        <w:rPr>
          <w:rFonts w:ascii="Times New Roman" w:hAnsi="Times New Roman" w:cs="Times New Roman"/>
        </w:rPr>
        <w:t>, particularly with regard to the protected characteristic of race</w:t>
      </w:r>
      <w:r w:rsidRPr="008724B6">
        <w:rPr>
          <w:rFonts w:ascii="Times New Roman" w:hAnsi="Times New Roman" w:cs="Times New Roman"/>
        </w:rPr>
        <w:t xml:space="preserve">. </w:t>
      </w:r>
    </w:p>
    <w:p w:rsidR="008E0F37" w:rsidP="006E20E4">
      <w:pPr>
        <w:autoSpaceDE w:val="0"/>
        <w:autoSpaceDN w:val="0"/>
        <w:adjustRightInd w:val="0"/>
        <w:spacing w:after="0" w:line="360" w:lineRule="auto"/>
        <w:rPr>
          <w:rFonts w:ascii="Times New Roman" w:hAnsi="Times New Roman" w:cs="Times New Roman"/>
        </w:rPr>
      </w:pPr>
    </w:p>
    <w:p w:rsidR="008E0F37" w:rsidRPr="008452AB" w:rsidP="008E0F37">
      <w:pPr>
        <w:pStyle w:val="Default"/>
        <w:spacing w:line="360" w:lineRule="auto"/>
      </w:pPr>
      <w:r>
        <w:t xml:space="preserve">9. It should be noted that the guidance on the operation of the Disclosure Scheme for Domestic Abuse (Scotland) does far better on this issue than guidance from the Home Office for the Domestic Violence Disclosure Scheme for England and Wales. </w:t>
      </w:r>
      <w:r w:rsidRPr="008452AB">
        <w:t>Language dif</w:t>
      </w:r>
      <w:r w:rsidRPr="008452AB">
        <w:t>ficulties and cultural barriers to dealing with the police are acknowledged by the DSDAS guidance as something Police Scotland officers should be conscious of in operating the Scheme</w:t>
      </w:r>
      <w:r>
        <w:t>, and as follows</w:t>
      </w:r>
      <w:r w:rsidRPr="008452AB">
        <w:t>:</w:t>
      </w:r>
    </w:p>
    <w:p w:rsidR="008E0F37" w:rsidRPr="008452AB" w:rsidP="008E0F37">
      <w:pPr>
        <w:pStyle w:val="Default"/>
        <w:spacing w:line="360" w:lineRule="auto"/>
      </w:pPr>
    </w:p>
    <w:p w:rsidR="008E0F37" w:rsidRPr="008452AB" w:rsidP="008E0F37">
      <w:pPr>
        <w:pStyle w:val="Default"/>
        <w:spacing w:line="360" w:lineRule="auto"/>
        <w:ind w:left="720"/>
      </w:pPr>
      <w:r w:rsidRPr="008452AB">
        <w:t xml:space="preserve">“Members of the public with whom Police Scotland comes </w:t>
      </w:r>
      <w:r w:rsidRPr="008452AB">
        <w:t>into contact with and who do not speak English as their first language and are potential victims of Domestic Abuse may be particularly vulnerable… There may be additional cultural issues influencing their decision making (e.g. making it more difficult or s</w:t>
      </w:r>
      <w:r w:rsidRPr="008452AB">
        <w:t xml:space="preserve">tressful for them to go ahead with applying to the DSDAS) and/or the language barrier may discourage potential victims during Police contact. Every effort must be made to make Police </w:t>
      </w:r>
      <w:r w:rsidRPr="008452AB">
        <w:t>contact as simple and comfortable as possible for these potentially vulne</w:t>
      </w:r>
      <w:r w:rsidRPr="008452AB">
        <w:t>rable people.”</w:t>
      </w:r>
      <w:r>
        <w:rPr>
          <w:rStyle w:val="FootnoteReference"/>
        </w:rPr>
        <w:footnoteReference w:id="14"/>
      </w:r>
      <w:r w:rsidRPr="008452AB">
        <w:tab/>
      </w:r>
    </w:p>
    <w:p w:rsidR="008E0F37" w:rsidP="006E20E4">
      <w:pPr>
        <w:autoSpaceDE w:val="0"/>
        <w:autoSpaceDN w:val="0"/>
        <w:adjustRightInd w:val="0"/>
        <w:spacing w:after="0" w:line="360" w:lineRule="auto"/>
        <w:rPr>
          <w:rFonts w:ascii="Times New Roman" w:hAnsi="Times New Roman" w:cs="Times New Roman"/>
        </w:rPr>
      </w:pPr>
    </w:p>
    <w:p w:rsidR="00D40953" w:rsidRPr="00F67250" w:rsidP="006E20E4">
      <w:pPr>
        <w:autoSpaceDE w:val="0"/>
        <w:autoSpaceDN w:val="0"/>
        <w:adjustRightInd w:val="0"/>
        <w:spacing w:after="0" w:line="360" w:lineRule="auto"/>
        <w:rPr>
          <w:rFonts w:ascii="Times New Roman" w:hAnsi="Times New Roman" w:cs="Times New Roman"/>
        </w:rPr>
      </w:pPr>
      <w:r>
        <w:rPr>
          <w:rFonts w:ascii="Times New Roman" w:hAnsi="Times New Roman" w:cs="Times New Roman"/>
        </w:rPr>
        <w:t xml:space="preserve">10. The guidance produced by the Department of Justice in Northern Ireland </w:t>
      </w:r>
      <w:r>
        <w:rPr>
          <w:rFonts w:ascii="Times New Roman" w:hAnsi="Times New Roman" w:cs="Times New Roman"/>
        </w:rPr>
        <w:t xml:space="preserve">on </w:t>
      </w:r>
      <w:r w:rsidRPr="00F67250">
        <w:rPr>
          <w:rFonts w:ascii="Times New Roman" w:hAnsi="Times New Roman" w:cs="Times New Roman"/>
        </w:rPr>
        <w:t>the Domestic Violence and Abuse Disclosure Scheme (DVADS)</w:t>
      </w:r>
      <w:r>
        <w:rPr>
          <w:rFonts w:ascii="Times New Roman" w:hAnsi="Times New Roman" w:cs="Times New Roman"/>
        </w:rPr>
        <w:t xml:space="preserve"> </w:t>
      </w:r>
      <w:r>
        <w:rPr>
          <w:rFonts w:ascii="Times New Roman" w:hAnsi="Times New Roman" w:cs="Times New Roman"/>
        </w:rPr>
        <w:t>only does a partial piece of work on this front</w:t>
      </w:r>
      <w:r>
        <w:rPr>
          <w:rFonts w:ascii="Times New Roman" w:hAnsi="Times New Roman" w:cs="Times New Roman"/>
        </w:rPr>
        <w:t>, however</w:t>
      </w:r>
      <w:r>
        <w:rPr>
          <w:rFonts w:ascii="Times New Roman" w:hAnsi="Times New Roman" w:cs="Times New Roman"/>
        </w:rPr>
        <w:t>, as it does not prompt specific concerns</w:t>
      </w:r>
      <w:r>
        <w:rPr>
          <w:rFonts w:ascii="Times New Roman" w:hAnsi="Times New Roman" w:cs="Times New Roman"/>
        </w:rPr>
        <w:t xml:space="preserve"> abou</w:t>
      </w:r>
      <w:r>
        <w:rPr>
          <w:rFonts w:ascii="Times New Roman" w:hAnsi="Times New Roman" w:cs="Times New Roman"/>
        </w:rPr>
        <w:t>t risks to victims in ethnic minority communities</w:t>
      </w:r>
      <w:r>
        <w:rPr>
          <w:rFonts w:ascii="Times New Roman" w:hAnsi="Times New Roman" w:cs="Times New Roman"/>
        </w:rPr>
        <w:t xml:space="preserve">, but only reminds </w:t>
      </w:r>
      <w:r w:rsidRPr="00F67250">
        <w:rPr>
          <w:rFonts w:ascii="Times New Roman" w:hAnsi="Times New Roman" w:cs="Times New Roman"/>
        </w:rPr>
        <w:t xml:space="preserve">officers in the Police Service of Northern Ireland operating </w:t>
      </w:r>
      <w:r>
        <w:rPr>
          <w:rFonts w:ascii="Times New Roman" w:hAnsi="Times New Roman" w:cs="Times New Roman"/>
        </w:rPr>
        <w:t>that Scheme</w:t>
      </w:r>
      <w:r w:rsidRPr="00F67250">
        <w:rPr>
          <w:rFonts w:ascii="Times New Roman" w:hAnsi="Times New Roman" w:cs="Times New Roman"/>
        </w:rPr>
        <w:t xml:space="preserve"> </w:t>
      </w:r>
      <w:r>
        <w:rPr>
          <w:rFonts w:ascii="Times New Roman" w:hAnsi="Times New Roman" w:cs="Times New Roman"/>
        </w:rPr>
        <w:t>'</w:t>
      </w:r>
      <w:r w:rsidRPr="00F67250">
        <w:rPr>
          <w:rFonts w:ascii="Times New Roman" w:hAnsi="Times New Roman" w:cs="Times New Roman"/>
        </w:rPr>
        <w:t xml:space="preserve"> domestic abuse</w:t>
      </w:r>
      <w:r>
        <w:rPr>
          <w:rFonts w:ascii="Times New Roman" w:hAnsi="Times New Roman" w:cs="Times New Roman"/>
        </w:rPr>
        <w:t>', in Northern Irish government strategy</w:t>
      </w:r>
      <w:r w:rsidRPr="00F67250">
        <w:rPr>
          <w:rFonts w:ascii="Times New Roman" w:hAnsi="Times New Roman" w:cs="Times New Roman"/>
        </w:rPr>
        <w:t xml:space="preserve"> entails</w:t>
      </w:r>
      <w:r w:rsidRPr="00F67250">
        <w:rPr>
          <w:rFonts w:ascii="Times New Roman" w:hAnsi="Times New Roman" w:cs="Times New Roman"/>
        </w:rPr>
        <w:t xml:space="preserve">: </w:t>
      </w:r>
    </w:p>
    <w:p w:rsidR="00D40953" w:rsidRPr="00F67250" w:rsidP="006E20E4">
      <w:pPr>
        <w:autoSpaceDE w:val="0"/>
        <w:autoSpaceDN w:val="0"/>
        <w:adjustRightInd w:val="0"/>
        <w:spacing w:after="0" w:line="360" w:lineRule="auto"/>
        <w:rPr>
          <w:rFonts w:ascii="Times New Roman" w:hAnsi="Times New Roman" w:cs="Times New Roman"/>
        </w:rPr>
      </w:pPr>
    </w:p>
    <w:p w:rsidR="00947880" w:rsidRPr="00F67250" w:rsidP="00D40953">
      <w:pPr>
        <w:autoSpaceDE w:val="0"/>
        <w:autoSpaceDN w:val="0"/>
        <w:adjustRightInd w:val="0"/>
        <w:spacing w:after="0" w:line="360" w:lineRule="auto"/>
        <w:ind w:left="720"/>
        <w:rPr>
          <w:rFonts w:ascii="Times New Roman" w:hAnsi="Times New Roman" w:cs="Times New Roman"/>
        </w:rPr>
      </w:pPr>
      <w:r w:rsidRPr="00F67250">
        <w:rPr>
          <w:rFonts w:ascii="Times New Roman" w:hAnsi="Times New Roman" w:cs="Times New Roman"/>
        </w:rPr>
        <w:t>"</w:t>
      </w:r>
      <w:r w:rsidRPr="00F67250">
        <w:rPr>
          <w:rFonts w:ascii="Times New Roman" w:hAnsi="Times New Roman" w:cs="Times New Roman"/>
        </w:rPr>
        <w:t>…</w:t>
      </w:r>
      <w:r w:rsidRPr="00F67250">
        <w:rPr>
          <w:rFonts w:ascii="Times New Roman" w:hAnsi="Times New Roman" w:cs="Times New Roman"/>
        </w:rPr>
        <w:t>threatening, controlling, coercive behaviour,</w:t>
      </w:r>
      <w:r w:rsidRPr="00F67250">
        <w:rPr>
          <w:rFonts w:ascii="Times New Roman" w:hAnsi="Times New Roman" w:cs="Times New Roman"/>
        </w:rPr>
        <w:t xml:space="preserve"> violence or abuse (psychological, virtual, physical, verbal, sexual, financial or emotional) inflicted on anyone (</w:t>
      </w:r>
      <w:r w:rsidRPr="00F67250">
        <w:rPr>
          <w:rFonts w:ascii="Times New Roman" w:hAnsi="Times New Roman" w:cs="Times New Roman"/>
          <w:i/>
        </w:rPr>
        <w:t>irrespective of age, ethnicity, religion, gender, gender identity, sexual orientation or any form of disability</w:t>
      </w:r>
      <w:r w:rsidRPr="00F67250">
        <w:rPr>
          <w:rFonts w:ascii="Times New Roman" w:hAnsi="Times New Roman" w:cs="Times New Roman"/>
        </w:rPr>
        <w:t>) by current or former intimat</w:t>
      </w:r>
      <w:r w:rsidRPr="00F67250">
        <w:rPr>
          <w:rFonts w:ascii="Times New Roman" w:hAnsi="Times New Roman" w:cs="Times New Roman"/>
        </w:rPr>
        <w:t>e</w:t>
      </w:r>
      <w:r w:rsidRPr="00F67250">
        <w:rPr>
          <w:rFonts w:ascii="Times New Roman" w:hAnsi="Times New Roman" w:cs="Times New Roman"/>
        </w:rPr>
        <w:t xml:space="preserve"> partner or family member"</w:t>
      </w:r>
      <w:r>
        <w:rPr>
          <w:rStyle w:val="FootnoteReference"/>
          <w:rFonts w:ascii="Times New Roman" w:hAnsi="Times New Roman" w:cs="Times New Roman"/>
        </w:rPr>
        <w:footnoteReference w:id="15"/>
      </w:r>
      <w:r>
        <w:rPr>
          <w:rFonts w:ascii="Times New Roman" w:hAnsi="Times New Roman" w:cs="Times New Roman"/>
        </w:rPr>
        <w:t>.</w:t>
      </w:r>
      <w:r w:rsidRPr="00F67250">
        <w:rPr>
          <w:rFonts w:ascii="Times New Roman" w:hAnsi="Times New Roman" w:cs="Times New Roman"/>
        </w:rPr>
        <w:t xml:space="preserve"> [Emphasis added in italics.]</w:t>
      </w:r>
    </w:p>
    <w:p w:rsidR="00D40953" w:rsidP="006E20E4">
      <w:pPr>
        <w:autoSpaceDE w:val="0"/>
        <w:autoSpaceDN w:val="0"/>
        <w:adjustRightInd w:val="0"/>
        <w:spacing w:after="0" w:line="360" w:lineRule="auto"/>
        <w:rPr>
          <w:rFonts w:ascii="Times New Roman" w:hAnsi="Times New Roman" w:cs="Times New Roman"/>
          <w:u w:val="single"/>
        </w:rPr>
      </w:pPr>
    </w:p>
    <w:p w:rsidR="007351F8" w:rsidRPr="00947880" w:rsidP="006E20E4">
      <w:pPr>
        <w:autoSpaceDE w:val="0"/>
        <w:autoSpaceDN w:val="0"/>
        <w:adjustRightInd w:val="0"/>
        <w:spacing w:after="0" w:line="360" w:lineRule="auto"/>
        <w:rPr>
          <w:rFonts w:ascii="Times New Roman" w:hAnsi="Times New Roman" w:cs="Times New Roman"/>
          <w:u w:val="single"/>
        </w:rPr>
      </w:pPr>
      <w:r w:rsidRPr="00947880">
        <w:rPr>
          <w:rFonts w:ascii="Times New Roman" w:hAnsi="Times New Roman" w:cs="Times New Roman"/>
          <w:u w:val="single"/>
        </w:rPr>
        <w:t>Conclusions</w:t>
      </w:r>
    </w:p>
    <w:p w:rsidR="006E4474" w:rsidP="00947880">
      <w:pPr>
        <w:tabs>
          <w:tab w:val="left" w:pos="7145"/>
        </w:tabs>
        <w:spacing w:line="360" w:lineRule="auto"/>
        <w:rPr>
          <w:rFonts w:ascii="Times New Roman" w:hAnsi="Times New Roman" w:cs="Times New Roman"/>
        </w:rPr>
      </w:pPr>
      <w:r>
        <w:rPr>
          <w:rFonts w:ascii="Times New Roman" w:hAnsi="Times New Roman" w:cs="Times New Roman"/>
        </w:rPr>
        <w:t>10</w:t>
      </w:r>
      <w:r>
        <w:rPr>
          <w:rFonts w:ascii="Times New Roman" w:hAnsi="Times New Roman" w:cs="Times New Roman"/>
        </w:rPr>
        <w:t xml:space="preserve">. The overall </w:t>
      </w:r>
      <w:r>
        <w:rPr>
          <w:rFonts w:ascii="Times New Roman" w:hAnsi="Times New Roman" w:cs="Times New Roman"/>
        </w:rPr>
        <w:t>point that women from ethnic and cultural minorities are also likely to find it harder to utilise DADS</w:t>
      </w:r>
      <w:r>
        <w:rPr>
          <w:rStyle w:val="FootnoteReference"/>
          <w:rFonts w:ascii="Times New Roman" w:hAnsi="Times New Roman" w:cs="Times New Roman"/>
        </w:rPr>
        <w:footnoteReference w:id="16"/>
      </w:r>
      <w:r>
        <w:rPr>
          <w:rFonts w:ascii="Times New Roman" w:hAnsi="Times New Roman" w:cs="Times New Roman"/>
        </w:rPr>
        <w:t xml:space="preserve">, even if the Schemes are effective policy, also needs reflecting more upon; and so the relevant guidance, when it is amended for any or all of the three UK DADS now in operation, </w:t>
      </w:r>
      <w:r>
        <w:rPr>
          <w:rFonts w:ascii="Times New Roman" w:hAnsi="Times New Roman" w:cs="Times New Roman"/>
        </w:rPr>
        <w:t>should better</w:t>
      </w:r>
      <w:r>
        <w:rPr>
          <w:rFonts w:ascii="Times New Roman" w:hAnsi="Times New Roman" w:cs="Times New Roman"/>
        </w:rPr>
        <w:t xml:space="preserve"> highlight the duties the police have</w:t>
      </w:r>
      <w:r>
        <w:rPr>
          <w:rFonts w:ascii="Times New Roman" w:hAnsi="Times New Roman" w:cs="Times New Roman"/>
        </w:rPr>
        <w:t>,</w:t>
      </w:r>
      <w:r>
        <w:rPr>
          <w:rFonts w:ascii="Times New Roman" w:hAnsi="Times New Roman" w:cs="Times New Roman"/>
        </w:rPr>
        <w:t xml:space="preserve"> to have 'due regard' to </w:t>
      </w:r>
      <w:r>
        <w:rPr>
          <w:rFonts w:ascii="Times New Roman" w:hAnsi="Times New Roman" w:cs="Times New Roman"/>
        </w:rPr>
        <w:t>the need to prevent the victimisation of minority ethnic and nationality communities in their operational approaches</w:t>
      </w:r>
      <w:r>
        <w:rPr>
          <w:rStyle w:val="FootnoteReference"/>
          <w:rFonts w:ascii="Times New Roman" w:hAnsi="Times New Roman" w:cs="Times New Roman"/>
        </w:rPr>
        <w:footnoteReference w:id="17"/>
      </w:r>
      <w:r>
        <w:rPr>
          <w:rFonts w:ascii="Times New Roman" w:hAnsi="Times New Roman" w:cs="Times New Roman"/>
        </w:rPr>
        <w:t xml:space="preserve">. </w:t>
      </w:r>
      <w:r>
        <w:rPr>
          <w:rFonts w:ascii="Times New Roman" w:hAnsi="Times New Roman" w:cs="Times New Roman"/>
        </w:rPr>
        <w:t xml:space="preserve">Given the silence of the </w:t>
      </w:r>
      <w:r>
        <w:rPr>
          <w:rFonts w:ascii="Times New Roman" w:hAnsi="Times New Roman" w:cs="Times New Roman"/>
        </w:rPr>
        <w:t>current guidance concerned</w:t>
      </w:r>
      <w:r>
        <w:rPr>
          <w:rFonts w:ascii="Times New Roman" w:hAnsi="Times New Roman" w:cs="Times New Roman"/>
        </w:rPr>
        <w:t xml:space="preserve"> on these issue</w:t>
      </w:r>
      <w:r>
        <w:rPr>
          <w:rFonts w:ascii="Times New Roman" w:hAnsi="Times New Roman" w:cs="Times New Roman"/>
        </w:rPr>
        <w:t>s</w:t>
      </w:r>
      <w:r>
        <w:rPr>
          <w:rFonts w:ascii="Times New Roman" w:hAnsi="Times New Roman" w:cs="Times New Roman"/>
        </w:rPr>
        <w:t>, there is</w:t>
      </w:r>
      <w:r>
        <w:rPr>
          <w:rFonts w:ascii="Times New Roman" w:hAnsi="Times New Roman" w:cs="Times New Roman"/>
        </w:rPr>
        <w:t xml:space="preserve"> a considerable need to</w:t>
      </w:r>
      <w:r>
        <w:rPr>
          <w:rFonts w:ascii="Times New Roman" w:hAnsi="Times New Roman" w:cs="Times New Roman"/>
        </w:rPr>
        <w:t xml:space="preserve"> </w:t>
      </w:r>
      <w:r>
        <w:rPr>
          <w:rFonts w:ascii="Times New Roman" w:hAnsi="Times New Roman" w:cs="Times New Roman"/>
        </w:rPr>
        <w:t xml:space="preserve">update the guidance underpinning </w:t>
      </w:r>
      <w:r>
        <w:rPr>
          <w:rFonts w:ascii="Times New Roman" w:hAnsi="Times New Roman" w:cs="Times New Roman"/>
        </w:rPr>
        <w:t>the</w:t>
      </w:r>
      <w:r>
        <w:rPr>
          <w:rFonts w:ascii="Times New Roman" w:hAnsi="Times New Roman" w:cs="Times New Roman"/>
        </w:rPr>
        <w:t xml:space="preserve"> DVDS</w:t>
      </w:r>
      <w:r>
        <w:rPr>
          <w:rFonts w:ascii="Times New Roman" w:hAnsi="Times New Roman" w:cs="Times New Roman"/>
        </w:rPr>
        <w:t xml:space="preserve"> for England and Wales</w:t>
      </w:r>
      <w:r>
        <w:rPr>
          <w:rFonts w:ascii="Times New Roman" w:hAnsi="Times New Roman" w:cs="Times New Roman"/>
        </w:rPr>
        <w:t>, as the most prevalent</w:t>
      </w:r>
      <w:r>
        <w:rPr>
          <w:rFonts w:ascii="Times New Roman" w:hAnsi="Times New Roman" w:cs="Times New Roman"/>
        </w:rPr>
        <w:t xml:space="preserve"> of the three UK DADS, </w:t>
      </w:r>
      <w:r>
        <w:rPr>
          <w:rFonts w:ascii="Times New Roman" w:hAnsi="Times New Roman" w:cs="Times New Roman"/>
        </w:rPr>
        <w:t xml:space="preserve">and in doing so there is a real opportunity to avoid </w:t>
      </w:r>
      <w:r>
        <w:rPr>
          <w:rFonts w:ascii="Times New Roman" w:hAnsi="Times New Roman" w:cs="Times New Roman"/>
        </w:rPr>
        <w:t>or preclude one possible element of inadvertent or indirect</w:t>
      </w:r>
      <w:r>
        <w:rPr>
          <w:rFonts w:ascii="Times New Roman" w:hAnsi="Times New Roman" w:cs="Times New Roman"/>
        </w:rPr>
        <w:t xml:space="preserve"> </w:t>
      </w:r>
      <w:r>
        <w:rPr>
          <w:rFonts w:ascii="Times New Roman" w:hAnsi="Times New Roman" w:cs="Times New Roman"/>
        </w:rPr>
        <w:t>institutional</w:t>
      </w:r>
      <w:r>
        <w:rPr>
          <w:rFonts w:ascii="Times New Roman" w:hAnsi="Times New Roman" w:cs="Times New Roman"/>
        </w:rPr>
        <w:t xml:space="preserve"> racism in this </w:t>
      </w:r>
      <w:r>
        <w:rPr>
          <w:rFonts w:ascii="Times New Roman" w:hAnsi="Times New Roman" w:cs="Times New Roman"/>
        </w:rPr>
        <w:t>particular feature</w:t>
      </w:r>
      <w:r>
        <w:rPr>
          <w:rFonts w:ascii="Times New Roman" w:hAnsi="Times New Roman" w:cs="Times New Roman"/>
        </w:rPr>
        <w:t xml:space="preserve"> of British </w:t>
      </w:r>
      <w:r>
        <w:rPr>
          <w:rFonts w:ascii="Times New Roman" w:hAnsi="Times New Roman" w:cs="Times New Roman"/>
        </w:rPr>
        <w:t>policing</w:t>
      </w:r>
      <w:r>
        <w:rPr>
          <w:rFonts w:ascii="Times New Roman" w:hAnsi="Times New Roman" w:cs="Times New Roman"/>
        </w:rPr>
        <w:t xml:space="preserve"> to</w:t>
      </w:r>
      <w:r>
        <w:rPr>
          <w:rFonts w:ascii="Times New Roman" w:hAnsi="Times New Roman" w:cs="Times New Roman"/>
        </w:rPr>
        <w:t xml:space="preserve">day. </w:t>
      </w:r>
      <w:r>
        <w:rPr>
          <w:rFonts w:ascii="Times New Roman" w:hAnsi="Times New Roman" w:cs="Times New Roman"/>
        </w:rPr>
        <w:t xml:space="preserve">One chief aim of this </w:t>
      </w:r>
      <w:r>
        <w:rPr>
          <w:rFonts w:ascii="Times New Roman" w:hAnsi="Times New Roman" w:cs="Times New Roman"/>
        </w:rPr>
        <w:t xml:space="preserve">revision of DVDS guidance </w:t>
      </w:r>
      <w:r>
        <w:rPr>
          <w:rFonts w:ascii="Times New Roman" w:hAnsi="Times New Roman" w:cs="Times New Roman"/>
        </w:rPr>
        <w:t xml:space="preserve">would be to </w:t>
      </w:r>
      <w:r>
        <w:rPr>
          <w:rFonts w:ascii="Times New Roman" w:hAnsi="Times New Roman" w:cs="Times New Roman"/>
        </w:rPr>
        <w:t xml:space="preserve">highlight known difficulties and risk factors in policing domestic abuse in some </w:t>
      </w:r>
      <w:r>
        <w:rPr>
          <w:rFonts w:ascii="Times New Roman" w:hAnsi="Times New Roman" w:cs="Times New Roman"/>
        </w:rPr>
        <w:t xml:space="preserve">ethnic </w:t>
      </w:r>
      <w:r>
        <w:rPr>
          <w:rFonts w:ascii="Times New Roman" w:hAnsi="Times New Roman" w:cs="Times New Roman"/>
        </w:rPr>
        <w:t>minority communities in the UK, and the way that this would create a need to view the operation of Dome</w:t>
      </w:r>
      <w:r>
        <w:rPr>
          <w:rFonts w:ascii="Times New Roman" w:hAnsi="Times New Roman" w:cs="Times New Roman"/>
        </w:rPr>
        <w:t xml:space="preserve">stic Abuse </w:t>
      </w:r>
      <w:r>
        <w:rPr>
          <w:rFonts w:ascii="Times New Roman" w:hAnsi="Times New Roman" w:cs="Times New Roman"/>
        </w:rPr>
        <w:t>Disclosure</w:t>
      </w:r>
      <w:r>
        <w:rPr>
          <w:rFonts w:ascii="Times New Roman" w:hAnsi="Times New Roman" w:cs="Times New Roman"/>
        </w:rPr>
        <w:t xml:space="preserve"> Schemes in a particularly careful way in relation to the vulnerabilities of women in those </w:t>
      </w:r>
      <w:r>
        <w:rPr>
          <w:rFonts w:ascii="Times New Roman" w:hAnsi="Times New Roman" w:cs="Times New Roman"/>
        </w:rPr>
        <w:t>communities</w:t>
      </w:r>
      <w:r>
        <w:rPr>
          <w:rFonts w:ascii="Times New Roman" w:hAnsi="Times New Roman" w:cs="Times New Roman"/>
        </w:rPr>
        <w:t>,</w:t>
      </w:r>
      <w:r>
        <w:rPr>
          <w:rFonts w:ascii="Times New Roman" w:hAnsi="Times New Roman" w:cs="Times New Roman"/>
        </w:rPr>
        <w:t xml:space="preserve"> specifically.</w:t>
      </w:r>
    </w:p>
    <w:p w:rsidR="00E70025" w:rsidP="00947880">
      <w:pPr>
        <w:tabs>
          <w:tab w:val="left" w:pos="7145"/>
        </w:tabs>
        <w:spacing w:line="360" w:lineRule="auto"/>
        <w:rPr>
          <w:rFonts w:ascii="Times New Roman" w:hAnsi="Times New Roman" w:cs="Times New Roman"/>
        </w:rPr>
      </w:pPr>
    </w:p>
    <w:p w:rsidR="00E70025" w:rsidRPr="00947880" w:rsidP="00947880">
      <w:pPr>
        <w:tabs>
          <w:tab w:val="left" w:pos="7145"/>
        </w:tabs>
        <w:spacing w:line="360" w:lineRule="auto"/>
        <w:rPr>
          <w:rFonts w:ascii="Times New Roman" w:hAnsi="Times New Roman" w:cs="Times New Roman"/>
        </w:rPr>
      </w:pPr>
      <w:r>
        <w:rPr>
          <w:rFonts w:ascii="Times New Roman" w:hAnsi="Times New Roman" w:cs="Times New Roman"/>
        </w:rPr>
        <w:t>June 2020</w:t>
      </w:r>
      <w:bookmarkStart w:id="0" w:name="_GoBack"/>
      <w:bookmarkEnd w:id="0"/>
    </w:p>
    <w:sectPr>
      <w:headerReference w:type="default" r:id="rI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6128F6" w:rsidP="006E20E4">
      <w:pPr>
        <w:spacing w:after="0" w:line="240" w:lineRule="auto"/>
      </w:pPr>
      <w:r>
        <w:separator/>
      </w:r>
    </w:p>
  </w:footnote>
  <w:footnote w:type="continuationSeparator" w:id="1">
    <w:p w:rsidR="006128F6" w:rsidP="006E20E4">
      <w:pPr>
        <w:spacing w:after="0" w:line="240" w:lineRule="auto"/>
      </w:pPr>
      <w:r>
        <w:continuationSeparator/>
      </w:r>
    </w:p>
  </w:footnote>
  <w:footnote w:id="2">
    <w:p w:rsidR="002118F6" w:rsidRPr="00E022DA" w:rsidP="002118F6">
      <w:pPr>
        <w:pStyle w:val="FootnoteText"/>
        <w:rPr>
          <w:rFonts w:ascii="Times New Roman" w:hAnsi="Times New Roman" w:cs="Times New Roman"/>
        </w:rPr>
      </w:pPr>
      <w:r w:rsidRPr="00E022DA">
        <w:rPr>
          <w:rStyle w:val="FootnoteReference"/>
          <w:rFonts w:ascii="Times New Roman" w:hAnsi="Times New Roman" w:cs="Times New Roman"/>
        </w:rPr>
        <w:footnoteRef/>
      </w:r>
      <w:r w:rsidRPr="00E022DA">
        <w:rPr>
          <w:rFonts w:ascii="Times New Roman" w:hAnsi="Times New Roman" w:cs="Times New Roman"/>
        </w:rPr>
        <w:t xml:space="preserve"> Home Office (2016) </w:t>
      </w:r>
      <w:r w:rsidRPr="00E022DA">
        <w:rPr>
          <w:rFonts w:ascii="Times New Roman" w:hAnsi="Times New Roman" w:cs="Times New Roman"/>
          <w:i/>
        </w:rPr>
        <w:t>Domestic Violence Disclosure Scheme (DVDS) Guidance</w:t>
      </w:r>
      <w:r w:rsidRPr="00E022DA">
        <w:rPr>
          <w:rFonts w:ascii="Times New Roman" w:hAnsi="Times New Roman" w:cs="Times New Roman"/>
        </w:rPr>
        <w:t xml:space="preserve"> , from: </w:t>
      </w:r>
      <w:r>
        <w:fldChar w:fldCharType="begin"/>
      </w:r>
      <w:r>
        <w:instrText xml:space="preserve"> HYPERLINK "https://www.gov.uk/government/uploads/system/uploads/attachment_data/file/575361/DVDS_guidance_FINAL_v3.pdf" </w:instrText>
      </w:r>
      <w:r>
        <w:fldChar w:fldCharType="separate"/>
      </w:r>
      <w:r w:rsidRPr="00E022DA">
        <w:rPr>
          <w:rStyle w:val="Hyperlink"/>
          <w:rFonts w:ascii="Times New Roman" w:hAnsi="Times New Roman" w:cs="Times New Roman"/>
        </w:rPr>
        <w:t>https://www.gov.uk/government/uploads/system/uploads/attachment_data/file/575361/DVDS_guidance_FINAL_v3.pdf</w:t>
      </w:r>
      <w:r>
        <w:fldChar w:fldCharType="end"/>
      </w:r>
      <w:r w:rsidRPr="00E022DA">
        <w:rPr>
          <w:rFonts w:ascii="Times New Roman" w:hAnsi="Times New Roman" w:cs="Times New Roman"/>
        </w:rPr>
        <w:t xml:space="preserve"> (accessed at 16.06.2020)</w:t>
      </w:r>
    </w:p>
    <w:p w:rsidR="00CE1C7A" w:rsidRPr="00E022DA">
      <w:pPr>
        <w:pStyle w:val="FootnoteText"/>
        <w:rPr>
          <w:rFonts w:ascii="Times New Roman" w:hAnsi="Times New Roman" w:cs="Times New Roman"/>
        </w:rPr>
      </w:pPr>
    </w:p>
  </w:footnote>
  <w:footnote w:id="3">
    <w:p w:rsidR="00CE1C7A" w:rsidRPr="00E022DA" w:rsidP="00E022DA">
      <w:r w:rsidRPr="00E022DA">
        <w:rPr>
          <w:rStyle w:val="FootnoteReference"/>
          <w:rFonts w:ascii="Times New Roman" w:hAnsi="Times New Roman" w:cs="Times New Roman"/>
          <w:sz w:val="20"/>
          <w:szCs w:val="20"/>
        </w:rPr>
        <w:footnoteRef/>
      </w:r>
      <w:r w:rsidRPr="00E022DA">
        <w:rPr>
          <w:rFonts w:ascii="Times New Roman" w:hAnsi="Times New Roman" w:cs="Times New Roman"/>
          <w:sz w:val="20"/>
          <w:szCs w:val="20"/>
        </w:rPr>
        <w:t xml:space="preserve"> </w:t>
      </w:r>
      <w:r w:rsidRPr="00E022DA">
        <w:rPr>
          <w:rFonts w:ascii="Times New Roman" w:hAnsi="Times New Roman" w:cs="Times New Roman"/>
          <w:sz w:val="20"/>
          <w:szCs w:val="20"/>
        </w:rPr>
        <w:t xml:space="preserve">These </w:t>
      </w:r>
      <w:r>
        <w:rPr>
          <w:rFonts w:ascii="Times New Roman" w:hAnsi="Times New Roman" w:cs="Times New Roman"/>
          <w:sz w:val="20"/>
          <w:szCs w:val="20"/>
        </w:rPr>
        <w:t xml:space="preserve">issues </w:t>
      </w:r>
      <w:r w:rsidRPr="00E022DA">
        <w:rPr>
          <w:rFonts w:ascii="Times New Roman" w:hAnsi="Times New Roman" w:cs="Times New Roman"/>
          <w:sz w:val="20"/>
          <w:szCs w:val="20"/>
        </w:rPr>
        <w:t xml:space="preserve">are given an overview in some of my own research on Domestic Abuse Disclosure Schemes. Please see Grace, Jamie, 'Whatever Happened to 'Clare's Law'? Reviewing the Evidence' (December 2, 2019). Available at SSRN: </w:t>
      </w:r>
      <w:r>
        <w:fldChar w:fldCharType="begin"/>
      </w:r>
      <w:r>
        <w:instrText xml:space="preserve"> HYPERLINK "https://ssrn.com/abstract=3227956" \t "_blank" </w:instrText>
      </w:r>
      <w:r>
        <w:fldChar w:fldCharType="separate"/>
      </w:r>
      <w:r w:rsidRPr="00E022DA">
        <w:rPr>
          <w:rStyle w:val="Hyperlink"/>
          <w:rFonts w:ascii="Times New Roman" w:hAnsi="Times New Roman" w:cs="Times New Roman"/>
          <w:sz w:val="20"/>
          <w:szCs w:val="20"/>
        </w:rPr>
        <w:t>https://ssrn.com/abstract=3227956</w:t>
      </w:r>
      <w:r>
        <w:fldChar w:fldCharType="end"/>
      </w:r>
      <w:r w:rsidRPr="00E022DA">
        <w:rPr>
          <w:rFonts w:ascii="Times New Roman" w:hAnsi="Times New Roman" w:cs="Times New Roman"/>
          <w:sz w:val="20"/>
          <w:szCs w:val="20"/>
        </w:rPr>
        <w:t xml:space="preserve"> or </w:t>
      </w:r>
      <w:r>
        <w:fldChar w:fldCharType="begin"/>
      </w:r>
      <w:r>
        <w:instrText xml:space="preserve"> HYPERLINK "https://dx.doi.org/10.2139/ssrn.3227956" \t "_blank" </w:instrText>
      </w:r>
      <w:r>
        <w:fldChar w:fldCharType="separate"/>
      </w:r>
      <w:r w:rsidRPr="00E022DA">
        <w:rPr>
          <w:rStyle w:val="Hyperlink"/>
          <w:rFonts w:ascii="Times New Roman" w:hAnsi="Times New Roman" w:cs="Times New Roman"/>
          <w:sz w:val="20"/>
          <w:szCs w:val="20"/>
        </w:rPr>
        <w:t xml:space="preserve">http://dx.doi.org/10.2139/ssrn.3227956 </w:t>
      </w:r>
      <w:r>
        <w:fldChar w:fldCharType="end"/>
      </w:r>
      <w:r w:rsidRPr="00E022DA">
        <w:rPr>
          <w:rFonts w:ascii="Times New Roman" w:hAnsi="Times New Roman" w:cs="Times New Roman"/>
          <w:sz w:val="20"/>
          <w:szCs w:val="20"/>
        </w:rPr>
        <w:t xml:space="preserve">and </w:t>
      </w:r>
      <w:r w:rsidRPr="00E022DA">
        <w:rPr>
          <w:rFonts w:ascii="Times New Roman" w:hAnsi="Times New Roman" w:cs="Times New Roman"/>
          <w:sz w:val="20"/>
          <w:szCs w:val="20"/>
          <w:lang w:eastAsia="en-GB"/>
        </w:rPr>
        <w:t>M. Duggan &amp; J. Grace, '</w:t>
      </w:r>
      <w:r w:rsidRPr="00E022DA">
        <w:rPr>
          <w:rFonts w:ascii="Times New Roman" w:hAnsi="Times New Roman" w:cs="Times New Roman"/>
          <w:sz w:val="20"/>
          <w:szCs w:val="20"/>
        </w:rPr>
        <w:t xml:space="preserve">Assessing vulnerabilities in the Domestic Violence Disclosure Scheme', (2018) 2 </w:t>
      </w:r>
      <w:r w:rsidRPr="00E022DA">
        <w:rPr>
          <w:rFonts w:ascii="Times New Roman" w:hAnsi="Times New Roman" w:cs="Times New Roman"/>
          <w:i/>
          <w:iCs/>
          <w:sz w:val="20"/>
          <w:szCs w:val="20"/>
          <w:lang w:eastAsia="en-GB"/>
        </w:rPr>
        <w:t>Child and Family Law Quarterly</w:t>
      </w:r>
      <w:r w:rsidRPr="00E022DA">
        <w:rPr>
          <w:rFonts w:ascii="Times New Roman" w:hAnsi="Times New Roman" w:cs="Times New Roman"/>
          <w:sz w:val="20"/>
          <w:szCs w:val="20"/>
          <w:lang w:eastAsia="en-GB"/>
        </w:rPr>
        <w:t xml:space="preserve"> 145</w:t>
      </w:r>
      <w:r>
        <w:rPr>
          <w:rFonts w:ascii="Times New Roman" w:hAnsi="Times New Roman" w:cs="Times New Roman"/>
          <w:sz w:val="20"/>
          <w:szCs w:val="20"/>
          <w:lang w:eastAsia="en-GB"/>
        </w:rPr>
        <w:t>.</w:t>
      </w:r>
    </w:p>
  </w:footnote>
  <w:footnote w:id="4">
    <w:p w:rsidR="00C33986">
      <w:pPr>
        <w:pStyle w:val="FootnoteText"/>
        <w:rPr>
          <w:rStyle w:val="Hyperlink"/>
          <w:rFonts w:ascii="Times New Roman" w:hAnsi="Times New Roman" w:cs="Times New Roman"/>
        </w:rPr>
      </w:pPr>
      <w:r>
        <w:rPr>
          <w:rStyle w:val="FootnoteReference"/>
        </w:rPr>
        <w:footnoteRef/>
      </w:r>
      <w:r>
        <w:t xml:space="preserve"> </w:t>
      </w:r>
      <w:r w:rsidRPr="00E022DA">
        <w:rPr>
          <w:rFonts w:ascii="Times New Roman" w:hAnsi="Times New Roman" w:cs="Times New Roman"/>
        </w:rPr>
        <w:t xml:space="preserve">Please see Grace, Jamie, 'Whatever Happened to 'Clare's Law'? Reviewing the Evidence' (December 2, 2019). Available at SSRN: </w:t>
      </w:r>
      <w:r>
        <w:fldChar w:fldCharType="begin"/>
      </w:r>
      <w:r>
        <w:instrText xml:space="preserve"> HYPERLINK "https://ssrn.com/abstract=3227956" \t "_blank" </w:instrText>
      </w:r>
      <w:r>
        <w:fldChar w:fldCharType="separate"/>
      </w:r>
      <w:r w:rsidRPr="00E022DA">
        <w:rPr>
          <w:rStyle w:val="Hyperlink"/>
          <w:rFonts w:ascii="Times New Roman" w:hAnsi="Times New Roman" w:cs="Times New Roman"/>
        </w:rPr>
        <w:t>https://ssrn.com/abstract=3227956</w:t>
      </w:r>
      <w:r>
        <w:fldChar w:fldCharType="end"/>
      </w:r>
      <w:r w:rsidRPr="00E022DA">
        <w:rPr>
          <w:rFonts w:ascii="Times New Roman" w:hAnsi="Times New Roman" w:cs="Times New Roman"/>
        </w:rPr>
        <w:t xml:space="preserve"> or </w:t>
      </w:r>
      <w:r>
        <w:fldChar w:fldCharType="begin"/>
      </w:r>
      <w:r>
        <w:instrText xml:space="preserve"> HYPERLINK "https://dx.doi.org/10.2139/ssrn.3227956" \t "_blank" </w:instrText>
      </w:r>
      <w:r>
        <w:fldChar w:fldCharType="separate"/>
      </w:r>
      <w:r w:rsidRPr="00E022DA">
        <w:rPr>
          <w:rStyle w:val="Hyperlink"/>
          <w:rFonts w:ascii="Times New Roman" w:hAnsi="Times New Roman" w:cs="Times New Roman"/>
        </w:rPr>
        <w:t xml:space="preserve">http://dx.doi.org/10.2139/ssrn.3227956 </w:t>
      </w:r>
      <w:r>
        <w:fldChar w:fldCharType="end"/>
      </w:r>
    </w:p>
    <w:p w:rsidR="00C33986">
      <w:pPr>
        <w:pStyle w:val="FootnoteText"/>
      </w:pPr>
    </w:p>
  </w:footnote>
  <w:footnote w:id="5">
    <w:p w:rsidR="007351F8" w:rsidRPr="00527ABD" w:rsidP="007351F8">
      <w:pPr>
        <w:pStyle w:val="FootnoteText"/>
        <w:rPr>
          <w:rFonts w:asciiTheme="majorBidi" w:hAnsiTheme="majorBidi" w:cstheme="majorBidi"/>
        </w:rPr>
      </w:pPr>
      <w:r w:rsidRPr="00812678">
        <w:rPr>
          <w:rStyle w:val="FootnoteReference"/>
          <w:rFonts w:asciiTheme="majorBidi" w:hAnsiTheme="majorBidi" w:cstheme="majorBidi"/>
        </w:rPr>
        <w:footnoteRef/>
      </w:r>
      <w:r>
        <w:rPr>
          <w:rFonts w:asciiTheme="majorBidi" w:hAnsiTheme="majorBidi" w:cstheme="majorBidi"/>
        </w:rPr>
        <w:t xml:space="preserve">Crown Prosecution Service, </w:t>
      </w:r>
      <w:r w:rsidRPr="00802FC2">
        <w:rPr>
          <w:rFonts w:asciiTheme="majorBidi" w:hAnsiTheme="majorBidi" w:cstheme="majorBidi"/>
          <w:i/>
        </w:rPr>
        <w:t xml:space="preserve">Violence Against Women and Girls </w:t>
      </w:r>
      <w:r w:rsidRPr="00802FC2">
        <w:rPr>
          <w:rFonts w:asciiTheme="majorBidi" w:hAnsiTheme="majorBidi" w:cstheme="majorBidi"/>
          <w:i/>
        </w:rPr>
        <w:t>Report: 2018-19</w:t>
      </w:r>
      <w:r>
        <w:rPr>
          <w:rFonts w:asciiTheme="majorBidi" w:hAnsiTheme="majorBidi" w:cstheme="majorBidi"/>
        </w:rPr>
        <w:t xml:space="preserve">, from </w:t>
      </w:r>
      <w:r>
        <w:fldChar w:fldCharType="begin"/>
      </w:r>
      <w:r>
        <w:instrText xml:space="preserve"> HYPERLINK "https://www.cps.gov.uk/sites/default/files/documents/publications/cps-vawg-report-2019.pdf" </w:instrText>
      </w:r>
      <w:r>
        <w:fldChar w:fldCharType="separate"/>
      </w:r>
      <w:r>
        <w:rPr>
          <w:rStyle w:val="Hyperlink"/>
        </w:rPr>
        <w:t>https://www.cps.gov.uk/sites/default/files/documents/publications/cps-vawg-report-2019.pdf</w:t>
      </w:r>
      <w:r>
        <w:fldChar w:fldCharType="end"/>
      </w:r>
      <w:r>
        <w:t xml:space="preserve"> (accessed 16.06.2020) p.48.</w:t>
      </w:r>
    </w:p>
    <w:p w:rsidR="007351F8" w:rsidRPr="00527ABD" w:rsidP="007351F8">
      <w:pPr>
        <w:pStyle w:val="FootnoteText"/>
        <w:rPr>
          <w:rFonts w:asciiTheme="majorBidi" w:hAnsiTheme="majorBidi" w:cstheme="majorBidi"/>
        </w:rPr>
      </w:pPr>
    </w:p>
  </w:footnote>
  <w:footnote w:id="6">
    <w:p w:rsidR="00E022DA">
      <w:pPr>
        <w:pStyle w:val="FootnoteText"/>
        <w:rPr>
          <w:rFonts w:ascii="Times New Roman" w:hAnsi="Times New Roman" w:cs="Times New Roman"/>
        </w:rPr>
      </w:pPr>
      <w:r>
        <w:rPr>
          <w:rStyle w:val="FootnoteReference"/>
        </w:rPr>
        <w:footnoteRef/>
      </w:r>
      <w:r>
        <w:t xml:space="preserve"> </w:t>
      </w:r>
      <w:r w:rsidRPr="00E022DA">
        <w:rPr>
          <w:rFonts w:ascii="Times New Roman" w:hAnsi="Times New Roman" w:cs="Times New Roman"/>
        </w:rPr>
        <w:t xml:space="preserve">Home </w:t>
      </w:r>
      <w:r w:rsidRPr="00E022DA">
        <w:rPr>
          <w:rFonts w:ascii="Times New Roman" w:hAnsi="Times New Roman" w:cs="Times New Roman"/>
        </w:rPr>
        <w:t xml:space="preserve">Office (2016) </w:t>
      </w:r>
      <w:r w:rsidRPr="00E022DA">
        <w:rPr>
          <w:rFonts w:ascii="Times New Roman" w:hAnsi="Times New Roman" w:cs="Times New Roman"/>
          <w:i/>
        </w:rPr>
        <w:t>Domestic Violence Disclosure Scheme (DVDS) Guidance</w:t>
      </w:r>
      <w:r w:rsidRPr="00E022DA">
        <w:rPr>
          <w:rFonts w:ascii="Times New Roman" w:hAnsi="Times New Roman" w:cs="Times New Roman"/>
        </w:rPr>
        <w:t xml:space="preserve"> , from: </w:t>
      </w:r>
      <w:r>
        <w:fldChar w:fldCharType="begin"/>
      </w:r>
      <w:r>
        <w:instrText xml:space="preserve"> HYPERLINK "https://www.gov.uk/government/uploads/system/uploads/attachment_data/file/575361/DVDS_guidance_FINAL_v3.pdf" </w:instrText>
      </w:r>
      <w:r>
        <w:fldChar w:fldCharType="separate"/>
      </w:r>
      <w:r w:rsidRPr="00E022DA">
        <w:rPr>
          <w:rStyle w:val="Hyperlink"/>
          <w:rFonts w:ascii="Times New Roman" w:hAnsi="Times New Roman" w:cs="Times New Roman"/>
        </w:rPr>
        <w:t>https://www.gov.uk/government/uploads/system/uploads/attachment_data/file/575361/DVDS_guidance_FINAL_v3.pdf</w:t>
      </w:r>
      <w:r>
        <w:fldChar w:fldCharType="end"/>
      </w:r>
      <w:r w:rsidRPr="00E022DA">
        <w:rPr>
          <w:rFonts w:ascii="Times New Roman" w:hAnsi="Times New Roman" w:cs="Times New Roman"/>
        </w:rPr>
        <w:t xml:space="preserve"> (accessed at 16.06.2020)</w:t>
      </w:r>
    </w:p>
    <w:p w:rsidR="00E022DA">
      <w:pPr>
        <w:pStyle w:val="FootnoteText"/>
      </w:pPr>
    </w:p>
  </w:footnote>
  <w:footnote w:id="7">
    <w:p w:rsidR="00190D75" w:rsidRPr="00812678" w:rsidP="00190D75">
      <w:pPr>
        <w:pStyle w:val="FootnoteText"/>
        <w:rPr>
          <w:rFonts w:asciiTheme="majorBidi" w:hAnsiTheme="majorBidi" w:cstheme="majorBidi"/>
        </w:rPr>
      </w:pPr>
      <w:r w:rsidRPr="00812678">
        <w:rPr>
          <w:rStyle w:val="FootnoteReference"/>
          <w:rFonts w:asciiTheme="majorBidi" w:hAnsiTheme="majorBidi" w:cstheme="majorBidi"/>
        </w:rPr>
        <w:footnoteRef/>
      </w:r>
      <w:r w:rsidRPr="00812678">
        <w:rPr>
          <w:rFonts w:asciiTheme="majorBidi" w:hAnsiTheme="majorBidi" w:cstheme="majorBidi"/>
        </w:rPr>
        <w:t xml:space="preserve"> Sofia Graca, 'Domestic violence policy and legislation in the UK: A discussion of immigrant women's vulnerabilities', </w:t>
      </w:r>
      <w:r w:rsidRPr="00812678">
        <w:rPr>
          <w:rFonts w:asciiTheme="majorBidi" w:hAnsiTheme="majorBidi" w:cstheme="majorBidi"/>
          <w:i/>
          <w:iCs/>
        </w:rPr>
        <w:t>EJoCLI</w:t>
      </w:r>
      <w:r w:rsidRPr="00812678">
        <w:rPr>
          <w:rFonts w:asciiTheme="majorBidi" w:hAnsiTheme="majorBidi" w:cstheme="majorBidi"/>
        </w:rPr>
        <w:t xml:space="preserve"> Vol 22, No 1 (2017) online</w:t>
      </w:r>
    </w:p>
    <w:p w:rsidR="00190D75" w:rsidRPr="00812678" w:rsidP="00190D75">
      <w:pPr>
        <w:pStyle w:val="FootnoteText"/>
        <w:rPr>
          <w:rFonts w:asciiTheme="majorBidi" w:hAnsiTheme="majorBidi" w:cstheme="majorBidi"/>
        </w:rPr>
      </w:pPr>
    </w:p>
  </w:footnote>
  <w:footnote w:id="8">
    <w:p w:rsidR="00E022DA" w:rsidP="00E022DA">
      <w:pPr>
        <w:pStyle w:val="FootnoteText"/>
        <w:rPr>
          <w:rFonts w:asciiTheme="majorBidi" w:hAnsiTheme="majorBidi" w:cstheme="majorBidi"/>
        </w:rPr>
      </w:pPr>
      <w:r>
        <w:rPr>
          <w:rStyle w:val="FootnoteReference"/>
        </w:rPr>
        <w:footnoteRef/>
      </w:r>
      <w:r>
        <w:t xml:space="preserve"> </w:t>
      </w:r>
      <w:r>
        <w:rPr>
          <w:rFonts w:asciiTheme="majorBidi" w:hAnsiTheme="majorBidi" w:cstheme="majorBidi"/>
        </w:rPr>
        <w:t>Home Office</w:t>
      </w:r>
      <w:r w:rsidRPr="00812678">
        <w:rPr>
          <w:rFonts w:asciiTheme="majorBidi" w:hAnsiTheme="majorBidi" w:cstheme="majorBidi"/>
        </w:rPr>
        <w:t xml:space="preserve"> (2016) </w:t>
      </w:r>
      <w:r w:rsidRPr="00812678">
        <w:rPr>
          <w:rFonts w:asciiTheme="majorBidi" w:hAnsiTheme="majorBidi" w:cstheme="majorBidi"/>
          <w:i/>
          <w:iCs/>
        </w:rPr>
        <w:t>Domestic Violence Disclosure Scheme (DVDS): One year on - Home Office assessme</w:t>
      </w:r>
      <w:r w:rsidRPr="00812678">
        <w:rPr>
          <w:rFonts w:asciiTheme="majorBidi" w:hAnsiTheme="majorBidi" w:cstheme="majorBidi"/>
          <w:i/>
          <w:iCs/>
        </w:rPr>
        <w:t>nt of national roll-out</w:t>
      </w:r>
      <w:r w:rsidRPr="00812678">
        <w:rPr>
          <w:rFonts w:asciiTheme="majorBidi" w:hAnsiTheme="majorBidi" w:cstheme="majorBidi"/>
        </w:rPr>
        <w:t>, London: Home Office.</w:t>
      </w:r>
    </w:p>
    <w:p w:rsidR="00CE1C7A">
      <w:pPr>
        <w:pStyle w:val="FootnoteText"/>
      </w:pPr>
    </w:p>
  </w:footnote>
  <w:footnote w:id="9">
    <w:p w:rsidR="00CE1C7A" w:rsidRPr="00E022DA">
      <w:pPr>
        <w:pStyle w:val="FootnoteText"/>
        <w:rPr>
          <w:rFonts w:asciiTheme="majorBidi" w:hAnsiTheme="majorBidi" w:cstheme="majorBidi"/>
        </w:rPr>
      </w:pPr>
      <w:r>
        <w:rPr>
          <w:rStyle w:val="FootnoteReference"/>
        </w:rPr>
        <w:footnoteRef/>
      </w:r>
      <w:r>
        <w:t xml:space="preserve"> </w:t>
      </w:r>
      <w:r w:rsidRPr="00812678">
        <w:rPr>
          <w:rFonts w:asciiTheme="majorBidi" w:hAnsiTheme="majorBidi" w:cstheme="majorBidi"/>
        </w:rPr>
        <w:t xml:space="preserve">Home Office (2013b) </w:t>
      </w:r>
      <w:r w:rsidRPr="00812678">
        <w:rPr>
          <w:rFonts w:asciiTheme="majorBidi" w:hAnsiTheme="majorBidi" w:cstheme="majorBidi"/>
          <w:i/>
          <w:iCs/>
        </w:rPr>
        <w:t>Domestic Violence Disclosure Scheme (DVDS) Pilot Assessment</w:t>
      </w:r>
      <w:r w:rsidRPr="00812678">
        <w:rPr>
          <w:rFonts w:asciiTheme="majorBidi" w:hAnsiTheme="majorBidi" w:cstheme="majorBidi"/>
        </w:rPr>
        <w:t>, London: Home Office</w:t>
      </w:r>
      <w:r>
        <w:rPr>
          <w:rFonts w:asciiTheme="majorBidi" w:hAnsiTheme="majorBidi" w:cstheme="majorBidi"/>
        </w:rPr>
        <w:t>.</w:t>
      </w:r>
    </w:p>
  </w:footnote>
  <w:footnote w:id="10">
    <w:p w:rsidR="00DE09DD" w:rsidRPr="00947880">
      <w:pPr>
        <w:pStyle w:val="FootnoteText"/>
        <w:rPr>
          <w:rFonts w:ascii="Times New Roman" w:hAnsi="Times New Roman" w:cs="Times New Roman"/>
        </w:rPr>
      </w:pPr>
      <w:r w:rsidRPr="00947880">
        <w:rPr>
          <w:rStyle w:val="FootnoteReference"/>
          <w:rFonts w:ascii="Times New Roman" w:hAnsi="Times New Roman" w:cs="Times New Roman"/>
        </w:rPr>
        <w:footnoteRef/>
      </w:r>
      <w:r w:rsidRPr="00947880">
        <w:rPr>
          <w:rFonts w:ascii="Times New Roman" w:hAnsi="Times New Roman" w:cs="Times New Roman"/>
        </w:rPr>
        <w:t xml:space="preserve"> </w:t>
      </w:r>
      <w:r w:rsidRPr="00947880">
        <w:rPr>
          <w:rFonts w:ascii="Times New Roman" w:hAnsi="Times New Roman" w:cs="Times New Roman"/>
        </w:rPr>
        <w:t xml:space="preserve">See </w:t>
      </w:r>
      <w:r>
        <w:rPr>
          <w:rFonts w:ascii="Times New Roman" w:hAnsi="Times New Roman" w:cs="Times New Roman"/>
        </w:rPr>
        <w:t xml:space="preserve">for example </w:t>
      </w:r>
      <w:r w:rsidRPr="00947880">
        <w:rPr>
          <w:rStyle w:val="authors"/>
          <w:rFonts w:ascii="Times New Roman" w:hAnsi="Times New Roman" w:cs="Times New Roman"/>
          <w:shd w:val="clear" w:color="auto" w:fill="FFFFFF"/>
        </w:rPr>
        <w:t>Jyoti Belur</w:t>
      </w:r>
      <w:r w:rsidRPr="00947880">
        <w:rPr>
          <w:rFonts w:ascii="Times New Roman" w:hAnsi="Times New Roman" w:cs="Times New Roman"/>
          <w:shd w:val="clear" w:color="auto" w:fill="FFFFFF"/>
        </w:rPr>
        <w:t> </w:t>
      </w:r>
      <w:r w:rsidRPr="00947880">
        <w:rPr>
          <w:rStyle w:val="Date1"/>
          <w:rFonts w:ascii="Times New Roman" w:hAnsi="Times New Roman" w:cs="Times New Roman"/>
          <w:shd w:val="clear" w:color="auto" w:fill="FFFFFF"/>
        </w:rPr>
        <w:t>(2008)</w:t>
      </w:r>
      <w:r w:rsidRPr="00947880">
        <w:rPr>
          <w:rFonts w:ascii="Times New Roman" w:hAnsi="Times New Roman" w:cs="Times New Roman"/>
          <w:shd w:val="clear" w:color="auto" w:fill="FFFFFF"/>
        </w:rPr>
        <w:t> </w:t>
      </w:r>
      <w:r w:rsidRPr="00947880">
        <w:rPr>
          <w:rStyle w:val="arttitle"/>
          <w:rFonts w:ascii="Times New Roman" w:hAnsi="Times New Roman" w:cs="Times New Roman"/>
          <w:shd w:val="clear" w:color="auto" w:fill="FFFFFF"/>
        </w:rPr>
        <w:t>Is</w:t>
      </w:r>
      <w:r w:rsidRPr="00947880">
        <w:rPr>
          <w:rStyle w:val="arttitle"/>
          <w:rFonts w:ascii="Times New Roman" w:hAnsi="Times New Roman" w:cs="Times New Roman"/>
          <w:shd w:val="clear" w:color="auto" w:fill="FFFFFF"/>
        </w:rPr>
        <w:t xml:space="preserve"> policing domestic violence institutionally racist? A case study of south Asian Women,</w:t>
      </w:r>
      <w:r w:rsidRPr="00947880">
        <w:rPr>
          <w:rFonts w:ascii="Times New Roman" w:hAnsi="Times New Roman" w:cs="Times New Roman"/>
          <w:shd w:val="clear" w:color="auto" w:fill="FFFFFF"/>
        </w:rPr>
        <w:t> </w:t>
      </w:r>
      <w:r w:rsidRPr="00947880">
        <w:rPr>
          <w:rStyle w:val="serialtitle"/>
          <w:rFonts w:ascii="Times New Roman" w:hAnsi="Times New Roman" w:cs="Times New Roman"/>
          <w:shd w:val="clear" w:color="auto" w:fill="FFFFFF"/>
        </w:rPr>
        <w:t>Policing and Society,</w:t>
      </w:r>
      <w:r w:rsidRPr="00947880">
        <w:rPr>
          <w:rFonts w:ascii="Times New Roman" w:hAnsi="Times New Roman" w:cs="Times New Roman"/>
          <w:shd w:val="clear" w:color="auto" w:fill="FFFFFF"/>
        </w:rPr>
        <w:t> </w:t>
      </w:r>
      <w:r w:rsidRPr="00947880">
        <w:rPr>
          <w:rStyle w:val="volumeissue"/>
          <w:rFonts w:ascii="Times New Roman" w:hAnsi="Times New Roman" w:cs="Times New Roman"/>
          <w:shd w:val="clear" w:color="auto" w:fill="FFFFFF"/>
        </w:rPr>
        <w:t>18:4,</w:t>
      </w:r>
      <w:r w:rsidRPr="00947880">
        <w:rPr>
          <w:rFonts w:ascii="Times New Roman" w:hAnsi="Times New Roman" w:cs="Times New Roman"/>
          <w:shd w:val="clear" w:color="auto" w:fill="FFFFFF"/>
        </w:rPr>
        <w:t> </w:t>
      </w:r>
      <w:r w:rsidRPr="00947880">
        <w:rPr>
          <w:rStyle w:val="pagerange"/>
          <w:rFonts w:ascii="Times New Roman" w:hAnsi="Times New Roman" w:cs="Times New Roman"/>
          <w:shd w:val="clear" w:color="auto" w:fill="FFFFFF"/>
        </w:rPr>
        <w:t>426-444,</w:t>
      </w:r>
      <w:r w:rsidRPr="00947880">
        <w:rPr>
          <w:rFonts w:ascii="Times New Roman" w:hAnsi="Times New Roman" w:cs="Times New Roman"/>
          <w:shd w:val="clear" w:color="auto" w:fill="FFFFFF"/>
        </w:rPr>
        <w:t> </w:t>
      </w:r>
      <w:r w:rsidRPr="00947880">
        <w:rPr>
          <w:rStyle w:val="doilink"/>
          <w:rFonts w:ascii="Times New Roman" w:hAnsi="Times New Roman" w:cs="Times New Roman"/>
          <w:shd w:val="clear" w:color="auto" w:fill="FFFFFF"/>
        </w:rPr>
        <w:t>DOI: </w:t>
      </w:r>
      <w:r>
        <w:fldChar w:fldCharType="begin"/>
      </w:r>
      <w:r>
        <w:instrText xml:space="preserve"> HYPERLINK "https://doi.org/10.1080/10439460802349312" </w:instrText>
      </w:r>
      <w:r>
        <w:fldChar w:fldCharType="separate"/>
      </w:r>
      <w:r w:rsidRPr="00947880">
        <w:rPr>
          <w:rStyle w:val="Hyperlink"/>
          <w:rFonts w:ascii="Times New Roman" w:hAnsi="Times New Roman" w:cs="Times New Roman"/>
          <w:color w:val="auto"/>
        </w:rPr>
        <w:t>10.1080/10439460802349312</w:t>
      </w:r>
      <w:r>
        <w:fldChar w:fldCharType="end"/>
      </w:r>
      <w:r w:rsidRPr="00947880">
        <w:rPr>
          <w:rStyle w:val="doilink"/>
          <w:rFonts w:ascii="Times New Roman" w:hAnsi="Times New Roman" w:cs="Times New Roman"/>
          <w:shd w:val="clear" w:color="auto" w:fill="FFFFFF"/>
        </w:rPr>
        <w:t xml:space="preserve">; </w:t>
      </w:r>
      <w:r w:rsidRPr="00947880">
        <w:rPr>
          <w:rStyle w:val="authors"/>
          <w:rFonts w:ascii="Times New Roman" w:hAnsi="Times New Roman" w:cs="Times New Roman"/>
          <w:shd w:val="clear" w:color="auto" w:fill="FFFFFF"/>
        </w:rPr>
        <w:t>Sundari Anitha</w:t>
      </w:r>
      <w:r w:rsidRPr="00947880">
        <w:rPr>
          <w:rFonts w:ascii="Times New Roman" w:hAnsi="Times New Roman" w:cs="Times New Roman"/>
          <w:shd w:val="clear" w:color="auto" w:fill="FFFFFF"/>
        </w:rPr>
        <w:t> </w:t>
      </w:r>
      <w:r w:rsidRPr="00947880">
        <w:rPr>
          <w:rStyle w:val="Date1"/>
          <w:rFonts w:ascii="Times New Roman" w:hAnsi="Times New Roman" w:cs="Times New Roman"/>
          <w:shd w:val="clear" w:color="auto" w:fill="FFFFFF"/>
        </w:rPr>
        <w:t>(2008)</w:t>
      </w:r>
      <w:r w:rsidRPr="00947880">
        <w:rPr>
          <w:rFonts w:ascii="Times New Roman" w:hAnsi="Times New Roman" w:cs="Times New Roman"/>
          <w:shd w:val="clear" w:color="auto" w:fill="FFFFFF"/>
        </w:rPr>
        <w:t> </w:t>
      </w:r>
      <w:r w:rsidRPr="00947880">
        <w:rPr>
          <w:rStyle w:val="arttitle"/>
          <w:rFonts w:ascii="Times New Roman" w:hAnsi="Times New Roman" w:cs="Times New Roman"/>
          <w:shd w:val="clear" w:color="auto" w:fill="FFFFFF"/>
        </w:rPr>
        <w:t xml:space="preserve">Neither safety </w:t>
      </w:r>
      <w:r w:rsidRPr="00947880">
        <w:rPr>
          <w:rStyle w:val="arttitle"/>
          <w:rFonts w:ascii="Times New Roman" w:hAnsi="Times New Roman" w:cs="Times New Roman"/>
          <w:shd w:val="clear" w:color="auto" w:fill="FFFFFF"/>
        </w:rPr>
        <w:t>nor justice: the UK government response to domestic violence against immigrant women,</w:t>
      </w:r>
      <w:r w:rsidRPr="00947880">
        <w:rPr>
          <w:rFonts w:ascii="Times New Roman" w:hAnsi="Times New Roman" w:cs="Times New Roman"/>
          <w:shd w:val="clear" w:color="auto" w:fill="FFFFFF"/>
        </w:rPr>
        <w:t> </w:t>
      </w:r>
      <w:r w:rsidRPr="00947880">
        <w:rPr>
          <w:rStyle w:val="serialtitle"/>
          <w:rFonts w:ascii="Times New Roman" w:hAnsi="Times New Roman" w:cs="Times New Roman"/>
          <w:shd w:val="clear" w:color="auto" w:fill="FFFFFF"/>
        </w:rPr>
        <w:t>Journal of Social Welfare and Family Law,</w:t>
      </w:r>
      <w:r w:rsidRPr="00947880">
        <w:rPr>
          <w:rFonts w:ascii="Times New Roman" w:hAnsi="Times New Roman" w:cs="Times New Roman"/>
          <w:shd w:val="clear" w:color="auto" w:fill="FFFFFF"/>
        </w:rPr>
        <w:t> </w:t>
      </w:r>
      <w:r w:rsidRPr="00947880">
        <w:rPr>
          <w:rStyle w:val="volumeissue"/>
          <w:rFonts w:ascii="Times New Roman" w:hAnsi="Times New Roman" w:cs="Times New Roman"/>
          <w:shd w:val="clear" w:color="auto" w:fill="FFFFFF"/>
        </w:rPr>
        <w:t>30:3,</w:t>
      </w:r>
      <w:r w:rsidRPr="00947880">
        <w:rPr>
          <w:rFonts w:ascii="Times New Roman" w:hAnsi="Times New Roman" w:cs="Times New Roman"/>
          <w:shd w:val="clear" w:color="auto" w:fill="FFFFFF"/>
        </w:rPr>
        <w:t> </w:t>
      </w:r>
      <w:r w:rsidRPr="00947880">
        <w:rPr>
          <w:rStyle w:val="pagerange"/>
          <w:rFonts w:ascii="Times New Roman" w:hAnsi="Times New Roman" w:cs="Times New Roman"/>
          <w:shd w:val="clear" w:color="auto" w:fill="FFFFFF"/>
        </w:rPr>
        <w:t>189-202,</w:t>
      </w:r>
      <w:r w:rsidRPr="00947880">
        <w:rPr>
          <w:rFonts w:ascii="Times New Roman" w:hAnsi="Times New Roman" w:cs="Times New Roman"/>
          <w:shd w:val="clear" w:color="auto" w:fill="FFFFFF"/>
        </w:rPr>
        <w:t> </w:t>
      </w:r>
      <w:r w:rsidRPr="00947880">
        <w:rPr>
          <w:rStyle w:val="doilink"/>
          <w:rFonts w:ascii="Times New Roman" w:hAnsi="Times New Roman" w:cs="Times New Roman"/>
          <w:shd w:val="clear" w:color="auto" w:fill="FFFFFF"/>
        </w:rPr>
        <w:t>DOI: </w:t>
      </w:r>
      <w:r>
        <w:fldChar w:fldCharType="begin"/>
      </w:r>
      <w:r>
        <w:instrText xml:space="preserve"> HYPERLINK "https://doi.org/10.1080/09649060802550592" </w:instrText>
      </w:r>
      <w:r>
        <w:fldChar w:fldCharType="separate"/>
      </w:r>
      <w:r w:rsidRPr="00947880">
        <w:rPr>
          <w:rStyle w:val="Hyperlink"/>
          <w:rFonts w:ascii="Times New Roman" w:hAnsi="Times New Roman" w:cs="Times New Roman"/>
          <w:color w:val="auto"/>
        </w:rPr>
        <w:t>10.1080/09649060802550592</w:t>
      </w:r>
      <w:r>
        <w:fldChar w:fldCharType="end"/>
      </w:r>
      <w:r w:rsidRPr="00947880">
        <w:rPr>
          <w:rStyle w:val="doilink"/>
          <w:rFonts w:ascii="Times New Roman" w:hAnsi="Times New Roman" w:cs="Times New Roman"/>
          <w:shd w:val="clear" w:color="auto" w:fill="FFFFFF"/>
        </w:rPr>
        <w:t xml:space="preserve">; </w:t>
      </w:r>
      <w:r w:rsidRPr="00947880">
        <w:rPr>
          <w:rStyle w:val="authors"/>
          <w:rFonts w:ascii="Times New Roman" w:hAnsi="Times New Roman" w:cs="Times New Roman"/>
          <w:shd w:val="clear" w:color="auto" w:fill="FFFFFF"/>
        </w:rPr>
        <w:t>Omolade Femi-Ajao, Sara</w:t>
      </w:r>
      <w:r w:rsidRPr="00947880">
        <w:rPr>
          <w:rStyle w:val="authors"/>
          <w:rFonts w:ascii="Times New Roman" w:hAnsi="Times New Roman" w:cs="Times New Roman"/>
          <w:shd w:val="clear" w:color="auto" w:fill="FFFFFF"/>
        </w:rPr>
        <w:t>h Kendal &amp; Karina Lovell</w:t>
      </w:r>
      <w:r w:rsidRPr="00947880">
        <w:rPr>
          <w:rFonts w:ascii="Times New Roman" w:hAnsi="Times New Roman" w:cs="Times New Roman"/>
          <w:shd w:val="clear" w:color="auto" w:fill="FFFFFF"/>
        </w:rPr>
        <w:t> </w:t>
      </w:r>
      <w:r w:rsidRPr="00947880">
        <w:rPr>
          <w:rStyle w:val="Date1"/>
          <w:rFonts w:ascii="Times New Roman" w:hAnsi="Times New Roman" w:cs="Times New Roman"/>
          <w:shd w:val="clear" w:color="auto" w:fill="FFFFFF"/>
        </w:rPr>
        <w:t>(2018)</w:t>
      </w:r>
      <w:r w:rsidRPr="00947880">
        <w:rPr>
          <w:rFonts w:ascii="Times New Roman" w:hAnsi="Times New Roman" w:cs="Times New Roman"/>
          <w:shd w:val="clear" w:color="auto" w:fill="FFFFFF"/>
        </w:rPr>
        <w:t> </w:t>
      </w:r>
      <w:r w:rsidRPr="00947880">
        <w:rPr>
          <w:rStyle w:val="arttitle"/>
          <w:rFonts w:ascii="Times New Roman" w:hAnsi="Times New Roman" w:cs="Times New Roman"/>
          <w:shd w:val="clear" w:color="auto" w:fill="FFFFFF"/>
        </w:rPr>
        <w:t>A qualitative systematic review of published work on disclosure and help-seeking for domestic violence and abuse among women from ethnic minority populations in the UK,</w:t>
      </w:r>
      <w:r w:rsidRPr="00947880">
        <w:rPr>
          <w:rFonts w:ascii="Times New Roman" w:hAnsi="Times New Roman" w:cs="Times New Roman"/>
          <w:shd w:val="clear" w:color="auto" w:fill="FFFFFF"/>
        </w:rPr>
        <w:t> </w:t>
      </w:r>
      <w:r w:rsidRPr="00947880">
        <w:rPr>
          <w:rStyle w:val="serialtitle"/>
          <w:rFonts w:ascii="Times New Roman" w:hAnsi="Times New Roman" w:cs="Times New Roman"/>
          <w:shd w:val="clear" w:color="auto" w:fill="FFFFFF"/>
        </w:rPr>
        <w:t>Ethnicity &amp; Health,</w:t>
      </w:r>
      <w:r w:rsidRPr="00947880">
        <w:rPr>
          <w:rFonts w:ascii="Times New Roman" w:hAnsi="Times New Roman" w:cs="Times New Roman"/>
          <w:shd w:val="clear" w:color="auto" w:fill="FFFFFF"/>
        </w:rPr>
        <w:t> </w:t>
      </w:r>
      <w:r w:rsidRPr="00947880">
        <w:rPr>
          <w:rStyle w:val="doilink"/>
          <w:rFonts w:ascii="Times New Roman" w:hAnsi="Times New Roman" w:cs="Times New Roman"/>
          <w:shd w:val="clear" w:color="auto" w:fill="FFFFFF"/>
        </w:rPr>
        <w:t>DOI: </w:t>
      </w:r>
      <w:r>
        <w:fldChar w:fldCharType="begin"/>
      </w:r>
      <w:r>
        <w:instrText xml:space="preserve"> HYPERLINK "https://doi.org/10.1080/13557858.2018.1447652" </w:instrText>
      </w:r>
      <w:r>
        <w:fldChar w:fldCharType="separate"/>
      </w:r>
      <w:r w:rsidRPr="00947880">
        <w:rPr>
          <w:rStyle w:val="Hyperlink"/>
          <w:rFonts w:ascii="Times New Roman" w:hAnsi="Times New Roman" w:cs="Times New Roman"/>
          <w:color w:val="auto"/>
        </w:rPr>
        <w:t>10.1080/13557858.2018.1447652</w:t>
      </w:r>
      <w:r>
        <w:fldChar w:fldCharType="end"/>
      </w:r>
      <w:r w:rsidRPr="00947880">
        <w:rPr>
          <w:rStyle w:val="doilink"/>
          <w:rFonts w:ascii="Times New Roman" w:hAnsi="Times New Roman" w:cs="Times New Roman"/>
          <w:shd w:val="clear" w:color="auto" w:fill="FFFFFF"/>
        </w:rPr>
        <w:t xml:space="preserve">; and </w:t>
      </w:r>
      <w:r w:rsidRPr="00947880">
        <w:rPr>
          <w:rFonts w:ascii="Times New Roman" w:hAnsi="Times New Roman" w:cs="Times New Roman"/>
          <w:shd w:val="clear" w:color="auto" w:fill="FFFFFF"/>
        </w:rPr>
        <w:t>Aisha K. Gill, Karen Harrison, Police Responses to Intimate Partner Sexual Violence in South Asian Communities, </w:t>
      </w:r>
      <w:r w:rsidRPr="00947880">
        <w:rPr>
          <w:rStyle w:val="Emphasis"/>
          <w:rFonts w:ascii="Times New Roman" w:hAnsi="Times New Roman" w:cs="Times New Roman"/>
          <w:bdr w:val="nil"/>
          <w:shd w:val="clear" w:color="auto" w:fill="FFFFFF"/>
        </w:rPr>
        <w:t>Policing: A Journal of Policy and Practice</w:t>
      </w:r>
      <w:r w:rsidRPr="00947880">
        <w:rPr>
          <w:rFonts w:ascii="Times New Roman" w:hAnsi="Times New Roman" w:cs="Times New Roman"/>
          <w:shd w:val="clear" w:color="auto" w:fill="FFFFFF"/>
        </w:rPr>
        <w:t>, Vol</w:t>
      </w:r>
      <w:r w:rsidRPr="00947880">
        <w:rPr>
          <w:rFonts w:ascii="Times New Roman" w:hAnsi="Times New Roman" w:cs="Times New Roman"/>
          <w:shd w:val="clear" w:color="auto" w:fill="FFFFFF"/>
        </w:rPr>
        <w:t>ume 10, Issue 4, December 2016, Pages 446–455, </w:t>
      </w:r>
      <w:r>
        <w:fldChar w:fldCharType="begin"/>
      </w:r>
      <w:r>
        <w:instrText xml:space="preserve"> HYPERLINK "https://doi.org/10.1093/police/paw027" </w:instrText>
      </w:r>
      <w:r>
        <w:fldChar w:fldCharType="separate"/>
      </w:r>
      <w:r w:rsidRPr="00947880">
        <w:rPr>
          <w:rStyle w:val="Hyperlink"/>
          <w:rFonts w:ascii="Times New Roman" w:hAnsi="Times New Roman" w:cs="Times New Roman"/>
          <w:color w:val="auto"/>
          <w:bdr w:val="nil"/>
          <w:shd w:val="clear" w:color="auto" w:fill="FFFFFF"/>
        </w:rPr>
        <w:t>https://doi.org/10.1093/police/paw027</w:t>
      </w:r>
      <w:r>
        <w:fldChar w:fldCharType="end"/>
      </w:r>
    </w:p>
    <w:p w:rsidR="00947880" w:rsidRPr="00947880">
      <w:pPr>
        <w:pStyle w:val="FootnoteText"/>
        <w:rPr>
          <w:rFonts w:ascii="Times New Roman" w:hAnsi="Times New Roman" w:cs="Times New Roman"/>
        </w:rPr>
      </w:pPr>
    </w:p>
  </w:footnote>
  <w:footnote w:id="11">
    <w:p w:rsidR="006E20E4" w:rsidRPr="00947880" w:rsidP="006E20E4">
      <w:pPr>
        <w:pStyle w:val="FootnoteText"/>
        <w:rPr>
          <w:rFonts w:ascii="Times New Roman" w:hAnsi="Times New Roman" w:cs="Times New Roman"/>
        </w:rPr>
      </w:pPr>
      <w:r w:rsidRPr="00947880">
        <w:rPr>
          <w:rStyle w:val="FootnoteReference"/>
          <w:rFonts w:ascii="Times New Roman" w:hAnsi="Times New Roman" w:cs="Times New Roman"/>
        </w:rPr>
        <w:footnoteRef/>
      </w:r>
      <w:r w:rsidRPr="00947880">
        <w:rPr>
          <w:rFonts w:ascii="Times New Roman" w:hAnsi="Times New Roman" w:cs="Times New Roman"/>
        </w:rPr>
        <w:t xml:space="preserve"> See Sofia Graca</w:t>
      </w:r>
      <w:r w:rsidRPr="00947880">
        <w:rPr>
          <w:rFonts w:ascii="Times New Roman" w:hAnsi="Times New Roman" w:cs="Times New Roman"/>
        </w:rPr>
        <w:t xml:space="preserve">, 'Domestic violence policy and legislation in the UK: A discussion of immigrant women's vulnerabilities', </w:t>
      </w:r>
      <w:r w:rsidRPr="00947880">
        <w:rPr>
          <w:rFonts w:ascii="Times New Roman" w:hAnsi="Times New Roman" w:cs="Times New Roman"/>
          <w:i/>
          <w:iCs/>
        </w:rPr>
        <w:t>EJoCLI</w:t>
      </w:r>
      <w:r w:rsidRPr="00947880">
        <w:rPr>
          <w:rFonts w:ascii="Times New Roman" w:hAnsi="Times New Roman" w:cs="Times New Roman"/>
        </w:rPr>
        <w:t xml:space="preserve"> Vol 22, No 1 (2017) online</w:t>
      </w:r>
    </w:p>
    <w:p w:rsidR="006E20E4" w:rsidRPr="00947880" w:rsidP="006E20E4">
      <w:pPr>
        <w:pStyle w:val="FootnoteText"/>
        <w:rPr>
          <w:rFonts w:ascii="Times New Roman" w:hAnsi="Times New Roman" w:cs="Times New Roman"/>
        </w:rPr>
      </w:pPr>
    </w:p>
  </w:footnote>
  <w:footnote w:id="12">
    <w:p w:rsidR="00E61679" w:rsidRPr="00947880" w:rsidP="00E61679">
      <w:pPr>
        <w:pStyle w:val="FootnoteText"/>
        <w:rPr>
          <w:rFonts w:ascii="Times New Roman" w:hAnsi="Times New Roman" w:cs="Times New Roman"/>
        </w:rPr>
      </w:pPr>
      <w:r w:rsidRPr="00947880">
        <w:rPr>
          <w:rStyle w:val="FootnoteReference"/>
          <w:rFonts w:ascii="Times New Roman" w:hAnsi="Times New Roman" w:cs="Times New Roman"/>
        </w:rPr>
        <w:footnoteRef/>
      </w:r>
      <w:r w:rsidRPr="00947880">
        <w:rPr>
          <w:rFonts w:ascii="Times New Roman" w:hAnsi="Times New Roman" w:cs="Times New Roman"/>
        </w:rPr>
        <w:t xml:space="preserve"> Home Office (2013), 'Domestic Violence Disclosure Scheme Impact Assessment', from </w:t>
      </w:r>
      <w:r>
        <w:fldChar w:fldCharType="begin"/>
      </w:r>
      <w:r>
        <w:instrText xml:space="preserve"> HYPERLINK "https://www.gov.uk/government/uploads/system/uploads/attachment_data/file/260899/DVDS_IA.pdf" </w:instrText>
      </w:r>
      <w:r>
        <w:fldChar w:fldCharType="separate"/>
      </w:r>
      <w:r w:rsidRPr="00947880">
        <w:rPr>
          <w:rStyle w:val="Hyperlink"/>
          <w:rFonts w:ascii="Times New Roman" w:hAnsi="Times New Roman" w:cs="Times New Roman"/>
          <w:color w:val="auto"/>
        </w:rPr>
        <w:t>https://www.gov.uk/government/uploads/system/uploads/attachment_data/file/260899/DVDS_IA.pdf</w:t>
      </w:r>
      <w:r>
        <w:fldChar w:fldCharType="end"/>
      </w:r>
      <w:r w:rsidRPr="00947880">
        <w:rPr>
          <w:rFonts w:ascii="Times New Roman" w:hAnsi="Times New Roman" w:cs="Times New Roman"/>
        </w:rPr>
        <w:t xml:space="preserve"> (Accessed at 14/03/15), p.20.</w:t>
      </w:r>
    </w:p>
    <w:p w:rsidR="00E61679" w:rsidRPr="00812678" w:rsidP="00E61679">
      <w:pPr>
        <w:pStyle w:val="FootnoteText"/>
        <w:rPr>
          <w:rFonts w:asciiTheme="majorBidi" w:hAnsiTheme="majorBidi" w:cstheme="majorBidi"/>
        </w:rPr>
      </w:pPr>
    </w:p>
  </w:footnote>
  <w:footnote w:id="13">
    <w:p w:rsidR="007351F8">
      <w:pPr>
        <w:pStyle w:val="FootnoteText"/>
        <w:rPr>
          <w:rFonts w:ascii="Times New Roman" w:hAnsi="Times New Roman" w:cs="Times New Roman"/>
          <w:i/>
          <w:iCs/>
        </w:rPr>
      </w:pPr>
      <w:r>
        <w:rPr>
          <w:rStyle w:val="FootnoteReference"/>
        </w:rPr>
        <w:footnoteRef/>
      </w:r>
      <w:r>
        <w:t xml:space="preserve"> </w:t>
      </w:r>
      <w:r w:rsidRPr="008724B6">
        <w:rPr>
          <w:rFonts w:ascii="Times New Roman" w:hAnsi="Times New Roman" w:cs="Times New Roman"/>
        </w:rPr>
        <w:t>On the 'properly informed' standard required to hav</w:t>
      </w:r>
      <w:r w:rsidRPr="008724B6">
        <w:rPr>
          <w:rFonts w:ascii="Times New Roman" w:hAnsi="Times New Roman" w:cs="Times New Roman"/>
        </w:rPr>
        <w:t xml:space="preserve">e shown 'due regard' to equality issues in policymaking, see  </w:t>
      </w:r>
      <w:r w:rsidRPr="008724B6">
        <w:rPr>
          <w:rFonts w:ascii="Times New Roman" w:hAnsi="Times New Roman" w:cs="Times New Roman"/>
          <w:i/>
          <w:iCs/>
        </w:rPr>
        <w:t>R (Hurley and Moore) v Secretary of State for Business, Innovation and Skills [2012] EWHC 201 (Admin).</w:t>
      </w:r>
    </w:p>
    <w:p w:rsidR="007351F8">
      <w:pPr>
        <w:pStyle w:val="FootnoteText"/>
      </w:pPr>
    </w:p>
  </w:footnote>
  <w:footnote w:id="14">
    <w:p w:rsidR="008E0F37" w:rsidRPr="00570296" w:rsidP="008E0F37">
      <w:pPr>
        <w:pStyle w:val="FootnoteText"/>
        <w:rPr>
          <w:rFonts w:ascii="Times New Roman" w:hAnsi="Times New Roman" w:cs="Times New Roman"/>
        </w:rPr>
      </w:pPr>
      <w:r w:rsidRPr="00F95D41">
        <w:rPr>
          <w:rStyle w:val="FootnoteReference"/>
          <w:rFonts w:ascii="Times New Roman" w:hAnsi="Times New Roman" w:cs="Times New Roman"/>
        </w:rPr>
        <w:footnoteRef/>
      </w:r>
      <w:r w:rsidRPr="00F95D41">
        <w:rPr>
          <w:rFonts w:ascii="Times New Roman" w:hAnsi="Times New Roman" w:cs="Times New Roman"/>
        </w:rPr>
        <w:t xml:space="preserve"> Police Scotland, DSDAS guidance and operational protocol, 2015, Author copy, </w:t>
      </w:r>
      <w:r>
        <w:rPr>
          <w:rFonts w:ascii="Times New Roman" w:hAnsi="Times New Roman" w:cs="Times New Roman"/>
        </w:rPr>
        <w:t>page 27.</w:t>
      </w:r>
    </w:p>
    <w:p w:rsidR="008E0F37" w:rsidRPr="00570296" w:rsidP="008E0F37">
      <w:pPr>
        <w:pStyle w:val="FootnoteText"/>
        <w:rPr>
          <w:rFonts w:ascii="Times New Roman" w:hAnsi="Times New Roman" w:cs="Times New Roman"/>
        </w:rPr>
      </w:pPr>
    </w:p>
  </w:footnote>
  <w:footnote w:id="15">
    <w:p w:rsidR="00F67250">
      <w:pPr>
        <w:pStyle w:val="FootnoteText"/>
        <w:rPr>
          <w:rFonts w:ascii="Times New Roman" w:hAnsi="Times New Roman" w:cs="Times New Roman"/>
        </w:rPr>
      </w:pPr>
      <w:r>
        <w:rPr>
          <w:rStyle w:val="FootnoteReference"/>
        </w:rPr>
        <w:footnoteRef/>
      </w:r>
      <w:r>
        <w:t xml:space="preserve"> </w:t>
      </w:r>
      <w:r w:rsidRPr="00F95D41">
        <w:rPr>
          <w:rFonts w:ascii="Times New Roman" w:hAnsi="Times New Roman" w:cs="Times New Roman"/>
        </w:rPr>
        <w:t xml:space="preserve">Department of Justice (Northern Ireland), </w:t>
      </w:r>
      <w:r>
        <w:rPr>
          <w:rFonts w:ascii="Times New Roman" w:hAnsi="Times New Roman" w:cs="Times New Roman"/>
        </w:rPr>
        <w:t>Domestic Violence and Abuse Disclosure Scheme</w:t>
      </w:r>
      <w:r w:rsidRPr="00F95D41">
        <w:rPr>
          <w:rFonts w:ascii="Times New Roman" w:hAnsi="Times New Roman" w:cs="Times New Roman"/>
        </w:rPr>
        <w:t xml:space="preserve"> guidance, 2018</w:t>
      </w:r>
      <w:r>
        <w:rPr>
          <w:rFonts w:ascii="Times New Roman" w:hAnsi="Times New Roman" w:cs="Times New Roman"/>
        </w:rPr>
        <w:t>, p.4.</w:t>
      </w:r>
    </w:p>
    <w:p w:rsidR="00F67250">
      <w:pPr>
        <w:pStyle w:val="FootnoteText"/>
      </w:pPr>
    </w:p>
  </w:footnote>
  <w:footnote w:id="16">
    <w:p w:rsidR="00E61679" w:rsidRPr="00AE402B" w:rsidP="00E61679">
      <w:pPr>
        <w:pStyle w:val="FootnoteText"/>
        <w:rPr>
          <w:rFonts w:ascii="Times New Roman" w:hAnsi="Times New Roman" w:cs="Times New Roman"/>
        </w:rPr>
      </w:pPr>
      <w:r w:rsidRPr="00AE402B">
        <w:rPr>
          <w:rStyle w:val="FootnoteReference"/>
          <w:rFonts w:ascii="Times New Roman" w:hAnsi="Times New Roman" w:cs="Times New Roman"/>
        </w:rPr>
        <w:footnoteRef/>
      </w:r>
      <w:r w:rsidRPr="00AE402B">
        <w:rPr>
          <w:rFonts w:ascii="Times New Roman" w:hAnsi="Times New Roman" w:cs="Times New Roman"/>
        </w:rPr>
        <w:t xml:space="preserve"> See Sofia Graca</w:t>
      </w:r>
      <w:r w:rsidRPr="00AE402B">
        <w:rPr>
          <w:rFonts w:ascii="Times New Roman" w:hAnsi="Times New Roman" w:cs="Times New Roman"/>
        </w:rPr>
        <w:t xml:space="preserve">, 'Domestic violence policy and legislation in the UK: A discussion of immigrant women's vulnerabilities', </w:t>
      </w:r>
      <w:r w:rsidRPr="00AE402B">
        <w:rPr>
          <w:rFonts w:ascii="Times New Roman" w:hAnsi="Times New Roman" w:cs="Times New Roman"/>
          <w:i/>
          <w:iCs/>
        </w:rPr>
        <w:t>EJoCLI</w:t>
      </w:r>
      <w:r w:rsidRPr="00AE402B">
        <w:rPr>
          <w:rFonts w:ascii="Times New Roman" w:hAnsi="Times New Roman" w:cs="Times New Roman"/>
        </w:rPr>
        <w:t xml:space="preserve"> Vol 22, No 1 (2017) online</w:t>
      </w:r>
    </w:p>
    <w:p w:rsidR="00E61679" w:rsidRPr="00AE402B" w:rsidP="00E61679">
      <w:pPr>
        <w:pStyle w:val="FootnoteText"/>
        <w:rPr>
          <w:rFonts w:ascii="Times New Roman" w:hAnsi="Times New Roman" w:cs="Times New Roman"/>
        </w:rPr>
      </w:pPr>
    </w:p>
  </w:footnote>
  <w:footnote w:id="17">
    <w:p w:rsidR="00E61679" w:rsidRPr="00AE402B" w:rsidP="00E61679">
      <w:pPr>
        <w:pStyle w:val="FootnoteText"/>
        <w:rPr>
          <w:rFonts w:ascii="Times New Roman" w:hAnsi="Times New Roman" w:cs="Times New Roman"/>
        </w:rPr>
      </w:pPr>
      <w:r w:rsidRPr="00AE402B">
        <w:rPr>
          <w:rStyle w:val="FootnoteReference"/>
          <w:rFonts w:ascii="Times New Roman" w:hAnsi="Times New Roman" w:cs="Times New Roman"/>
        </w:rPr>
        <w:footnoteRef/>
      </w:r>
      <w:r w:rsidRPr="00AE402B">
        <w:rPr>
          <w:rFonts w:ascii="Times New Roman" w:hAnsi="Times New Roman" w:cs="Times New Roman"/>
        </w:rPr>
        <w:t xml:space="preserve"> This 'due regard' duty, as part of the Public Sector Equality Duty, is created by the language of Section 149 Eq</w:t>
      </w:r>
      <w:r w:rsidRPr="00AE402B">
        <w:rPr>
          <w:rFonts w:ascii="Times New Roman" w:hAnsi="Times New Roman" w:cs="Times New Roman"/>
        </w:rPr>
        <w:t>uality Act 2010.</w:t>
      </w:r>
    </w:p>
    <w:p w:rsidR="00E61679" w:rsidP="00E61679">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31CA">
    <w:pPr>
      <w:pStyle w:val="Header"/>
    </w:pPr>
    <w:r>
      <w:t>[MAC0002]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F570E60"/>
    <w:multiLevelType w:val="hybridMultilevel"/>
    <w:tmpl w:val="4E5C93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HAnsi" w:cs="Arial"/>
        <w:sz w:val="24"/>
        <w:szCs w:val="24"/>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E20E4"/>
    <w:rPr>
      <w:rFonts w:eastAsiaTheme="minorEastAsia"/>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6E20E4"/>
    <w:pPr>
      <w:spacing w:after="0" w:line="240" w:lineRule="auto"/>
    </w:pPr>
    <w:rPr>
      <w:sz w:val="20"/>
      <w:szCs w:val="20"/>
    </w:rPr>
  </w:style>
  <w:style w:type="character" w:customStyle="1" w:styleId="FootnoteTextChar">
    <w:name w:val="Footnote Text Char"/>
    <w:basedOn w:val="DefaultParagraphFont"/>
    <w:link w:val="FootnoteText"/>
    <w:uiPriority w:val="99"/>
    <w:rsid w:val="006E20E4"/>
    <w:rPr>
      <w:rFonts w:eastAsiaTheme="minorEastAsia"/>
      <w:sz w:val="20"/>
      <w:szCs w:val="20"/>
      <w:lang w:eastAsia="ja-JP"/>
    </w:rPr>
  </w:style>
  <w:style w:type="character" w:styleId="FootnoteReference">
    <w:name w:val="footnote reference"/>
    <w:basedOn w:val="DefaultParagraphFont"/>
    <w:uiPriority w:val="99"/>
    <w:semiHidden/>
    <w:unhideWhenUsed/>
    <w:rsid w:val="006E20E4"/>
    <w:rPr>
      <w:vertAlign w:val="superscript"/>
    </w:rPr>
  </w:style>
  <w:style w:type="character" w:styleId="Hyperlink">
    <w:name w:val="Hyperlink"/>
    <w:basedOn w:val="DefaultParagraphFont"/>
    <w:uiPriority w:val="99"/>
    <w:unhideWhenUsed/>
    <w:rsid w:val="006E20E4"/>
    <w:rPr>
      <w:color w:val="0000FF" w:themeColor="hyperlink"/>
      <w:u w:val="single"/>
    </w:rPr>
  </w:style>
  <w:style w:type="paragraph" w:styleId="ListParagraph">
    <w:name w:val="List Paragraph"/>
    <w:basedOn w:val="Normal"/>
    <w:uiPriority w:val="34"/>
    <w:qFormat/>
    <w:rsid w:val="00CE1C7A"/>
    <w:pPr>
      <w:ind w:left="720"/>
      <w:contextualSpacing/>
    </w:pPr>
  </w:style>
  <w:style w:type="character" w:customStyle="1" w:styleId="authors">
    <w:name w:val="authors"/>
    <w:basedOn w:val="DefaultParagraphFont"/>
    <w:rsid w:val="001955CD"/>
  </w:style>
  <w:style w:type="character" w:customStyle="1" w:styleId="Date1">
    <w:name w:val="Date1"/>
    <w:basedOn w:val="DefaultParagraphFont"/>
    <w:rsid w:val="001955CD"/>
  </w:style>
  <w:style w:type="character" w:customStyle="1" w:styleId="arttitle">
    <w:name w:val="art_title"/>
    <w:basedOn w:val="DefaultParagraphFont"/>
    <w:rsid w:val="001955CD"/>
  </w:style>
  <w:style w:type="character" w:customStyle="1" w:styleId="serialtitle">
    <w:name w:val="serial_title"/>
    <w:basedOn w:val="DefaultParagraphFont"/>
    <w:rsid w:val="001955CD"/>
  </w:style>
  <w:style w:type="character" w:customStyle="1" w:styleId="volumeissue">
    <w:name w:val="volume_issue"/>
    <w:basedOn w:val="DefaultParagraphFont"/>
    <w:rsid w:val="001955CD"/>
  </w:style>
  <w:style w:type="character" w:customStyle="1" w:styleId="pagerange">
    <w:name w:val="page_range"/>
    <w:basedOn w:val="DefaultParagraphFont"/>
    <w:rsid w:val="001955CD"/>
  </w:style>
  <w:style w:type="character" w:customStyle="1" w:styleId="doilink">
    <w:name w:val="doi_link"/>
    <w:basedOn w:val="DefaultParagraphFont"/>
    <w:rsid w:val="001955CD"/>
  </w:style>
  <w:style w:type="character" w:styleId="Emphasis">
    <w:name w:val="Emphasis"/>
    <w:basedOn w:val="DefaultParagraphFont"/>
    <w:uiPriority w:val="20"/>
    <w:qFormat/>
    <w:rsid w:val="00947880"/>
    <w:rPr>
      <w:i/>
      <w:iCs/>
    </w:rPr>
  </w:style>
  <w:style w:type="paragraph" w:customStyle="1" w:styleId="Default">
    <w:name w:val="Default"/>
    <w:rsid w:val="008E0F37"/>
    <w:pPr>
      <w:autoSpaceDE w:val="0"/>
      <w:autoSpaceDN w:val="0"/>
      <w:adjustRightInd w:val="0"/>
      <w:spacing w:after="0" w:line="240" w:lineRule="auto"/>
    </w:pPr>
    <w:rPr>
      <w:rFonts w:ascii="Times New Roman" w:hAnsi="Times New Roman" w:eastAsiaTheme="minorEastAsia" w:cs="Times New Roman"/>
      <w:color w:val="000000"/>
      <w:lang w:eastAsia="ja-JP"/>
    </w:rPr>
  </w:style>
  <w:style w:type="paragraph" w:styleId="Header">
    <w:name w:val="header"/>
    <w:basedOn w:val="Normal"/>
    <w:link w:val="HeaderChar"/>
    <w:uiPriority w:val="99"/>
    <w:unhideWhenUsed/>
    <w:rsid w:val="000231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31CA"/>
    <w:rPr>
      <w:rFonts w:eastAsiaTheme="minorEastAsia"/>
      <w:lang w:eastAsia="ja-JP"/>
    </w:rPr>
  </w:style>
  <w:style w:type="paragraph" w:styleId="Footer">
    <w:name w:val="footer"/>
    <w:basedOn w:val="Normal"/>
    <w:link w:val="FooterChar"/>
    <w:uiPriority w:val="99"/>
    <w:unhideWhenUsed/>
    <w:rsid w:val="000231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31CA"/>
    <w:rPr>
      <w:rFonts w:eastAsiaTheme="minorEastAsia"/>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F2E31B-F416-4A37-B955-142FFD92C2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