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D5DF1" w:rsidRPr="005D00AC" w:rsidP="002F186B">
      <w:pPr>
        <w:pStyle w:val="BodyText"/>
        <w:spacing w:before="5"/>
        <w:jc w:val="center"/>
        <w:rPr>
          <w:rFonts w:asciiTheme="minorHAnsi" w:hAnsiTheme="minorHAnsi" w:cstheme="minorHAnsi"/>
          <w:b/>
          <w:bCs/>
          <w:sz w:val="28"/>
          <w:szCs w:val="32"/>
        </w:rPr>
      </w:pPr>
      <w:r w:rsidRPr="005D00AC">
        <w:rPr>
          <w:rFonts w:asciiTheme="minorHAnsi" w:hAnsiTheme="minorHAnsi" w:cstheme="minorHAnsi"/>
          <w:b/>
          <w:bCs/>
          <w:sz w:val="28"/>
          <w:szCs w:val="32"/>
        </w:rPr>
        <w:t>Written Evidence Submitted by</w:t>
      </w:r>
      <w:r>
        <w:rPr>
          <w:rFonts w:asciiTheme="minorHAnsi" w:hAnsiTheme="minorHAnsi" w:cstheme="minorHAnsi"/>
          <w:b/>
          <w:bCs/>
          <w:sz w:val="28"/>
          <w:szCs w:val="32"/>
        </w:rPr>
        <w:t xml:space="preserve"> </w:t>
      </w:r>
      <w:r w:rsidRPr="005D00AC">
        <w:rPr>
          <w:rFonts w:asciiTheme="minorHAnsi" w:hAnsiTheme="minorHAnsi" w:cstheme="minorHAnsi"/>
          <w:b/>
          <w:bCs/>
          <w:sz w:val="28"/>
          <w:szCs w:val="32"/>
        </w:rPr>
        <w:t>Telecom Infra Project (TIP)</w:t>
      </w:r>
    </w:p>
    <w:p w:rsidR="005D00AC" w:rsidRPr="005D00AC" w:rsidP="005D00AC">
      <w:pPr>
        <w:pStyle w:val="BodyText"/>
        <w:spacing w:before="5"/>
        <w:jc w:val="center"/>
        <w:rPr>
          <w:rFonts w:asciiTheme="minorHAnsi" w:hAnsiTheme="minorHAnsi" w:cstheme="minorHAnsi"/>
          <w:b/>
          <w:bCs/>
          <w:sz w:val="28"/>
          <w:szCs w:val="32"/>
        </w:rPr>
      </w:pPr>
      <w:r w:rsidRPr="005D00AC">
        <w:rPr>
          <w:rFonts w:asciiTheme="minorHAnsi" w:hAnsiTheme="minorHAnsi" w:cstheme="minorHAnsi"/>
          <w:b/>
          <w:bCs/>
          <w:sz w:val="28"/>
          <w:szCs w:val="32"/>
        </w:rPr>
        <w:t>(UKT0018)</w:t>
      </w:r>
    </w:p>
    <w:p w:rsidR="000D5DF1">
      <w:pPr>
        <w:pStyle w:val="BodyText"/>
        <w:spacing w:before="1"/>
        <w:rPr>
          <w:sz w:val="24"/>
        </w:rPr>
      </w:pPr>
    </w:p>
    <w:p w:rsidR="005D00AC">
      <w:pPr>
        <w:pStyle w:val="Heading1"/>
        <w:spacing w:line="276" w:lineRule="auto"/>
        <w:ind w:right="111"/>
        <w:jc w:val="both"/>
        <w:rPr>
          <w:color w:val="505050"/>
        </w:rPr>
      </w:pPr>
    </w:p>
    <w:p w:rsidR="000D5DF1">
      <w:pPr>
        <w:pStyle w:val="BodyText"/>
        <w:rPr>
          <w:b/>
          <w:sz w:val="21"/>
        </w:rPr>
      </w:pPr>
    </w:p>
    <w:p w:rsidR="000D5DF1">
      <w:pPr>
        <w:pStyle w:val="BodyText"/>
        <w:spacing w:line="276" w:lineRule="auto"/>
        <w:ind w:left="100" w:right="113"/>
        <w:jc w:val="both"/>
      </w:pPr>
      <w:r>
        <w:rPr>
          <w:color w:val="505050"/>
        </w:rPr>
        <w:t>The Telecom Infra Project (TIP) is a global community of companies and organisations working together to accelerate the development and deployment of open, disaggregated, and</w:t>
      </w:r>
      <w:r>
        <w:rPr>
          <w:color w:val="505050"/>
          <w:spacing w:val="-12"/>
        </w:rPr>
        <w:t xml:space="preserve"> </w:t>
      </w:r>
      <w:r>
        <w:rPr>
          <w:color w:val="505050"/>
        </w:rPr>
        <w:t>standards-based</w:t>
      </w:r>
      <w:r>
        <w:rPr>
          <w:color w:val="505050"/>
          <w:spacing w:val="-12"/>
        </w:rPr>
        <w:t xml:space="preserve"> </w:t>
      </w:r>
      <w:r>
        <w:rPr>
          <w:color w:val="505050"/>
        </w:rPr>
        <w:t>solutions</w:t>
      </w:r>
      <w:r>
        <w:rPr>
          <w:color w:val="505050"/>
          <w:spacing w:val="-12"/>
        </w:rPr>
        <w:t xml:space="preserve"> </w:t>
      </w:r>
      <w:r>
        <w:rPr>
          <w:color w:val="505050"/>
        </w:rPr>
        <w:t>that</w:t>
      </w:r>
      <w:r>
        <w:rPr>
          <w:color w:val="505050"/>
          <w:spacing w:val="-10"/>
        </w:rPr>
        <w:t xml:space="preserve"> </w:t>
      </w:r>
      <w:r>
        <w:rPr>
          <w:color w:val="505050"/>
        </w:rPr>
        <w:t>deliver</w:t>
      </w:r>
      <w:r>
        <w:rPr>
          <w:color w:val="505050"/>
          <w:spacing w:val="-13"/>
        </w:rPr>
        <w:t xml:space="preserve"> </w:t>
      </w:r>
      <w:r>
        <w:rPr>
          <w:color w:val="505050"/>
        </w:rPr>
        <w:t>the</w:t>
      </w:r>
      <w:r>
        <w:rPr>
          <w:color w:val="505050"/>
          <w:spacing w:val="-13"/>
        </w:rPr>
        <w:t xml:space="preserve"> </w:t>
      </w:r>
      <w:r>
        <w:rPr>
          <w:color w:val="505050"/>
        </w:rPr>
        <w:t>high-quality</w:t>
      </w:r>
      <w:r>
        <w:rPr>
          <w:color w:val="505050"/>
          <w:spacing w:val="-11"/>
        </w:rPr>
        <w:t xml:space="preserve"> </w:t>
      </w:r>
      <w:r>
        <w:rPr>
          <w:color w:val="505050"/>
        </w:rPr>
        <w:t>connectivity.</w:t>
      </w:r>
      <w:r>
        <w:rPr>
          <w:color w:val="505050"/>
          <w:spacing w:val="-12"/>
        </w:rPr>
        <w:t xml:space="preserve"> </w:t>
      </w:r>
      <w:r>
        <w:rPr>
          <w:color w:val="505050"/>
        </w:rPr>
        <w:t>Founded</w:t>
      </w:r>
      <w:r>
        <w:rPr>
          <w:color w:val="505050"/>
          <w:spacing w:val="-12"/>
        </w:rPr>
        <w:t xml:space="preserve"> </w:t>
      </w:r>
      <w:r>
        <w:rPr>
          <w:color w:val="505050"/>
        </w:rPr>
        <w:t>in</w:t>
      </w:r>
      <w:r>
        <w:rPr>
          <w:color w:val="505050"/>
          <w:spacing w:val="-11"/>
        </w:rPr>
        <w:t xml:space="preserve"> </w:t>
      </w:r>
      <w:r>
        <w:rPr>
          <w:color w:val="505050"/>
        </w:rPr>
        <w:t>2016, TIP has grown into a diverse membership that includes hundreds of member</w:t>
      </w:r>
      <w:r>
        <w:rPr>
          <w:color w:val="505050"/>
          <w:spacing w:val="42"/>
        </w:rPr>
        <w:t xml:space="preserve"> </w:t>
      </w:r>
      <w:r>
        <w:rPr>
          <w:color w:val="505050"/>
        </w:rPr>
        <w:t>companies</w:t>
      </w:r>
    </w:p>
    <w:p w:rsidR="000D5DF1">
      <w:pPr>
        <w:pStyle w:val="ListParagraph"/>
        <w:numPr>
          <w:ilvl w:val="0"/>
          <w:numId w:val="2"/>
        </w:numPr>
        <w:tabs>
          <w:tab w:val="left" w:pos="305"/>
        </w:tabs>
        <w:spacing w:before="1" w:line="276" w:lineRule="auto"/>
        <w:ind w:right="120" w:firstLine="0"/>
      </w:pPr>
      <w:r>
        <w:rPr>
          <w:color w:val="505050"/>
        </w:rPr>
        <w:t>from service providers and technology partners, to system integrators and other connectivity stakeholders, academia and</w:t>
      </w:r>
      <w:r>
        <w:rPr>
          <w:color w:val="505050"/>
          <w:spacing w:val="-3"/>
        </w:rPr>
        <w:t xml:space="preserve"> </w:t>
      </w:r>
      <w:r>
        <w:rPr>
          <w:color w:val="505050"/>
        </w:rPr>
        <w:t>government.</w:t>
      </w:r>
    </w:p>
    <w:p w:rsidR="000D5DF1">
      <w:pPr>
        <w:pStyle w:val="BodyText"/>
        <w:spacing w:before="9"/>
        <w:rPr>
          <w:sz w:val="20"/>
        </w:rPr>
      </w:pPr>
    </w:p>
    <w:p w:rsidR="000D5DF1">
      <w:pPr>
        <w:pStyle w:val="BodyText"/>
        <w:spacing w:line="276" w:lineRule="auto"/>
        <w:ind w:left="100" w:right="118"/>
        <w:jc w:val="both"/>
      </w:pPr>
      <w:r>
        <w:rPr>
          <w:color w:val="505050"/>
        </w:rPr>
        <w:t>Our diverse membership allows us to offer this inquiry a perspective drawn from the broadest possible industry base, on the potential for reforming the market for telecom network equipment to improve security.</w:t>
      </w:r>
    </w:p>
    <w:p w:rsidR="000D5DF1">
      <w:pPr>
        <w:pStyle w:val="BodyText"/>
        <w:spacing w:before="11"/>
        <w:rPr>
          <w:sz w:val="20"/>
        </w:rPr>
      </w:pPr>
    </w:p>
    <w:p w:rsidR="000D5DF1">
      <w:pPr>
        <w:pStyle w:val="BodyText"/>
        <w:spacing w:line="276" w:lineRule="auto"/>
        <w:ind w:left="100" w:right="110"/>
        <w:jc w:val="both"/>
      </w:pPr>
      <w:r>
        <w:rPr>
          <w:color w:val="505050"/>
        </w:rPr>
        <w:t xml:space="preserve">We wish to direct our submission to the role that disaggregating telecommunications networks can play in increasing the competition in the market that the committee has rightly recognised as vital for British infrastructure. UK companies are playing a leading role in developing technologies that allow disaggregation, such as </w:t>
      </w:r>
      <w:r>
        <w:rPr>
          <w:color w:val="505050"/>
        </w:rPr>
        <w:t>OpenRAN</w:t>
      </w:r>
      <w:r>
        <w:rPr>
          <w:color w:val="505050"/>
        </w:rPr>
        <w:t>, and the Government’s approach can provide an opportunity to entrench this role as a global leader. We are confident the companies involved will come to be a new generation of vendors.</w:t>
      </w:r>
    </w:p>
    <w:p w:rsidR="000D5DF1">
      <w:pPr>
        <w:pStyle w:val="BodyText"/>
        <w:spacing w:before="9"/>
        <w:rPr>
          <w:sz w:val="20"/>
        </w:rPr>
      </w:pPr>
    </w:p>
    <w:p w:rsidR="000D5DF1">
      <w:pPr>
        <w:pStyle w:val="Heading1"/>
      </w:pPr>
      <w:r>
        <w:rPr>
          <w:color w:val="505050"/>
        </w:rPr>
        <w:t>About Telecom Infra Project</w:t>
      </w:r>
    </w:p>
    <w:p w:rsidR="000D5DF1">
      <w:pPr>
        <w:pStyle w:val="BodyText"/>
        <w:spacing w:before="2"/>
        <w:rPr>
          <w:b/>
          <w:sz w:val="24"/>
        </w:rPr>
      </w:pPr>
    </w:p>
    <w:p w:rsidR="000D5DF1">
      <w:pPr>
        <w:pStyle w:val="BodyText"/>
        <w:spacing w:line="276" w:lineRule="auto"/>
        <w:ind w:left="100" w:right="112"/>
        <w:jc w:val="both"/>
      </w:pPr>
      <w:r>
        <w:rPr>
          <w:color w:val="505050"/>
        </w:rPr>
        <w:t>With</w:t>
      </w:r>
      <w:r>
        <w:rPr>
          <w:color w:val="505050"/>
          <w:spacing w:val="-7"/>
        </w:rPr>
        <w:t xml:space="preserve"> </w:t>
      </w:r>
      <w:r>
        <w:rPr>
          <w:color w:val="505050"/>
        </w:rPr>
        <w:t>UK</w:t>
      </w:r>
      <w:r>
        <w:rPr>
          <w:color w:val="505050"/>
          <w:spacing w:val="-8"/>
        </w:rPr>
        <w:t xml:space="preserve"> </w:t>
      </w:r>
      <w:r>
        <w:rPr>
          <w:color w:val="505050"/>
        </w:rPr>
        <w:t>mobile</w:t>
      </w:r>
      <w:r>
        <w:rPr>
          <w:color w:val="505050"/>
          <w:spacing w:val="-5"/>
        </w:rPr>
        <w:t xml:space="preserve"> </w:t>
      </w:r>
      <w:r>
        <w:rPr>
          <w:color w:val="505050"/>
        </w:rPr>
        <w:t>network</w:t>
      </w:r>
      <w:r>
        <w:rPr>
          <w:color w:val="505050"/>
          <w:spacing w:val="-10"/>
        </w:rPr>
        <w:t xml:space="preserve"> </w:t>
      </w:r>
      <w:r>
        <w:rPr>
          <w:color w:val="505050"/>
        </w:rPr>
        <w:t>operators</w:t>
      </w:r>
      <w:r>
        <w:rPr>
          <w:color w:val="505050"/>
          <w:spacing w:val="-5"/>
        </w:rPr>
        <w:t xml:space="preserve"> </w:t>
      </w:r>
      <w:r>
        <w:rPr>
          <w:color w:val="505050"/>
        </w:rPr>
        <w:t>such</w:t>
      </w:r>
      <w:r>
        <w:rPr>
          <w:color w:val="505050"/>
          <w:spacing w:val="-8"/>
        </w:rPr>
        <w:t xml:space="preserve"> </w:t>
      </w:r>
      <w:r>
        <w:rPr>
          <w:color w:val="505050"/>
        </w:rPr>
        <w:t>as</w:t>
      </w:r>
      <w:r>
        <w:rPr>
          <w:color w:val="505050"/>
          <w:spacing w:val="-8"/>
        </w:rPr>
        <w:t xml:space="preserve"> </w:t>
      </w:r>
      <w:r>
        <w:rPr>
          <w:color w:val="505050"/>
        </w:rPr>
        <w:t>Vodafone,</w:t>
      </w:r>
      <w:r>
        <w:rPr>
          <w:color w:val="505050"/>
          <w:spacing w:val="-4"/>
        </w:rPr>
        <w:t xml:space="preserve"> </w:t>
      </w:r>
      <w:r>
        <w:rPr>
          <w:color w:val="505050"/>
        </w:rPr>
        <w:t>BT</w:t>
      </w:r>
      <w:r>
        <w:rPr>
          <w:color w:val="505050"/>
          <w:spacing w:val="-8"/>
        </w:rPr>
        <w:t xml:space="preserve"> </w:t>
      </w:r>
      <w:r>
        <w:rPr>
          <w:color w:val="505050"/>
        </w:rPr>
        <w:t>and</w:t>
      </w:r>
      <w:r>
        <w:rPr>
          <w:color w:val="505050"/>
          <w:spacing w:val="-8"/>
        </w:rPr>
        <w:t xml:space="preserve"> </w:t>
      </w:r>
      <w:r>
        <w:rPr>
          <w:color w:val="505050"/>
        </w:rPr>
        <w:t>Telefónica</w:t>
      </w:r>
      <w:r>
        <w:rPr>
          <w:color w:val="505050"/>
          <w:spacing w:val="-8"/>
        </w:rPr>
        <w:t xml:space="preserve"> </w:t>
      </w:r>
      <w:r>
        <w:rPr>
          <w:color w:val="505050"/>
        </w:rPr>
        <w:t>(O2)</w:t>
      </w:r>
      <w:r>
        <w:rPr>
          <w:color w:val="505050"/>
          <w:spacing w:val="-6"/>
        </w:rPr>
        <w:t xml:space="preserve"> </w:t>
      </w:r>
      <w:r>
        <w:rPr>
          <w:color w:val="505050"/>
        </w:rPr>
        <w:t>at</w:t>
      </w:r>
      <w:r>
        <w:rPr>
          <w:color w:val="505050"/>
          <w:spacing w:val="-4"/>
        </w:rPr>
        <w:t xml:space="preserve"> </w:t>
      </w:r>
      <w:r>
        <w:rPr>
          <w:color w:val="505050"/>
        </w:rPr>
        <w:t>its</w:t>
      </w:r>
      <w:r>
        <w:rPr>
          <w:color w:val="505050"/>
          <w:spacing w:val="-7"/>
        </w:rPr>
        <w:t xml:space="preserve"> </w:t>
      </w:r>
      <w:r>
        <w:rPr>
          <w:color w:val="505050"/>
        </w:rPr>
        <w:t xml:space="preserve">heart, TIP is taking an innovative approach to building and deploying the technology that improves global connectivity. A community of manufacturers, software makers, network operators, integrators, and others work to make the telecom </w:t>
      </w:r>
      <w:r>
        <w:rPr>
          <w:color w:val="505050"/>
        </w:rPr>
        <w:t>supply  chain</w:t>
      </w:r>
      <w:r>
        <w:rPr>
          <w:color w:val="505050"/>
        </w:rPr>
        <w:t xml:space="preserve">  more  diverse, innovative, and open, so that future digital infrastructure is brought more quickly to market for</w:t>
      </w:r>
      <w:r>
        <w:rPr>
          <w:color w:val="505050"/>
          <w:spacing w:val="-5"/>
        </w:rPr>
        <w:t xml:space="preserve"> </w:t>
      </w:r>
      <w:r>
        <w:rPr>
          <w:color w:val="505050"/>
        </w:rPr>
        <w:t>everyone.</w:t>
      </w:r>
    </w:p>
    <w:p w:rsidR="000D5DF1">
      <w:pPr>
        <w:pStyle w:val="BodyText"/>
        <w:rPr>
          <w:sz w:val="21"/>
        </w:rPr>
      </w:pPr>
    </w:p>
    <w:p w:rsidR="000D5DF1">
      <w:pPr>
        <w:pStyle w:val="BodyText"/>
        <w:spacing w:line="276" w:lineRule="auto"/>
        <w:ind w:left="100" w:right="112"/>
        <w:jc w:val="both"/>
      </w:pPr>
      <w:r>
        <w:rPr>
          <w:color w:val="505050"/>
        </w:rPr>
        <w:t>We are an engineering-led organisation focused on technological solutions and</w:t>
      </w:r>
      <w:r>
        <w:rPr>
          <w:color w:val="505050"/>
          <w:spacing w:val="-26"/>
        </w:rPr>
        <w:t xml:space="preserve"> </w:t>
      </w:r>
      <w:r>
        <w:rPr>
          <w:color w:val="505050"/>
        </w:rPr>
        <w:t>providing alternative</w:t>
      </w:r>
      <w:r>
        <w:rPr>
          <w:color w:val="505050"/>
          <w:spacing w:val="-5"/>
        </w:rPr>
        <w:t xml:space="preserve"> </w:t>
      </w:r>
      <w:r>
        <w:rPr>
          <w:color w:val="505050"/>
        </w:rPr>
        <w:t>and</w:t>
      </w:r>
      <w:r>
        <w:rPr>
          <w:color w:val="505050"/>
          <w:spacing w:val="-8"/>
        </w:rPr>
        <w:t xml:space="preserve"> </w:t>
      </w:r>
      <w:r>
        <w:rPr>
          <w:color w:val="505050"/>
        </w:rPr>
        <w:t>complementary</w:t>
      </w:r>
      <w:r>
        <w:rPr>
          <w:color w:val="505050"/>
          <w:spacing w:val="-5"/>
        </w:rPr>
        <w:t xml:space="preserve"> </w:t>
      </w:r>
      <w:r>
        <w:rPr>
          <w:color w:val="505050"/>
        </w:rPr>
        <w:t>options</w:t>
      </w:r>
      <w:r>
        <w:rPr>
          <w:color w:val="505050"/>
          <w:spacing w:val="-5"/>
        </w:rPr>
        <w:t xml:space="preserve"> </w:t>
      </w:r>
      <w:r>
        <w:rPr>
          <w:color w:val="505050"/>
        </w:rPr>
        <w:t>for</w:t>
      </w:r>
      <w:r>
        <w:rPr>
          <w:color w:val="505050"/>
          <w:spacing w:val="-4"/>
        </w:rPr>
        <w:t xml:space="preserve"> </w:t>
      </w:r>
      <w:r>
        <w:rPr>
          <w:color w:val="505050"/>
        </w:rPr>
        <w:t>connectivity.</w:t>
      </w:r>
      <w:r>
        <w:rPr>
          <w:color w:val="505050"/>
          <w:spacing w:val="-7"/>
        </w:rPr>
        <w:t xml:space="preserve"> </w:t>
      </w:r>
      <w:r>
        <w:rPr>
          <w:color w:val="505050"/>
        </w:rPr>
        <w:t>One</w:t>
      </w:r>
      <w:r>
        <w:rPr>
          <w:color w:val="505050"/>
          <w:spacing w:val="-6"/>
        </w:rPr>
        <w:t xml:space="preserve"> </w:t>
      </w:r>
      <w:r>
        <w:rPr>
          <w:color w:val="505050"/>
        </w:rPr>
        <w:t>of</w:t>
      </w:r>
      <w:r>
        <w:rPr>
          <w:color w:val="505050"/>
          <w:spacing w:val="-3"/>
        </w:rPr>
        <w:t xml:space="preserve"> </w:t>
      </w:r>
      <w:r>
        <w:rPr>
          <w:color w:val="505050"/>
        </w:rPr>
        <w:t>the</w:t>
      </w:r>
      <w:r>
        <w:rPr>
          <w:color w:val="505050"/>
          <w:spacing w:val="-6"/>
        </w:rPr>
        <w:t xml:space="preserve"> </w:t>
      </w:r>
      <w:r>
        <w:rPr>
          <w:color w:val="505050"/>
        </w:rPr>
        <w:t>central</w:t>
      </w:r>
      <w:r>
        <w:rPr>
          <w:color w:val="505050"/>
          <w:spacing w:val="-9"/>
        </w:rPr>
        <w:t xml:space="preserve"> </w:t>
      </w:r>
      <w:r>
        <w:rPr>
          <w:color w:val="505050"/>
        </w:rPr>
        <w:t>components</w:t>
      </w:r>
      <w:r>
        <w:rPr>
          <w:color w:val="505050"/>
          <w:spacing w:val="-5"/>
        </w:rPr>
        <w:t xml:space="preserve"> </w:t>
      </w:r>
      <w:r>
        <w:rPr>
          <w:color w:val="505050"/>
        </w:rPr>
        <w:t>of</w:t>
      </w:r>
    </w:p>
    <w:p w:rsidR="000D5DF1">
      <w:pPr>
        <w:pStyle w:val="BodyText"/>
        <w:rPr>
          <w:sz w:val="20"/>
        </w:rPr>
      </w:pPr>
    </w:p>
    <w:p w:rsidR="000D5DF1">
      <w:pPr>
        <w:pStyle w:val="BodyText"/>
        <w:rPr>
          <w:sz w:val="20"/>
        </w:rPr>
      </w:pPr>
    </w:p>
    <w:p w:rsidR="000D5DF1">
      <w:pPr>
        <w:pStyle w:val="BodyText"/>
        <w:rPr>
          <w:sz w:val="20"/>
        </w:rPr>
      </w:pPr>
    </w:p>
    <w:p w:rsidR="000D5DF1">
      <w:pPr>
        <w:pStyle w:val="BodyText"/>
        <w:spacing w:before="9"/>
      </w:pPr>
    </w:p>
    <w:p w:rsidR="000D5DF1">
      <w:pPr>
        <w:jc w:val="center"/>
        <w:rPr>
          <w:rFonts w:ascii="Gadugi"/>
          <w:sz w:val="18"/>
        </w:rPr>
        <w:sectPr>
          <w:type w:val="continuous"/>
          <w:pgSz w:w="12240" w:h="15840"/>
          <w:pgMar w:top="1060" w:right="1680" w:bottom="280" w:left="1700" w:header="720" w:footer="720" w:gutter="0"/>
          <w:cols w:space="720"/>
        </w:sectPr>
      </w:pPr>
    </w:p>
    <w:p w:rsidR="000D5DF1">
      <w:pPr>
        <w:pStyle w:val="BodyText"/>
        <w:spacing w:before="80" w:line="276" w:lineRule="auto"/>
        <w:ind w:left="100" w:right="115"/>
        <w:jc w:val="both"/>
      </w:pPr>
      <w:r>
        <w:rPr>
          <w:color w:val="505050"/>
        </w:rPr>
        <w:t>our organisation is our TIP Community Labs - physical spaces that enable collaboration between member companies to develop new solutions. We host one of our community labs in Ipswich, sponsored by BT and another, sponsored by Facebook, in London.</w:t>
      </w:r>
    </w:p>
    <w:p w:rsidR="000D5DF1">
      <w:pPr>
        <w:pStyle w:val="BodyText"/>
        <w:spacing w:before="11"/>
        <w:rPr>
          <w:sz w:val="20"/>
        </w:rPr>
      </w:pPr>
    </w:p>
    <w:p w:rsidR="000D5DF1">
      <w:pPr>
        <w:pStyle w:val="BodyText"/>
        <w:spacing w:line="276" w:lineRule="auto"/>
        <w:ind w:left="100" w:right="120"/>
        <w:jc w:val="both"/>
      </w:pPr>
      <w:r>
        <w:rPr>
          <w:color w:val="505050"/>
        </w:rPr>
        <w:t>TIP’s</w:t>
      </w:r>
      <w:r>
        <w:rPr>
          <w:color w:val="505050"/>
          <w:spacing w:val="-16"/>
        </w:rPr>
        <w:t xml:space="preserve"> </w:t>
      </w:r>
      <w:r>
        <w:rPr>
          <w:color w:val="505050"/>
        </w:rPr>
        <w:t>ecosystem</w:t>
      </w:r>
      <w:r>
        <w:rPr>
          <w:color w:val="505050"/>
          <w:spacing w:val="-17"/>
        </w:rPr>
        <w:t xml:space="preserve"> </w:t>
      </w:r>
      <w:r>
        <w:rPr>
          <w:color w:val="505050"/>
        </w:rPr>
        <w:t>sees</w:t>
      </w:r>
      <w:r>
        <w:rPr>
          <w:color w:val="505050"/>
          <w:spacing w:val="-19"/>
        </w:rPr>
        <w:t xml:space="preserve"> </w:t>
      </w:r>
      <w:r>
        <w:rPr>
          <w:color w:val="505050"/>
        </w:rPr>
        <w:t>three</w:t>
      </w:r>
      <w:r>
        <w:rPr>
          <w:color w:val="505050"/>
          <w:spacing w:val="-16"/>
        </w:rPr>
        <w:t xml:space="preserve"> </w:t>
      </w:r>
      <w:r>
        <w:rPr>
          <w:color w:val="505050"/>
        </w:rPr>
        <w:t>broad</w:t>
      </w:r>
      <w:r>
        <w:rPr>
          <w:color w:val="505050"/>
          <w:spacing w:val="-18"/>
        </w:rPr>
        <w:t xml:space="preserve"> </w:t>
      </w:r>
      <w:r>
        <w:rPr>
          <w:color w:val="505050"/>
        </w:rPr>
        <w:t>areas</w:t>
      </w:r>
      <w:r>
        <w:rPr>
          <w:color w:val="505050"/>
          <w:spacing w:val="-18"/>
        </w:rPr>
        <w:t xml:space="preserve"> </w:t>
      </w:r>
      <w:r>
        <w:rPr>
          <w:color w:val="505050"/>
        </w:rPr>
        <w:t>where</w:t>
      </w:r>
      <w:r>
        <w:rPr>
          <w:color w:val="505050"/>
          <w:spacing w:val="-18"/>
        </w:rPr>
        <w:t xml:space="preserve"> </w:t>
      </w:r>
      <w:r>
        <w:rPr>
          <w:color w:val="505050"/>
        </w:rPr>
        <w:t>disaggregation</w:t>
      </w:r>
      <w:r>
        <w:rPr>
          <w:color w:val="505050"/>
          <w:spacing w:val="-18"/>
        </w:rPr>
        <w:t xml:space="preserve"> </w:t>
      </w:r>
      <w:r>
        <w:rPr>
          <w:color w:val="505050"/>
        </w:rPr>
        <w:t>and</w:t>
      </w:r>
      <w:r>
        <w:rPr>
          <w:color w:val="505050"/>
          <w:spacing w:val="-18"/>
        </w:rPr>
        <w:t xml:space="preserve"> </w:t>
      </w:r>
      <w:r>
        <w:rPr>
          <w:color w:val="505050"/>
        </w:rPr>
        <w:t>deeper</w:t>
      </w:r>
      <w:r>
        <w:rPr>
          <w:color w:val="505050"/>
          <w:spacing w:val="-17"/>
        </w:rPr>
        <w:t xml:space="preserve"> </w:t>
      </w:r>
      <w:r>
        <w:rPr>
          <w:color w:val="505050"/>
        </w:rPr>
        <w:t>interoperability will enable better end to end network</w:t>
      </w:r>
      <w:r>
        <w:rPr>
          <w:color w:val="505050"/>
          <w:spacing w:val="-5"/>
        </w:rPr>
        <w:t xml:space="preserve"> </w:t>
      </w:r>
      <w:r>
        <w:rPr>
          <w:color w:val="505050"/>
        </w:rPr>
        <w:t>solutions:</w:t>
      </w:r>
    </w:p>
    <w:p w:rsidR="000D5DF1">
      <w:pPr>
        <w:pStyle w:val="BodyText"/>
        <w:spacing w:before="9"/>
        <w:rPr>
          <w:sz w:val="20"/>
        </w:rPr>
      </w:pPr>
    </w:p>
    <w:p w:rsidR="000D5DF1">
      <w:pPr>
        <w:pStyle w:val="ListParagraph"/>
        <w:numPr>
          <w:ilvl w:val="1"/>
          <w:numId w:val="2"/>
        </w:numPr>
        <w:tabs>
          <w:tab w:val="left" w:pos="809"/>
        </w:tabs>
        <w:ind w:right="111" w:hanging="360"/>
      </w:pPr>
      <w:r>
        <w:rPr>
          <w:b/>
          <w:color w:val="505050"/>
        </w:rPr>
        <w:t xml:space="preserve">Access – </w:t>
      </w:r>
      <w:r>
        <w:rPr>
          <w:color w:val="505050"/>
        </w:rPr>
        <w:t xml:space="preserve">Our Access Project Groups focus on finding new and refining old ways that providers can use to connect users. Major projects include: </w:t>
      </w:r>
      <w:r>
        <w:rPr>
          <w:color w:val="505050"/>
        </w:rPr>
        <w:t>OpenRAN</w:t>
      </w:r>
      <w:r>
        <w:rPr>
          <w:color w:val="505050"/>
        </w:rPr>
        <w:t>, a</w:t>
      </w:r>
      <w:r>
        <w:rPr>
          <w:color w:val="505050"/>
          <w:spacing w:val="-35"/>
        </w:rPr>
        <w:t xml:space="preserve"> </w:t>
      </w:r>
      <w:r>
        <w:rPr>
          <w:color w:val="505050"/>
        </w:rPr>
        <w:t>new open</w:t>
      </w:r>
      <w:r>
        <w:rPr>
          <w:color w:val="505050"/>
          <w:spacing w:val="-14"/>
        </w:rPr>
        <w:t xml:space="preserve"> </w:t>
      </w:r>
      <w:r>
        <w:rPr>
          <w:color w:val="505050"/>
        </w:rPr>
        <w:t>architecture</w:t>
      </w:r>
      <w:r>
        <w:rPr>
          <w:color w:val="505050"/>
          <w:spacing w:val="-16"/>
        </w:rPr>
        <w:t xml:space="preserve"> </w:t>
      </w:r>
      <w:r>
        <w:rPr>
          <w:color w:val="505050"/>
        </w:rPr>
        <w:t>for</w:t>
      </w:r>
      <w:r>
        <w:rPr>
          <w:color w:val="505050"/>
          <w:spacing w:val="-14"/>
        </w:rPr>
        <w:t xml:space="preserve"> </w:t>
      </w:r>
      <w:r>
        <w:rPr>
          <w:color w:val="505050"/>
        </w:rPr>
        <w:t>radio</w:t>
      </w:r>
      <w:r>
        <w:rPr>
          <w:color w:val="505050"/>
          <w:spacing w:val="-13"/>
        </w:rPr>
        <w:t xml:space="preserve"> </w:t>
      </w:r>
      <w:r>
        <w:rPr>
          <w:color w:val="505050"/>
        </w:rPr>
        <w:t>access</w:t>
      </w:r>
      <w:r>
        <w:rPr>
          <w:color w:val="505050"/>
          <w:spacing w:val="-16"/>
        </w:rPr>
        <w:t xml:space="preserve"> </w:t>
      </w:r>
      <w:r>
        <w:rPr>
          <w:color w:val="505050"/>
        </w:rPr>
        <w:t>networks</w:t>
      </w:r>
      <w:r>
        <w:rPr>
          <w:color w:val="505050"/>
          <w:spacing w:val="-15"/>
        </w:rPr>
        <w:t xml:space="preserve"> </w:t>
      </w:r>
      <w:r>
        <w:rPr>
          <w:color w:val="505050"/>
        </w:rPr>
        <w:t>(on</w:t>
      </w:r>
      <w:r>
        <w:rPr>
          <w:color w:val="505050"/>
          <w:spacing w:val="-13"/>
        </w:rPr>
        <w:t xml:space="preserve"> </w:t>
      </w:r>
      <w:r>
        <w:rPr>
          <w:color w:val="505050"/>
        </w:rPr>
        <w:t>which</w:t>
      </w:r>
      <w:r>
        <w:rPr>
          <w:color w:val="505050"/>
          <w:spacing w:val="-13"/>
        </w:rPr>
        <w:t xml:space="preserve"> </w:t>
      </w:r>
      <w:r>
        <w:rPr>
          <w:color w:val="505050"/>
        </w:rPr>
        <w:t>more</w:t>
      </w:r>
      <w:r>
        <w:rPr>
          <w:color w:val="505050"/>
          <w:spacing w:val="-16"/>
        </w:rPr>
        <w:t xml:space="preserve"> </w:t>
      </w:r>
      <w:r>
        <w:rPr>
          <w:color w:val="505050"/>
        </w:rPr>
        <w:t>below);</w:t>
      </w:r>
      <w:r>
        <w:rPr>
          <w:color w:val="505050"/>
          <w:spacing w:val="-14"/>
        </w:rPr>
        <w:t xml:space="preserve"> </w:t>
      </w:r>
      <w:r>
        <w:rPr>
          <w:color w:val="505050"/>
        </w:rPr>
        <w:t>Open</w:t>
      </w:r>
      <w:r>
        <w:rPr>
          <w:color w:val="505050"/>
          <w:spacing w:val="-19"/>
        </w:rPr>
        <w:t xml:space="preserve"> </w:t>
      </w:r>
      <w:r>
        <w:rPr>
          <w:color w:val="505050"/>
        </w:rPr>
        <w:t xml:space="preserve">Cellular, solutions for sustainable community cellular infrastructure in rural areas; </w:t>
      </w:r>
      <w:r>
        <w:rPr>
          <w:color w:val="505050"/>
        </w:rPr>
        <w:t>vRAN</w:t>
      </w:r>
      <w:r>
        <w:rPr>
          <w:color w:val="505050"/>
        </w:rPr>
        <w:t xml:space="preserve"> Fronthaul, which focuses on improving connections between cell sites and centralised baseband units in virtualised networks; and Wi-Fi, which focuses on improving the capabilities of managed Wi-Fi deployment and interoperability for offloading of mobile</w:t>
      </w:r>
      <w:r>
        <w:rPr>
          <w:color w:val="505050"/>
          <w:spacing w:val="-4"/>
        </w:rPr>
        <w:t xml:space="preserve"> </w:t>
      </w:r>
      <w:r>
        <w:rPr>
          <w:color w:val="505050"/>
        </w:rPr>
        <w:t>traffic.</w:t>
      </w:r>
    </w:p>
    <w:p w:rsidR="000D5DF1">
      <w:pPr>
        <w:pStyle w:val="ListParagraph"/>
        <w:numPr>
          <w:ilvl w:val="1"/>
          <w:numId w:val="2"/>
        </w:numPr>
        <w:tabs>
          <w:tab w:val="left" w:pos="809"/>
        </w:tabs>
        <w:ind w:right="115" w:hanging="360"/>
      </w:pPr>
      <w:r>
        <w:rPr>
          <w:b/>
          <w:color w:val="505050"/>
        </w:rPr>
        <w:t xml:space="preserve">Transport – </w:t>
      </w:r>
      <w:r>
        <w:rPr>
          <w:color w:val="505050"/>
        </w:rPr>
        <w:t>Our Transport Project Groups work to improve the technologies that let</w:t>
      </w:r>
      <w:r>
        <w:rPr>
          <w:color w:val="505050"/>
          <w:spacing w:val="-10"/>
        </w:rPr>
        <w:t xml:space="preserve"> </w:t>
      </w:r>
      <w:r>
        <w:rPr>
          <w:color w:val="505050"/>
        </w:rPr>
        <w:t>operators</w:t>
      </w:r>
      <w:r>
        <w:rPr>
          <w:color w:val="505050"/>
          <w:spacing w:val="-13"/>
        </w:rPr>
        <w:t xml:space="preserve"> </w:t>
      </w:r>
      <w:r>
        <w:rPr>
          <w:color w:val="505050"/>
        </w:rPr>
        <w:t>route</w:t>
      </w:r>
      <w:r>
        <w:rPr>
          <w:color w:val="505050"/>
          <w:spacing w:val="-11"/>
        </w:rPr>
        <w:t xml:space="preserve"> </w:t>
      </w:r>
      <w:r>
        <w:rPr>
          <w:color w:val="505050"/>
        </w:rPr>
        <w:t>and</w:t>
      </w:r>
      <w:r>
        <w:rPr>
          <w:color w:val="505050"/>
          <w:spacing w:val="-13"/>
        </w:rPr>
        <w:t xml:space="preserve"> </w:t>
      </w:r>
      <w:r>
        <w:rPr>
          <w:color w:val="505050"/>
        </w:rPr>
        <w:t>deliver</w:t>
      </w:r>
      <w:r>
        <w:rPr>
          <w:color w:val="505050"/>
          <w:spacing w:val="-10"/>
        </w:rPr>
        <w:t xml:space="preserve"> </w:t>
      </w:r>
      <w:r>
        <w:rPr>
          <w:color w:val="505050"/>
        </w:rPr>
        <w:t>traffic</w:t>
      </w:r>
      <w:r>
        <w:rPr>
          <w:color w:val="505050"/>
          <w:spacing w:val="-13"/>
        </w:rPr>
        <w:t xml:space="preserve"> </w:t>
      </w:r>
      <w:r>
        <w:rPr>
          <w:color w:val="505050"/>
        </w:rPr>
        <w:t>across</w:t>
      </w:r>
      <w:r>
        <w:rPr>
          <w:color w:val="505050"/>
          <w:spacing w:val="-12"/>
        </w:rPr>
        <w:t xml:space="preserve"> </w:t>
      </w:r>
      <w:r>
        <w:rPr>
          <w:color w:val="505050"/>
        </w:rPr>
        <w:t>their</w:t>
      </w:r>
      <w:r>
        <w:rPr>
          <w:color w:val="505050"/>
          <w:spacing w:val="-13"/>
        </w:rPr>
        <w:t xml:space="preserve"> </w:t>
      </w:r>
      <w:r>
        <w:rPr>
          <w:color w:val="505050"/>
        </w:rPr>
        <w:t>network</w:t>
      </w:r>
      <w:r>
        <w:rPr>
          <w:color w:val="505050"/>
          <w:spacing w:val="-13"/>
        </w:rPr>
        <w:t xml:space="preserve"> </w:t>
      </w:r>
      <w:r>
        <w:rPr>
          <w:color w:val="505050"/>
        </w:rPr>
        <w:t>to</w:t>
      </w:r>
      <w:r>
        <w:rPr>
          <w:color w:val="505050"/>
          <w:spacing w:val="-13"/>
        </w:rPr>
        <w:t xml:space="preserve"> </w:t>
      </w:r>
      <w:r>
        <w:rPr>
          <w:color w:val="505050"/>
        </w:rPr>
        <w:t>satisfy</w:t>
      </w:r>
      <w:r>
        <w:rPr>
          <w:color w:val="505050"/>
          <w:spacing w:val="-11"/>
        </w:rPr>
        <w:t xml:space="preserve"> </w:t>
      </w:r>
      <w:r>
        <w:rPr>
          <w:color w:val="505050"/>
        </w:rPr>
        <w:t>ever</w:t>
      </w:r>
      <w:r>
        <w:rPr>
          <w:color w:val="505050"/>
          <w:spacing w:val="-10"/>
        </w:rPr>
        <w:t xml:space="preserve"> </w:t>
      </w:r>
      <w:r>
        <w:rPr>
          <w:color w:val="505050"/>
        </w:rPr>
        <w:t>increasing demand. Major projects include: Open Optical and Packet Transport (OOPT), which works to accelerate innovation in IP and Optical networks; and Wireless Backhaul (WBH), which builds new wireless solutions to transmit network traffic from the edge of a network to the core more</w:t>
      </w:r>
      <w:r>
        <w:rPr>
          <w:color w:val="505050"/>
          <w:spacing w:val="-14"/>
        </w:rPr>
        <w:t xml:space="preserve"> </w:t>
      </w:r>
      <w:r>
        <w:rPr>
          <w:color w:val="505050"/>
        </w:rPr>
        <w:t>efficiently.</w:t>
      </w:r>
    </w:p>
    <w:p w:rsidR="000D5DF1">
      <w:pPr>
        <w:pStyle w:val="ListParagraph"/>
        <w:numPr>
          <w:ilvl w:val="1"/>
          <w:numId w:val="2"/>
        </w:numPr>
        <w:tabs>
          <w:tab w:val="left" w:pos="809"/>
        </w:tabs>
        <w:spacing w:before="1"/>
        <w:ind w:right="114" w:hanging="360"/>
      </w:pPr>
      <w:r>
        <w:rPr>
          <w:b/>
          <w:color w:val="505050"/>
        </w:rPr>
        <w:t xml:space="preserve">Core and Services – </w:t>
      </w:r>
      <w:r>
        <w:rPr>
          <w:color w:val="505050"/>
        </w:rPr>
        <w:t>Our Core and Services Project Groups develop solutions</w:t>
      </w:r>
      <w:r>
        <w:rPr>
          <w:color w:val="505050"/>
          <w:spacing w:val="-20"/>
        </w:rPr>
        <w:t xml:space="preserve"> </w:t>
      </w:r>
      <w:r>
        <w:rPr>
          <w:color w:val="505050"/>
        </w:rPr>
        <w:t>to help operators manage their networks more efficiently and develop new services. Major projects include: Edge Application Developer, which aims to improve the capabilities of providers to support and host new end-user services; Open Core Network,</w:t>
      </w:r>
      <w:r>
        <w:rPr>
          <w:color w:val="505050"/>
          <w:spacing w:val="-15"/>
        </w:rPr>
        <w:t xml:space="preserve"> </w:t>
      </w:r>
      <w:r>
        <w:rPr>
          <w:color w:val="505050"/>
        </w:rPr>
        <w:t>which</w:t>
      </w:r>
      <w:r>
        <w:rPr>
          <w:color w:val="505050"/>
          <w:spacing w:val="-12"/>
        </w:rPr>
        <w:t xml:space="preserve"> </w:t>
      </w:r>
      <w:r>
        <w:rPr>
          <w:color w:val="505050"/>
        </w:rPr>
        <w:t>focuses</w:t>
      </w:r>
      <w:r>
        <w:rPr>
          <w:color w:val="505050"/>
          <w:spacing w:val="-18"/>
        </w:rPr>
        <w:t xml:space="preserve"> </w:t>
      </w:r>
      <w:r>
        <w:rPr>
          <w:color w:val="505050"/>
        </w:rPr>
        <w:t>on</w:t>
      </w:r>
      <w:r>
        <w:rPr>
          <w:color w:val="505050"/>
          <w:spacing w:val="-13"/>
        </w:rPr>
        <w:t xml:space="preserve"> </w:t>
      </w:r>
      <w:r>
        <w:rPr>
          <w:color w:val="505050"/>
        </w:rPr>
        <w:t>decentralizing</w:t>
      </w:r>
      <w:r>
        <w:rPr>
          <w:color w:val="505050"/>
          <w:spacing w:val="-13"/>
        </w:rPr>
        <w:t xml:space="preserve"> </w:t>
      </w:r>
      <w:r>
        <w:rPr>
          <w:color w:val="505050"/>
        </w:rPr>
        <w:t>virtualised</w:t>
      </w:r>
      <w:r>
        <w:rPr>
          <w:color w:val="505050"/>
          <w:spacing w:val="-13"/>
        </w:rPr>
        <w:t xml:space="preserve"> </w:t>
      </w:r>
      <w:r>
        <w:rPr>
          <w:color w:val="505050"/>
        </w:rPr>
        <w:t>components</w:t>
      </w:r>
      <w:r>
        <w:rPr>
          <w:color w:val="505050"/>
          <w:spacing w:val="-12"/>
        </w:rPr>
        <w:t xml:space="preserve"> </w:t>
      </w:r>
      <w:r>
        <w:rPr>
          <w:color w:val="505050"/>
        </w:rPr>
        <w:t>of</w:t>
      </w:r>
      <w:r>
        <w:rPr>
          <w:color w:val="505050"/>
          <w:spacing w:val="-11"/>
        </w:rPr>
        <w:t xml:space="preserve"> </w:t>
      </w:r>
      <w:r>
        <w:rPr>
          <w:color w:val="505050"/>
        </w:rPr>
        <w:t>how</w:t>
      </w:r>
      <w:r>
        <w:rPr>
          <w:color w:val="505050"/>
          <w:spacing w:val="-13"/>
        </w:rPr>
        <w:t xml:space="preserve"> </w:t>
      </w:r>
      <w:r>
        <w:rPr>
          <w:color w:val="505050"/>
        </w:rPr>
        <w:t>providers manage core functions of their network; and End-to-End Network Slicing, which identifies, develops, and demonstrates applications of discrete, bespoke, fully virtualised specialised services within a single telecom</w:t>
      </w:r>
      <w:r>
        <w:rPr>
          <w:color w:val="505050"/>
          <w:spacing w:val="-5"/>
        </w:rPr>
        <w:t xml:space="preserve"> </w:t>
      </w:r>
      <w:r>
        <w:rPr>
          <w:color w:val="505050"/>
        </w:rPr>
        <w:t>network.</w:t>
      </w:r>
    </w:p>
    <w:p w:rsidR="000D5DF1">
      <w:pPr>
        <w:pStyle w:val="BodyText"/>
        <w:spacing w:before="10"/>
        <w:rPr>
          <w:sz w:val="21"/>
        </w:rPr>
      </w:pPr>
    </w:p>
    <w:p w:rsidR="000D5DF1">
      <w:pPr>
        <w:pStyle w:val="BodyText"/>
        <w:spacing w:before="1" w:line="276" w:lineRule="auto"/>
        <w:ind w:left="100" w:right="112"/>
        <w:jc w:val="both"/>
      </w:pPr>
      <w:r>
        <w:rPr>
          <w:color w:val="505050"/>
        </w:rPr>
        <w:t xml:space="preserve">One of the most mature technologies used by TIP members to develop solutions is </w:t>
      </w:r>
      <w:r>
        <w:rPr>
          <w:color w:val="505050"/>
        </w:rPr>
        <w:t>OpenRAN</w:t>
      </w:r>
      <w:r>
        <w:rPr>
          <w:color w:val="505050"/>
        </w:rPr>
        <w:t>,</w:t>
      </w:r>
      <w:r>
        <w:rPr>
          <w:color w:val="505050"/>
          <w:spacing w:val="-6"/>
        </w:rPr>
        <w:t xml:space="preserve"> </w:t>
      </w:r>
      <w:r>
        <w:rPr>
          <w:color w:val="505050"/>
        </w:rPr>
        <w:t>an</w:t>
      </w:r>
      <w:r>
        <w:rPr>
          <w:color w:val="505050"/>
          <w:spacing w:val="-9"/>
        </w:rPr>
        <w:t xml:space="preserve"> </w:t>
      </w:r>
      <w:r>
        <w:rPr>
          <w:color w:val="505050"/>
        </w:rPr>
        <w:t>innovative,</w:t>
      </w:r>
      <w:r>
        <w:rPr>
          <w:color w:val="505050"/>
          <w:spacing w:val="-5"/>
        </w:rPr>
        <w:t xml:space="preserve"> </w:t>
      </w:r>
      <w:r>
        <w:rPr>
          <w:color w:val="505050"/>
        </w:rPr>
        <w:t>disaggregated</w:t>
      </w:r>
      <w:r>
        <w:rPr>
          <w:color w:val="505050"/>
          <w:spacing w:val="-9"/>
        </w:rPr>
        <w:t xml:space="preserve"> </w:t>
      </w:r>
      <w:r>
        <w:rPr>
          <w:color w:val="505050"/>
        </w:rPr>
        <w:t>way</w:t>
      </w:r>
      <w:r>
        <w:rPr>
          <w:color w:val="505050"/>
          <w:spacing w:val="-6"/>
        </w:rPr>
        <w:t xml:space="preserve"> </w:t>
      </w:r>
      <w:r>
        <w:rPr>
          <w:color w:val="505050"/>
        </w:rPr>
        <w:t>of</w:t>
      </w:r>
      <w:r>
        <w:rPr>
          <w:color w:val="505050"/>
          <w:spacing w:val="-5"/>
        </w:rPr>
        <w:t xml:space="preserve"> </w:t>
      </w:r>
      <w:r>
        <w:rPr>
          <w:color w:val="505050"/>
        </w:rPr>
        <w:t>designing</w:t>
      </w:r>
      <w:r>
        <w:rPr>
          <w:color w:val="505050"/>
          <w:spacing w:val="-5"/>
        </w:rPr>
        <w:t xml:space="preserve"> </w:t>
      </w:r>
      <w:r>
        <w:rPr>
          <w:color w:val="505050"/>
        </w:rPr>
        <w:t>a</w:t>
      </w:r>
      <w:r>
        <w:rPr>
          <w:color w:val="505050"/>
          <w:spacing w:val="-6"/>
        </w:rPr>
        <w:t xml:space="preserve"> </w:t>
      </w:r>
      <w:r>
        <w:rPr>
          <w:color w:val="505050"/>
        </w:rPr>
        <w:t>significant</w:t>
      </w:r>
      <w:r>
        <w:rPr>
          <w:color w:val="505050"/>
          <w:spacing w:val="-7"/>
        </w:rPr>
        <w:t xml:space="preserve"> </w:t>
      </w:r>
      <w:r>
        <w:rPr>
          <w:color w:val="505050"/>
        </w:rPr>
        <w:t>section</w:t>
      </w:r>
      <w:r>
        <w:rPr>
          <w:color w:val="505050"/>
          <w:spacing w:val="-7"/>
        </w:rPr>
        <w:t xml:space="preserve"> </w:t>
      </w:r>
      <w:r>
        <w:rPr>
          <w:color w:val="505050"/>
        </w:rPr>
        <w:t>of</w:t>
      </w:r>
      <w:r>
        <w:rPr>
          <w:color w:val="505050"/>
          <w:spacing w:val="-9"/>
        </w:rPr>
        <w:t xml:space="preserve"> </w:t>
      </w:r>
      <w:r>
        <w:rPr>
          <w:color w:val="505050"/>
        </w:rPr>
        <w:t>telecom networks.</w:t>
      </w:r>
    </w:p>
    <w:p w:rsidR="000D5DF1">
      <w:pPr>
        <w:pStyle w:val="BodyText"/>
        <w:spacing w:before="10"/>
        <w:rPr>
          <w:sz w:val="20"/>
        </w:rPr>
      </w:pPr>
    </w:p>
    <w:p w:rsidR="000D5DF1">
      <w:pPr>
        <w:pStyle w:val="Heading1"/>
      </w:pPr>
      <w:r>
        <w:rPr>
          <w:color w:val="505050"/>
        </w:rPr>
        <w:t>OpenRAN</w:t>
      </w:r>
    </w:p>
    <w:p w:rsidR="000D5DF1">
      <w:pPr>
        <w:pStyle w:val="BodyText"/>
        <w:spacing w:before="2"/>
        <w:rPr>
          <w:b/>
          <w:sz w:val="24"/>
        </w:rPr>
      </w:pPr>
    </w:p>
    <w:p w:rsidR="000D5DF1">
      <w:pPr>
        <w:pStyle w:val="BodyText"/>
        <w:spacing w:line="276" w:lineRule="auto"/>
        <w:ind w:left="100" w:right="114"/>
        <w:jc w:val="both"/>
      </w:pPr>
      <w:r>
        <w:rPr>
          <w:color w:val="505050"/>
        </w:rPr>
        <w:t>OpenRAN</w:t>
      </w:r>
      <w:r>
        <w:rPr>
          <w:color w:val="505050"/>
          <w:spacing w:val="-6"/>
        </w:rPr>
        <w:t xml:space="preserve"> </w:t>
      </w:r>
      <w:r>
        <w:rPr>
          <w:color w:val="505050"/>
        </w:rPr>
        <w:t>is</w:t>
      </w:r>
      <w:r>
        <w:rPr>
          <w:color w:val="505050"/>
          <w:spacing w:val="-5"/>
        </w:rPr>
        <w:t xml:space="preserve"> </w:t>
      </w:r>
      <w:r>
        <w:rPr>
          <w:color w:val="505050"/>
        </w:rPr>
        <w:t>the</w:t>
      </w:r>
      <w:r>
        <w:rPr>
          <w:color w:val="505050"/>
          <w:spacing w:val="-6"/>
        </w:rPr>
        <w:t xml:space="preserve"> </w:t>
      </w:r>
      <w:r>
        <w:rPr>
          <w:color w:val="505050"/>
        </w:rPr>
        <w:t>term</w:t>
      </w:r>
      <w:r>
        <w:rPr>
          <w:color w:val="505050"/>
          <w:spacing w:val="-4"/>
        </w:rPr>
        <w:t xml:space="preserve"> </w:t>
      </w:r>
      <w:r>
        <w:rPr>
          <w:color w:val="505050"/>
        </w:rPr>
        <w:t>used</w:t>
      </w:r>
      <w:r>
        <w:rPr>
          <w:color w:val="505050"/>
          <w:spacing w:val="-6"/>
        </w:rPr>
        <w:t xml:space="preserve"> </w:t>
      </w:r>
      <w:r>
        <w:rPr>
          <w:color w:val="505050"/>
        </w:rPr>
        <w:t>to</w:t>
      </w:r>
      <w:r>
        <w:rPr>
          <w:color w:val="505050"/>
          <w:spacing w:val="-4"/>
        </w:rPr>
        <w:t xml:space="preserve"> </w:t>
      </w:r>
      <w:r>
        <w:rPr>
          <w:color w:val="505050"/>
        </w:rPr>
        <w:t>describe</w:t>
      </w:r>
      <w:r>
        <w:rPr>
          <w:color w:val="505050"/>
          <w:spacing w:val="-6"/>
        </w:rPr>
        <w:t xml:space="preserve"> </w:t>
      </w:r>
      <w:r>
        <w:rPr>
          <w:color w:val="505050"/>
        </w:rPr>
        <w:t>a</w:t>
      </w:r>
      <w:r>
        <w:rPr>
          <w:color w:val="505050"/>
          <w:spacing w:val="-5"/>
        </w:rPr>
        <w:t xml:space="preserve"> </w:t>
      </w:r>
      <w:r>
        <w:rPr>
          <w:color w:val="505050"/>
        </w:rPr>
        <w:t>new</w:t>
      </w:r>
      <w:r>
        <w:rPr>
          <w:color w:val="505050"/>
          <w:spacing w:val="-6"/>
        </w:rPr>
        <w:t xml:space="preserve"> </w:t>
      </w:r>
      <w:r>
        <w:rPr>
          <w:color w:val="505050"/>
        </w:rPr>
        <w:t>way</w:t>
      </w:r>
      <w:r>
        <w:rPr>
          <w:color w:val="505050"/>
          <w:spacing w:val="-5"/>
        </w:rPr>
        <w:t xml:space="preserve"> </w:t>
      </w:r>
      <w:r>
        <w:rPr>
          <w:color w:val="505050"/>
        </w:rPr>
        <w:t>of</w:t>
      </w:r>
      <w:r>
        <w:rPr>
          <w:color w:val="505050"/>
          <w:spacing w:val="-4"/>
        </w:rPr>
        <w:t xml:space="preserve"> </w:t>
      </w:r>
      <w:r>
        <w:rPr>
          <w:color w:val="505050"/>
        </w:rPr>
        <w:t>structuring</w:t>
      </w:r>
      <w:r>
        <w:rPr>
          <w:color w:val="505050"/>
          <w:spacing w:val="-4"/>
        </w:rPr>
        <w:t xml:space="preserve"> </w:t>
      </w:r>
      <w:r>
        <w:rPr>
          <w:color w:val="505050"/>
        </w:rPr>
        <w:t>the</w:t>
      </w:r>
      <w:r>
        <w:rPr>
          <w:color w:val="505050"/>
          <w:spacing w:val="-8"/>
        </w:rPr>
        <w:t xml:space="preserve"> </w:t>
      </w:r>
      <w:r>
        <w:rPr>
          <w:color w:val="505050"/>
        </w:rPr>
        <w:t>radio</w:t>
      </w:r>
      <w:r>
        <w:rPr>
          <w:color w:val="505050"/>
          <w:spacing w:val="-8"/>
        </w:rPr>
        <w:t xml:space="preserve"> </w:t>
      </w:r>
      <w:r>
        <w:rPr>
          <w:color w:val="505050"/>
        </w:rPr>
        <w:t>access</w:t>
      </w:r>
      <w:r>
        <w:rPr>
          <w:color w:val="505050"/>
          <w:spacing w:val="-5"/>
        </w:rPr>
        <w:t xml:space="preserve"> </w:t>
      </w:r>
      <w:r>
        <w:rPr>
          <w:color w:val="505050"/>
        </w:rPr>
        <w:t>network (RAN)</w:t>
      </w:r>
      <w:r>
        <w:rPr>
          <w:color w:val="505050"/>
          <w:spacing w:val="-15"/>
        </w:rPr>
        <w:t xml:space="preserve"> </w:t>
      </w:r>
      <w:r>
        <w:rPr>
          <w:color w:val="505050"/>
        </w:rPr>
        <w:t>equipment</w:t>
      </w:r>
      <w:r>
        <w:rPr>
          <w:color w:val="505050"/>
          <w:spacing w:val="-14"/>
        </w:rPr>
        <w:t xml:space="preserve"> </w:t>
      </w:r>
      <w:r>
        <w:rPr>
          <w:color w:val="505050"/>
        </w:rPr>
        <w:t>in</w:t>
      </w:r>
      <w:r>
        <w:rPr>
          <w:color w:val="505050"/>
          <w:spacing w:val="-16"/>
        </w:rPr>
        <w:t xml:space="preserve"> </w:t>
      </w:r>
      <w:r>
        <w:rPr>
          <w:color w:val="505050"/>
        </w:rPr>
        <w:t>mobile</w:t>
      </w:r>
      <w:r>
        <w:rPr>
          <w:color w:val="505050"/>
          <w:spacing w:val="-15"/>
        </w:rPr>
        <w:t xml:space="preserve"> </w:t>
      </w:r>
      <w:r>
        <w:rPr>
          <w:color w:val="505050"/>
        </w:rPr>
        <w:t>networks.</w:t>
      </w:r>
      <w:r>
        <w:rPr>
          <w:color w:val="505050"/>
          <w:spacing w:val="-15"/>
        </w:rPr>
        <w:t xml:space="preserve"> </w:t>
      </w:r>
      <w:r>
        <w:rPr>
          <w:color w:val="505050"/>
        </w:rPr>
        <w:t>RAN</w:t>
      </w:r>
      <w:r>
        <w:rPr>
          <w:color w:val="505050"/>
          <w:spacing w:val="-16"/>
        </w:rPr>
        <w:t xml:space="preserve"> </w:t>
      </w:r>
      <w:r>
        <w:rPr>
          <w:color w:val="505050"/>
        </w:rPr>
        <w:t>equipment</w:t>
      </w:r>
      <w:r>
        <w:rPr>
          <w:color w:val="505050"/>
          <w:spacing w:val="-15"/>
        </w:rPr>
        <w:t xml:space="preserve"> </w:t>
      </w:r>
      <w:r>
        <w:rPr>
          <w:color w:val="505050"/>
        </w:rPr>
        <w:t>comprises</w:t>
      </w:r>
      <w:r>
        <w:rPr>
          <w:color w:val="505050"/>
          <w:spacing w:val="-17"/>
        </w:rPr>
        <w:t xml:space="preserve"> </w:t>
      </w:r>
      <w:r>
        <w:rPr>
          <w:color w:val="505050"/>
        </w:rPr>
        <w:t>the</w:t>
      </w:r>
      <w:r>
        <w:rPr>
          <w:color w:val="505050"/>
          <w:spacing w:val="-19"/>
        </w:rPr>
        <w:t xml:space="preserve"> </w:t>
      </w:r>
      <w:r>
        <w:rPr>
          <w:color w:val="505050"/>
        </w:rPr>
        <w:t>masts,</w:t>
      </w:r>
      <w:r>
        <w:rPr>
          <w:color w:val="505050"/>
          <w:spacing w:val="-18"/>
        </w:rPr>
        <w:t xml:space="preserve"> </w:t>
      </w:r>
      <w:r>
        <w:rPr>
          <w:color w:val="505050"/>
        </w:rPr>
        <w:t>antennas</w:t>
      </w:r>
      <w:r>
        <w:rPr>
          <w:color w:val="505050"/>
          <w:spacing w:val="-15"/>
        </w:rPr>
        <w:t xml:space="preserve"> </w:t>
      </w:r>
      <w:r>
        <w:rPr>
          <w:color w:val="505050"/>
        </w:rPr>
        <w:t>and associated parts that mobile network operators use to connect wirelessly with mobile devices like smartphones. The core, by contrast, coordinates how these signals are sent and received, as well as tracking usage for billing and authentication. Today, there is a high level of vendor concentration in the RAN market, with figures</w:t>
      </w:r>
      <w:r>
        <w:rPr>
          <w:color w:val="505050"/>
          <w:position w:val="8"/>
          <w:sz w:val="14"/>
        </w:rPr>
        <w:t xml:space="preserve">1 </w:t>
      </w:r>
      <w:r>
        <w:rPr>
          <w:color w:val="505050"/>
        </w:rPr>
        <w:t xml:space="preserve">from industry analysts </w:t>
      </w:r>
      <w:r>
        <w:rPr>
          <w:color w:val="505050"/>
        </w:rPr>
        <w:t>Analysys</w:t>
      </w:r>
      <w:r>
        <w:rPr>
          <w:color w:val="505050"/>
          <w:spacing w:val="-12"/>
        </w:rPr>
        <w:t xml:space="preserve"> </w:t>
      </w:r>
      <w:r>
        <w:rPr>
          <w:color w:val="505050"/>
        </w:rPr>
        <w:t>Mason</w:t>
      </w:r>
      <w:r>
        <w:rPr>
          <w:color w:val="505050"/>
          <w:spacing w:val="-11"/>
        </w:rPr>
        <w:t xml:space="preserve"> </w:t>
      </w:r>
      <w:r>
        <w:rPr>
          <w:color w:val="505050"/>
        </w:rPr>
        <w:t>suggesting</w:t>
      </w:r>
      <w:r>
        <w:rPr>
          <w:color w:val="505050"/>
          <w:spacing w:val="-10"/>
        </w:rPr>
        <w:t xml:space="preserve"> </w:t>
      </w:r>
      <w:r>
        <w:rPr>
          <w:color w:val="505050"/>
        </w:rPr>
        <w:t>the</w:t>
      </w:r>
      <w:r>
        <w:rPr>
          <w:color w:val="505050"/>
          <w:spacing w:val="-12"/>
        </w:rPr>
        <w:t xml:space="preserve"> </w:t>
      </w:r>
      <w:r>
        <w:rPr>
          <w:color w:val="505050"/>
        </w:rPr>
        <w:t>top</w:t>
      </w:r>
      <w:r>
        <w:rPr>
          <w:color w:val="505050"/>
          <w:spacing w:val="-13"/>
        </w:rPr>
        <w:t xml:space="preserve"> </w:t>
      </w:r>
      <w:r>
        <w:rPr>
          <w:color w:val="505050"/>
        </w:rPr>
        <w:t>three</w:t>
      </w:r>
      <w:r>
        <w:rPr>
          <w:color w:val="505050"/>
          <w:spacing w:val="-11"/>
        </w:rPr>
        <w:t xml:space="preserve"> </w:t>
      </w:r>
      <w:r>
        <w:rPr>
          <w:color w:val="505050"/>
        </w:rPr>
        <w:t>vendors</w:t>
      </w:r>
      <w:r>
        <w:rPr>
          <w:color w:val="505050"/>
          <w:spacing w:val="-11"/>
        </w:rPr>
        <w:t xml:space="preserve"> </w:t>
      </w:r>
      <w:r>
        <w:rPr>
          <w:color w:val="505050"/>
        </w:rPr>
        <w:t>held</w:t>
      </w:r>
      <w:r>
        <w:rPr>
          <w:color w:val="505050"/>
          <w:spacing w:val="-9"/>
        </w:rPr>
        <w:t xml:space="preserve"> </w:t>
      </w:r>
      <w:r>
        <w:rPr>
          <w:color w:val="505050"/>
        </w:rPr>
        <w:t>around</w:t>
      </w:r>
      <w:r>
        <w:rPr>
          <w:color w:val="505050"/>
          <w:spacing w:val="-13"/>
        </w:rPr>
        <w:t xml:space="preserve"> </w:t>
      </w:r>
      <w:r>
        <w:rPr>
          <w:color w:val="505050"/>
        </w:rPr>
        <w:t>75%</w:t>
      </w:r>
      <w:r>
        <w:rPr>
          <w:color w:val="505050"/>
          <w:spacing w:val="-11"/>
        </w:rPr>
        <w:t xml:space="preserve"> </w:t>
      </w:r>
      <w:r>
        <w:rPr>
          <w:color w:val="505050"/>
        </w:rPr>
        <w:t>of</w:t>
      </w:r>
      <w:r>
        <w:rPr>
          <w:color w:val="505050"/>
          <w:spacing w:val="-13"/>
        </w:rPr>
        <w:t xml:space="preserve"> </w:t>
      </w:r>
      <w:r>
        <w:rPr>
          <w:color w:val="505050"/>
        </w:rPr>
        <w:t>the</w:t>
      </w:r>
      <w:r>
        <w:rPr>
          <w:color w:val="505050"/>
          <w:spacing w:val="-12"/>
        </w:rPr>
        <w:t xml:space="preserve"> </w:t>
      </w:r>
      <w:r>
        <w:rPr>
          <w:color w:val="505050"/>
        </w:rPr>
        <w:t>market</w:t>
      </w:r>
      <w:r>
        <w:rPr>
          <w:color w:val="505050"/>
          <w:spacing w:val="-11"/>
        </w:rPr>
        <w:t xml:space="preserve"> </w:t>
      </w:r>
      <w:r>
        <w:rPr>
          <w:color w:val="505050"/>
        </w:rPr>
        <w:t>in</w:t>
      </w:r>
      <w:r>
        <w:rPr>
          <w:color w:val="505050"/>
          <w:spacing w:val="-9"/>
        </w:rPr>
        <w:t xml:space="preserve"> </w:t>
      </w:r>
      <w:r>
        <w:rPr>
          <w:color w:val="505050"/>
        </w:rPr>
        <w:t>2018.</w:t>
      </w:r>
    </w:p>
    <w:p w:rsidR="000D5DF1">
      <w:pPr>
        <w:pStyle w:val="BodyText"/>
        <w:rPr>
          <w:sz w:val="20"/>
        </w:rPr>
      </w:pPr>
    </w:p>
    <w:p w:rsidR="000D5DF1">
      <w:pPr>
        <w:pStyle w:val="BodyText"/>
        <w:rPr>
          <w:sz w:val="20"/>
        </w:rPr>
      </w:pPr>
    </w:p>
    <w:p w:rsidR="000D5DF1">
      <w:pPr>
        <w:pStyle w:val="BodyText"/>
        <w:rPr>
          <w:sz w:val="20"/>
        </w:rPr>
      </w:pPr>
    </w:p>
    <w:p w:rsidR="000D5DF1">
      <w:pPr>
        <w:pStyle w:val="BodyText"/>
        <w:spacing w:before="1"/>
        <w:rPr>
          <w:sz w:val="12"/>
        </w:rPr>
      </w:pPr>
      <w:r>
        <w:pict>
          <v:shape id="_x0000_s1025" style="height:0.1pt;margin-left:90pt;margin-top:9.2pt;mso-position-horizontal-relative:page;mso-wrap-distance-left:0;mso-wrap-distance-right:0;position:absolute;width:144.05pt;z-index:-251658240" coordorigin="1800,184" coordsize="2881,21600" path="m1800,184l4681,184e" filled="f" strokecolor="#505050" strokeweight="0.6pt">
            <v:path arrowok="t"/>
            <w10:wrap type="topAndBottom"/>
          </v:shape>
        </w:pict>
      </w:r>
    </w:p>
    <w:p w:rsidR="000D5DF1">
      <w:pPr>
        <w:pStyle w:val="BodyText"/>
        <w:rPr>
          <w:sz w:val="20"/>
        </w:rPr>
      </w:pPr>
    </w:p>
    <w:p w:rsidR="000D5DF1">
      <w:pPr>
        <w:pStyle w:val="BodyText"/>
        <w:spacing w:before="6"/>
        <w:rPr>
          <w:sz w:val="27"/>
        </w:rPr>
      </w:pPr>
    </w:p>
    <w:p w:rsidR="000D5DF1">
      <w:pPr>
        <w:pStyle w:val="BodyText"/>
        <w:spacing w:before="101"/>
        <w:ind w:left="100"/>
        <w:rPr>
          <w:rFonts w:ascii="Gill Sans MT"/>
        </w:rPr>
      </w:pPr>
      <w:r>
        <w:rPr>
          <w:rFonts w:ascii="Gill Sans MT"/>
          <w:position w:val="8"/>
          <w:sz w:val="12"/>
        </w:rPr>
        <w:t xml:space="preserve">1 </w:t>
      </w:r>
      <w:r>
        <w:fldChar w:fldCharType="begin"/>
      </w:r>
      <w:r>
        <w:instrText xml:space="preserve"> HYPERLINK "https://www.analysysmason.com/Research/Content/Reports/RAN_market_share_RMA18" </w:instrText>
      </w:r>
      <w:r>
        <w:fldChar w:fldCharType="separate"/>
      </w:r>
      <w:r>
        <w:rPr>
          <w:rFonts w:ascii="Gill Sans MT"/>
          <w:color w:val="3AA9B6"/>
          <w:u w:val="single" w:color="3AA9B6"/>
        </w:rPr>
        <w:t>https://www.analy</w:t>
      </w:r>
      <w:bookmarkStart w:id="0" w:name="_GoBack"/>
      <w:bookmarkEnd w:id="0"/>
      <w:r>
        <w:rPr>
          <w:rFonts w:ascii="Gill Sans MT"/>
          <w:color w:val="3AA9B6"/>
          <w:u w:val="single" w:color="3AA9B6"/>
        </w:rPr>
        <w:t>sysmason.com/Research/Content/Reports/RAN_market_share_RMA18</w:t>
      </w:r>
      <w:r>
        <w:fldChar w:fldCharType="end"/>
      </w:r>
    </w:p>
    <w:p w:rsidR="000D5DF1">
      <w:pPr>
        <w:rPr>
          <w:rFonts w:ascii="Gill Sans MT"/>
        </w:rPr>
        <w:sectPr>
          <w:footerReference w:type="default" r:id="rId8"/>
          <w:pgSz w:w="12240" w:h="15840"/>
          <w:pgMar w:top="1360" w:right="1680" w:bottom="960" w:left="1700" w:header="0" w:footer="768" w:gutter="0"/>
          <w:pgNumType w:start="2"/>
          <w:cols w:space="720"/>
        </w:sectPr>
      </w:pPr>
    </w:p>
    <w:p w:rsidR="000D5DF1">
      <w:pPr>
        <w:pStyle w:val="BodyText"/>
        <w:spacing w:before="80" w:line="276" w:lineRule="auto"/>
        <w:ind w:left="100" w:right="113"/>
        <w:jc w:val="both"/>
      </w:pPr>
      <w:r>
        <w:rPr>
          <w:color w:val="505050"/>
        </w:rPr>
        <w:t>OpenRAN</w:t>
      </w:r>
      <w:r>
        <w:rPr>
          <w:color w:val="505050"/>
        </w:rPr>
        <w:t xml:space="preserve"> separates the hardware and software components of this equipment and standardises</w:t>
      </w:r>
      <w:r>
        <w:rPr>
          <w:color w:val="505050"/>
          <w:spacing w:val="-8"/>
        </w:rPr>
        <w:t xml:space="preserve"> </w:t>
      </w:r>
      <w:r>
        <w:rPr>
          <w:color w:val="505050"/>
        </w:rPr>
        <w:t>the</w:t>
      </w:r>
      <w:r>
        <w:rPr>
          <w:color w:val="505050"/>
          <w:spacing w:val="-8"/>
        </w:rPr>
        <w:t xml:space="preserve"> </w:t>
      </w:r>
      <w:r>
        <w:rPr>
          <w:color w:val="505050"/>
        </w:rPr>
        <w:t>interfaces</w:t>
      </w:r>
      <w:r>
        <w:rPr>
          <w:color w:val="505050"/>
          <w:spacing w:val="-5"/>
        </w:rPr>
        <w:t xml:space="preserve"> </w:t>
      </w:r>
      <w:r>
        <w:rPr>
          <w:color w:val="505050"/>
        </w:rPr>
        <w:t>between</w:t>
      </w:r>
      <w:r>
        <w:rPr>
          <w:color w:val="505050"/>
          <w:spacing w:val="-8"/>
        </w:rPr>
        <w:t xml:space="preserve"> </w:t>
      </w:r>
      <w:r>
        <w:rPr>
          <w:color w:val="505050"/>
        </w:rPr>
        <w:t>them.</w:t>
      </w:r>
      <w:r>
        <w:rPr>
          <w:color w:val="505050"/>
          <w:spacing w:val="-6"/>
        </w:rPr>
        <w:t xml:space="preserve"> </w:t>
      </w:r>
      <w:r>
        <w:rPr>
          <w:color w:val="505050"/>
        </w:rPr>
        <w:t>This</w:t>
      </w:r>
      <w:r>
        <w:rPr>
          <w:color w:val="505050"/>
          <w:spacing w:val="-5"/>
        </w:rPr>
        <w:t xml:space="preserve"> </w:t>
      </w:r>
      <w:r>
        <w:rPr>
          <w:color w:val="505050"/>
        </w:rPr>
        <w:t>makes</w:t>
      </w:r>
      <w:r>
        <w:rPr>
          <w:color w:val="505050"/>
          <w:spacing w:val="-5"/>
        </w:rPr>
        <w:t xml:space="preserve"> </w:t>
      </w:r>
      <w:r>
        <w:rPr>
          <w:color w:val="505050"/>
        </w:rPr>
        <w:t>it</w:t>
      </w:r>
      <w:r>
        <w:rPr>
          <w:color w:val="505050"/>
          <w:spacing w:val="-5"/>
        </w:rPr>
        <w:t xml:space="preserve"> </w:t>
      </w:r>
      <w:r>
        <w:rPr>
          <w:color w:val="505050"/>
        </w:rPr>
        <w:t>easier</w:t>
      </w:r>
      <w:r>
        <w:rPr>
          <w:color w:val="505050"/>
          <w:spacing w:val="-7"/>
        </w:rPr>
        <w:t xml:space="preserve"> </w:t>
      </w:r>
      <w:r>
        <w:rPr>
          <w:color w:val="505050"/>
        </w:rPr>
        <w:t>for</w:t>
      </w:r>
      <w:r>
        <w:rPr>
          <w:color w:val="505050"/>
          <w:spacing w:val="-7"/>
        </w:rPr>
        <w:t xml:space="preserve"> </w:t>
      </w:r>
      <w:r>
        <w:rPr>
          <w:color w:val="505050"/>
        </w:rPr>
        <w:t>different</w:t>
      </w:r>
      <w:r>
        <w:rPr>
          <w:color w:val="505050"/>
          <w:spacing w:val="-6"/>
        </w:rPr>
        <w:t xml:space="preserve"> </w:t>
      </w:r>
      <w:r>
        <w:rPr>
          <w:color w:val="505050"/>
        </w:rPr>
        <w:t>companies</w:t>
      </w:r>
      <w:r>
        <w:rPr>
          <w:color w:val="505050"/>
          <w:spacing w:val="-8"/>
        </w:rPr>
        <w:t xml:space="preserve"> </w:t>
      </w:r>
      <w:r>
        <w:rPr>
          <w:color w:val="505050"/>
        </w:rPr>
        <w:t>to make</w:t>
      </w:r>
      <w:r>
        <w:rPr>
          <w:color w:val="505050"/>
          <w:spacing w:val="-8"/>
        </w:rPr>
        <w:t xml:space="preserve"> </w:t>
      </w:r>
      <w:r>
        <w:rPr>
          <w:color w:val="505050"/>
        </w:rPr>
        <w:t>and</w:t>
      </w:r>
      <w:r>
        <w:rPr>
          <w:color w:val="505050"/>
          <w:spacing w:val="-8"/>
        </w:rPr>
        <w:t xml:space="preserve"> </w:t>
      </w:r>
      <w:r>
        <w:rPr>
          <w:color w:val="505050"/>
        </w:rPr>
        <w:t>sell</w:t>
      </w:r>
      <w:r>
        <w:rPr>
          <w:color w:val="505050"/>
          <w:spacing w:val="-9"/>
        </w:rPr>
        <w:t xml:space="preserve"> </w:t>
      </w:r>
      <w:r>
        <w:rPr>
          <w:color w:val="505050"/>
        </w:rPr>
        <w:t>RAN</w:t>
      </w:r>
      <w:r>
        <w:rPr>
          <w:color w:val="505050"/>
          <w:spacing w:val="-9"/>
        </w:rPr>
        <w:t xml:space="preserve"> </w:t>
      </w:r>
      <w:r>
        <w:rPr>
          <w:color w:val="505050"/>
        </w:rPr>
        <w:t>equipment,</w:t>
      </w:r>
      <w:r>
        <w:rPr>
          <w:color w:val="505050"/>
          <w:spacing w:val="-7"/>
        </w:rPr>
        <w:t xml:space="preserve"> </w:t>
      </w:r>
      <w:r>
        <w:rPr>
          <w:color w:val="505050"/>
        </w:rPr>
        <w:t>which</w:t>
      </w:r>
      <w:r>
        <w:rPr>
          <w:color w:val="505050"/>
          <w:spacing w:val="-8"/>
        </w:rPr>
        <w:t xml:space="preserve"> </w:t>
      </w:r>
      <w:r>
        <w:rPr>
          <w:color w:val="505050"/>
        </w:rPr>
        <w:t>gives</w:t>
      </w:r>
      <w:r>
        <w:rPr>
          <w:color w:val="505050"/>
          <w:spacing w:val="-8"/>
        </w:rPr>
        <w:t xml:space="preserve"> </w:t>
      </w:r>
      <w:r>
        <w:rPr>
          <w:color w:val="505050"/>
        </w:rPr>
        <w:t>mobile</w:t>
      </w:r>
      <w:r>
        <w:rPr>
          <w:color w:val="505050"/>
          <w:spacing w:val="-6"/>
        </w:rPr>
        <w:t xml:space="preserve"> </w:t>
      </w:r>
      <w:r>
        <w:rPr>
          <w:color w:val="505050"/>
        </w:rPr>
        <w:t>network</w:t>
      </w:r>
      <w:r>
        <w:rPr>
          <w:color w:val="505050"/>
          <w:spacing w:val="-7"/>
        </w:rPr>
        <w:t xml:space="preserve"> </w:t>
      </w:r>
      <w:r>
        <w:rPr>
          <w:color w:val="505050"/>
        </w:rPr>
        <w:t>operators</w:t>
      </w:r>
      <w:r>
        <w:rPr>
          <w:color w:val="505050"/>
          <w:spacing w:val="-10"/>
        </w:rPr>
        <w:t xml:space="preserve"> </w:t>
      </w:r>
      <w:r>
        <w:rPr>
          <w:color w:val="505050"/>
        </w:rPr>
        <w:t>more</w:t>
      </w:r>
      <w:r>
        <w:rPr>
          <w:color w:val="505050"/>
          <w:spacing w:val="-8"/>
        </w:rPr>
        <w:t xml:space="preserve"> </w:t>
      </w:r>
      <w:r>
        <w:rPr>
          <w:color w:val="505050"/>
        </w:rPr>
        <w:t>choice</w:t>
      </w:r>
      <w:r>
        <w:rPr>
          <w:color w:val="505050"/>
          <w:spacing w:val="-8"/>
        </w:rPr>
        <w:t xml:space="preserve"> </w:t>
      </w:r>
      <w:r>
        <w:rPr>
          <w:color w:val="505050"/>
        </w:rPr>
        <w:t>in</w:t>
      </w:r>
      <w:r>
        <w:rPr>
          <w:color w:val="505050"/>
          <w:spacing w:val="-8"/>
        </w:rPr>
        <w:t xml:space="preserve"> </w:t>
      </w:r>
      <w:r>
        <w:rPr>
          <w:color w:val="505050"/>
        </w:rPr>
        <w:t>how they</w:t>
      </w:r>
      <w:r>
        <w:rPr>
          <w:color w:val="505050"/>
          <w:spacing w:val="-12"/>
        </w:rPr>
        <w:t xml:space="preserve"> </w:t>
      </w:r>
      <w:r>
        <w:rPr>
          <w:color w:val="505050"/>
        </w:rPr>
        <w:t>build</w:t>
      </w:r>
      <w:r>
        <w:rPr>
          <w:color w:val="505050"/>
          <w:spacing w:val="-12"/>
        </w:rPr>
        <w:t xml:space="preserve"> </w:t>
      </w:r>
      <w:r>
        <w:rPr>
          <w:color w:val="505050"/>
        </w:rPr>
        <w:t>this</w:t>
      </w:r>
      <w:r>
        <w:rPr>
          <w:color w:val="505050"/>
          <w:spacing w:val="-15"/>
        </w:rPr>
        <w:t xml:space="preserve"> </w:t>
      </w:r>
      <w:r>
        <w:rPr>
          <w:color w:val="505050"/>
        </w:rPr>
        <w:t>network,</w:t>
      </w:r>
      <w:r>
        <w:rPr>
          <w:color w:val="505050"/>
          <w:spacing w:val="-14"/>
        </w:rPr>
        <w:t xml:space="preserve"> </w:t>
      </w:r>
      <w:r>
        <w:rPr>
          <w:color w:val="505050"/>
        </w:rPr>
        <w:t>providing</w:t>
      </w:r>
      <w:r>
        <w:rPr>
          <w:color w:val="505050"/>
          <w:spacing w:val="-13"/>
        </w:rPr>
        <w:t xml:space="preserve"> </w:t>
      </w:r>
      <w:r>
        <w:rPr>
          <w:color w:val="505050"/>
        </w:rPr>
        <w:t>better</w:t>
      </w:r>
      <w:r>
        <w:rPr>
          <w:color w:val="505050"/>
          <w:spacing w:val="-14"/>
        </w:rPr>
        <w:t xml:space="preserve"> </w:t>
      </w:r>
      <w:r>
        <w:rPr>
          <w:color w:val="505050"/>
        </w:rPr>
        <w:t>value</w:t>
      </w:r>
      <w:r>
        <w:rPr>
          <w:color w:val="505050"/>
          <w:spacing w:val="-15"/>
        </w:rPr>
        <w:t xml:space="preserve"> </w:t>
      </w:r>
      <w:r>
        <w:rPr>
          <w:color w:val="505050"/>
        </w:rPr>
        <w:t>for</w:t>
      </w:r>
      <w:r>
        <w:rPr>
          <w:color w:val="505050"/>
          <w:spacing w:val="-14"/>
        </w:rPr>
        <w:t xml:space="preserve"> </w:t>
      </w:r>
      <w:r>
        <w:rPr>
          <w:color w:val="505050"/>
        </w:rPr>
        <w:t>money</w:t>
      </w:r>
      <w:r>
        <w:rPr>
          <w:color w:val="505050"/>
          <w:spacing w:val="-12"/>
        </w:rPr>
        <w:t xml:space="preserve"> </w:t>
      </w:r>
      <w:r>
        <w:rPr>
          <w:color w:val="505050"/>
        </w:rPr>
        <w:t>for</w:t>
      </w:r>
      <w:r>
        <w:rPr>
          <w:color w:val="505050"/>
          <w:spacing w:val="-12"/>
        </w:rPr>
        <w:t xml:space="preserve"> </w:t>
      </w:r>
      <w:r>
        <w:rPr>
          <w:color w:val="505050"/>
        </w:rPr>
        <w:t>operators</w:t>
      </w:r>
      <w:r>
        <w:rPr>
          <w:color w:val="505050"/>
          <w:spacing w:val="-12"/>
        </w:rPr>
        <w:t xml:space="preserve"> </w:t>
      </w:r>
      <w:r>
        <w:rPr>
          <w:color w:val="505050"/>
        </w:rPr>
        <w:t>and</w:t>
      </w:r>
      <w:r>
        <w:rPr>
          <w:color w:val="505050"/>
          <w:spacing w:val="-15"/>
        </w:rPr>
        <w:t xml:space="preserve"> </w:t>
      </w:r>
      <w:r>
        <w:rPr>
          <w:color w:val="505050"/>
        </w:rPr>
        <w:t>end-users</w:t>
      </w:r>
      <w:r>
        <w:rPr>
          <w:color w:val="505050"/>
          <w:spacing w:val="-15"/>
        </w:rPr>
        <w:t xml:space="preserve"> </w:t>
      </w:r>
      <w:r>
        <w:rPr>
          <w:color w:val="505050"/>
        </w:rPr>
        <w:t xml:space="preserve">alike. </w:t>
      </w:r>
      <w:r>
        <w:rPr>
          <w:color w:val="505050"/>
        </w:rPr>
        <w:t>OpenRAN</w:t>
      </w:r>
      <w:r>
        <w:rPr>
          <w:color w:val="505050"/>
        </w:rPr>
        <w:t xml:space="preserve"> is non-proprietary, providing a route to market for smaller companies who can specialise in certain components where previously the barriers to entry were extremely high.</w:t>
      </w:r>
    </w:p>
    <w:p w:rsidR="000D5DF1">
      <w:pPr>
        <w:pStyle w:val="BodyText"/>
        <w:rPr>
          <w:sz w:val="21"/>
        </w:rPr>
      </w:pPr>
    </w:p>
    <w:p w:rsidR="000D5DF1">
      <w:pPr>
        <w:pStyle w:val="Heading1"/>
        <w:jc w:val="both"/>
      </w:pPr>
      <w:r>
        <w:rPr>
          <w:color w:val="505050"/>
        </w:rPr>
        <w:t>Benefits of disaggregation</w:t>
      </w:r>
    </w:p>
    <w:p w:rsidR="000D5DF1">
      <w:pPr>
        <w:pStyle w:val="BodyText"/>
        <w:spacing w:before="1"/>
        <w:rPr>
          <w:b/>
          <w:sz w:val="24"/>
        </w:rPr>
      </w:pPr>
    </w:p>
    <w:p w:rsidR="000D5DF1">
      <w:pPr>
        <w:pStyle w:val="BodyText"/>
        <w:spacing w:line="276" w:lineRule="auto"/>
        <w:ind w:left="100" w:right="113"/>
        <w:jc w:val="both"/>
      </w:pPr>
      <w:r>
        <w:rPr>
          <w:color w:val="505050"/>
        </w:rPr>
        <w:t>TIP believes open, disaggregated networks address the challenges of a consolidated ecosystem</w:t>
      </w:r>
      <w:r>
        <w:rPr>
          <w:color w:val="505050"/>
          <w:spacing w:val="-10"/>
        </w:rPr>
        <w:t xml:space="preserve"> </w:t>
      </w:r>
      <w:r>
        <w:rPr>
          <w:color w:val="505050"/>
        </w:rPr>
        <w:t>by</w:t>
      </w:r>
      <w:r>
        <w:rPr>
          <w:color w:val="505050"/>
          <w:spacing w:val="-11"/>
        </w:rPr>
        <w:t xml:space="preserve"> </w:t>
      </w:r>
      <w:r>
        <w:rPr>
          <w:color w:val="505050"/>
        </w:rPr>
        <w:t>providing</w:t>
      </w:r>
      <w:r>
        <w:rPr>
          <w:color w:val="505050"/>
          <w:spacing w:val="-12"/>
        </w:rPr>
        <w:t xml:space="preserve"> </w:t>
      </w:r>
      <w:r>
        <w:rPr>
          <w:color w:val="505050"/>
        </w:rPr>
        <w:t>network</w:t>
      </w:r>
      <w:r>
        <w:rPr>
          <w:color w:val="505050"/>
          <w:spacing w:val="-9"/>
        </w:rPr>
        <w:t xml:space="preserve"> </w:t>
      </w:r>
      <w:r>
        <w:rPr>
          <w:color w:val="505050"/>
        </w:rPr>
        <w:t>operators</w:t>
      </w:r>
      <w:r>
        <w:rPr>
          <w:color w:val="505050"/>
          <w:spacing w:val="-11"/>
        </w:rPr>
        <w:t xml:space="preserve"> </w:t>
      </w:r>
      <w:r>
        <w:rPr>
          <w:color w:val="505050"/>
        </w:rPr>
        <w:t>more</w:t>
      </w:r>
      <w:r>
        <w:rPr>
          <w:color w:val="505050"/>
          <w:spacing w:val="-14"/>
        </w:rPr>
        <w:t xml:space="preserve"> </w:t>
      </w:r>
      <w:r>
        <w:rPr>
          <w:color w:val="505050"/>
        </w:rPr>
        <w:t>choice</w:t>
      </w:r>
      <w:r>
        <w:rPr>
          <w:color w:val="505050"/>
          <w:spacing w:val="-9"/>
        </w:rPr>
        <w:t xml:space="preserve"> </w:t>
      </w:r>
      <w:r>
        <w:rPr>
          <w:color w:val="505050"/>
        </w:rPr>
        <w:t>and</w:t>
      </w:r>
      <w:r>
        <w:rPr>
          <w:color w:val="505050"/>
          <w:spacing w:val="-10"/>
        </w:rPr>
        <w:t xml:space="preserve"> </w:t>
      </w:r>
      <w:r>
        <w:rPr>
          <w:color w:val="505050"/>
        </w:rPr>
        <w:t>flexibility</w:t>
      </w:r>
      <w:r>
        <w:rPr>
          <w:color w:val="505050"/>
          <w:spacing w:val="-11"/>
        </w:rPr>
        <w:t xml:space="preserve"> </w:t>
      </w:r>
      <w:r>
        <w:rPr>
          <w:color w:val="505050"/>
        </w:rPr>
        <w:t>to</w:t>
      </w:r>
      <w:r>
        <w:rPr>
          <w:color w:val="505050"/>
          <w:spacing w:val="-11"/>
        </w:rPr>
        <w:t xml:space="preserve"> </w:t>
      </w:r>
      <w:r>
        <w:rPr>
          <w:color w:val="505050"/>
        </w:rPr>
        <w:t>improve</w:t>
      </w:r>
      <w:r>
        <w:rPr>
          <w:color w:val="505050"/>
          <w:spacing w:val="-10"/>
        </w:rPr>
        <w:t xml:space="preserve"> </w:t>
      </w:r>
      <w:r>
        <w:rPr>
          <w:color w:val="505050"/>
        </w:rPr>
        <w:t>networks at a pace that keeps up with rising</w:t>
      </w:r>
      <w:r>
        <w:rPr>
          <w:color w:val="505050"/>
          <w:spacing w:val="-9"/>
        </w:rPr>
        <w:t xml:space="preserve"> </w:t>
      </w:r>
      <w:r>
        <w:rPr>
          <w:color w:val="505050"/>
        </w:rPr>
        <w:t>demand.</w:t>
      </w:r>
    </w:p>
    <w:p w:rsidR="000D5DF1">
      <w:pPr>
        <w:pStyle w:val="BodyText"/>
        <w:spacing w:before="9"/>
        <w:rPr>
          <w:sz w:val="20"/>
        </w:rPr>
      </w:pPr>
    </w:p>
    <w:p w:rsidR="000D5DF1">
      <w:pPr>
        <w:pStyle w:val="BodyText"/>
        <w:spacing w:line="276" w:lineRule="auto"/>
        <w:ind w:left="100" w:right="112"/>
        <w:jc w:val="both"/>
      </w:pPr>
      <w:r>
        <w:rPr>
          <w:color w:val="505050"/>
        </w:rPr>
        <w:t xml:space="preserve">The global infrastructure that underpins connectivity is </w:t>
      </w:r>
      <w:r>
        <w:rPr>
          <w:color w:val="505050"/>
        </w:rPr>
        <w:t>complex, and</w:t>
      </w:r>
      <w:r>
        <w:rPr>
          <w:color w:val="505050"/>
        </w:rPr>
        <w:t xml:space="preserve"> made of many different interconnected technology components. Disaggregation — separating complex technologies</w:t>
      </w:r>
      <w:r>
        <w:rPr>
          <w:color w:val="505050"/>
          <w:spacing w:val="-13"/>
        </w:rPr>
        <w:t xml:space="preserve"> </w:t>
      </w:r>
      <w:r>
        <w:rPr>
          <w:color w:val="505050"/>
        </w:rPr>
        <w:t>into</w:t>
      </w:r>
      <w:r>
        <w:rPr>
          <w:color w:val="505050"/>
          <w:spacing w:val="-14"/>
        </w:rPr>
        <w:t xml:space="preserve"> </w:t>
      </w:r>
      <w:r>
        <w:rPr>
          <w:color w:val="505050"/>
        </w:rPr>
        <w:t>small</w:t>
      </w:r>
      <w:r>
        <w:rPr>
          <w:color w:val="505050"/>
          <w:spacing w:val="-13"/>
        </w:rPr>
        <w:t xml:space="preserve"> </w:t>
      </w:r>
      <w:r>
        <w:rPr>
          <w:color w:val="505050"/>
        </w:rPr>
        <w:t>pieces</w:t>
      </w:r>
      <w:r>
        <w:rPr>
          <w:color w:val="505050"/>
          <w:spacing w:val="-15"/>
        </w:rPr>
        <w:t xml:space="preserve"> </w:t>
      </w:r>
      <w:r>
        <w:rPr>
          <w:color w:val="505050"/>
        </w:rPr>
        <w:t>that</w:t>
      </w:r>
      <w:r>
        <w:rPr>
          <w:color w:val="505050"/>
          <w:spacing w:val="-14"/>
        </w:rPr>
        <w:t xml:space="preserve"> </w:t>
      </w:r>
      <w:r>
        <w:rPr>
          <w:color w:val="505050"/>
        </w:rPr>
        <w:t>can</w:t>
      </w:r>
      <w:r>
        <w:rPr>
          <w:color w:val="505050"/>
          <w:spacing w:val="-15"/>
        </w:rPr>
        <w:t xml:space="preserve"> </w:t>
      </w:r>
      <w:r>
        <w:rPr>
          <w:color w:val="505050"/>
        </w:rPr>
        <w:t>be</w:t>
      </w:r>
      <w:r>
        <w:rPr>
          <w:color w:val="505050"/>
          <w:spacing w:val="-15"/>
        </w:rPr>
        <w:t xml:space="preserve"> </w:t>
      </w:r>
      <w:r>
        <w:rPr>
          <w:color w:val="505050"/>
        </w:rPr>
        <w:t>combined</w:t>
      </w:r>
      <w:r>
        <w:rPr>
          <w:color w:val="505050"/>
          <w:spacing w:val="-13"/>
        </w:rPr>
        <w:t xml:space="preserve"> </w:t>
      </w:r>
      <w:r>
        <w:rPr>
          <w:color w:val="505050"/>
        </w:rPr>
        <w:t>in</w:t>
      </w:r>
      <w:r>
        <w:rPr>
          <w:color w:val="505050"/>
          <w:spacing w:val="-12"/>
        </w:rPr>
        <w:t xml:space="preserve"> </w:t>
      </w:r>
      <w:r>
        <w:rPr>
          <w:color w:val="505050"/>
        </w:rPr>
        <w:t>different</w:t>
      </w:r>
      <w:r>
        <w:rPr>
          <w:color w:val="505050"/>
          <w:spacing w:val="-14"/>
        </w:rPr>
        <w:t xml:space="preserve"> </w:t>
      </w:r>
      <w:r>
        <w:rPr>
          <w:color w:val="505050"/>
        </w:rPr>
        <w:t>ways</w:t>
      </w:r>
      <w:r>
        <w:rPr>
          <w:color w:val="505050"/>
          <w:spacing w:val="-13"/>
        </w:rPr>
        <w:t xml:space="preserve"> </w:t>
      </w:r>
      <w:r>
        <w:rPr>
          <w:color w:val="505050"/>
        </w:rPr>
        <w:t>—</w:t>
      </w:r>
      <w:r>
        <w:rPr>
          <w:color w:val="505050"/>
          <w:spacing w:val="-15"/>
        </w:rPr>
        <w:t xml:space="preserve"> </w:t>
      </w:r>
      <w:r>
        <w:rPr>
          <w:color w:val="505050"/>
        </w:rPr>
        <w:t>will</w:t>
      </w:r>
      <w:r>
        <w:rPr>
          <w:color w:val="505050"/>
          <w:spacing w:val="-13"/>
        </w:rPr>
        <w:t xml:space="preserve"> </w:t>
      </w:r>
      <w:r>
        <w:rPr>
          <w:color w:val="505050"/>
        </w:rPr>
        <w:t>allow</w:t>
      </w:r>
      <w:r>
        <w:rPr>
          <w:color w:val="505050"/>
          <w:spacing w:val="-14"/>
        </w:rPr>
        <w:t xml:space="preserve"> </w:t>
      </w:r>
      <w:r>
        <w:rPr>
          <w:color w:val="505050"/>
        </w:rPr>
        <w:t>for</w:t>
      </w:r>
      <w:r>
        <w:rPr>
          <w:color w:val="505050"/>
          <w:spacing w:val="-18"/>
        </w:rPr>
        <w:t xml:space="preserve"> </w:t>
      </w:r>
      <w:r>
        <w:rPr>
          <w:color w:val="505050"/>
        </w:rPr>
        <w:t>more flexible</w:t>
      </w:r>
      <w:r>
        <w:rPr>
          <w:color w:val="505050"/>
          <w:spacing w:val="-7"/>
        </w:rPr>
        <w:t xml:space="preserve"> </w:t>
      </w:r>
      <w:r>
        <w:rPr>
          <w:color w:val="505050"/>
        </w:rPr>
        <w:t>networks</w:t>
      </w:r>
      <w:r>
        <w:rPr>
          <w:color w:val="505050"/>
          <w:spacing w:val="-8"/>
        </w:rPr>
        <w:t xml:space="preserve"> </w:t>
      </w:r>
      <w:r>
        <w:rPr>
          <w:color w:val="505050"/>
        </w:rPr>
        <w:t>that</w:t>
      </w:r>
      <w:r>
        <w:rPr>
          <w:color w:val="505050"/>
          <w:spacing w:val="-6"/>
        </w:rPr>
        <w:t xml:space="preserve"> </w:t>
      </w:r>
      <w:r>
        <w:rPr>
          <w:color w:val="505050"/>
        </w:rPr>
        <w:t>let</w:t>
      </w:r>
      <w:r>
        <w:rPr>
          <w:color w:val="505050"/>
          <w:spacing w:val="-8"/>
        </w:rPr>
        <w:t xml:space="preserve"> </w:t>
      </w:r>
      <w:r>
        <w:rPr>
          <w:color w:val="505050"/>
        </w:rPr>
        <w:t>operators</w:t>
      </w:r>
      <w:r>
        <w:rPr>
          <w:color w:val="505050"/>
          <w:spacing w:val="-9"/>
        </w:rPr>
        <w:t xml:space="preserve"> </w:t>
      </w:r>
      <w:r>
        <w:rPr>
          <w:color w:val="505050"/>
        </w:rPr>
        <w:t>develop</w:t>
      </w:r>
      <w:r>
        <w:rPr>
          <w:color w:val="505050"/>
          <w:spacing w:val="-7"/>
        </w:rPr>
        <w:t xml:space="preserve"> </w:t>
      </w:r>
      <w:r>
        <w:rPr>
          <w:color w:val="505050"/>
        </w:rPr>
        <w:t>and</w:t>
      </w:r>
      <w:r>
        <w:rPr>
          <w:color w:val="505050"/>
          <w:spacing w:val="-10"/>
        </w:rPr>
        <w:t xml:space="preserve"> </w:t>
      </w:r>
      <w:r>
        <w:rPr>
          <w:color w:val="505050"/>
        </w:rPr>
        <w:t>upgrade</w:t>
      </w:r>
      <w:r>
        <w:rPr>
          <w:color w:val="505050"/>
          <w:spacing w:val="-6"/>
        </w:rPr>
        <w:t xml:space="preserve"> </w:t>
      </w:r>
      <w:r>
        <w:rPr>
          <w:color w:val="505050"/>
        </w:rPr>
        <w:t>individual</w:t>
      </w:r>
      <w:r>
        <w:rPr>
          <w:color w:val="505050"/>
          <w:spacing w:val="-8"/>
        </w:rPr>
        <w:t xml:space="preserve"> </w:t>
      </w:r>
      <w:r>
        <w:rPr>
          <w:color w:val="505050"/>
        </w:rPr>
        <w:t>components,</w:t>
      </w:r>
      <w:r>
        <w:rPr>
          <w:color w:val="505050"/>
          <w:spacing w:val="-7"/>
        </w:rPr>
        <w:t xml:space="preserve"> </w:t>
      </w:r>
      <w:r>
        <w:rPr>
          <w:color w:val="505050"/>
        </w:rPr>
        <w:t>selecting the best technology available at any point in time for each piece of a telecom network. They can choose from a wide range of software and hardware options that interoperate seamlessly, instead of having to source integrated infrastructure solutions from a very limited set of</w:t>
      </w:r>
      <w:r>
        <w:rPr>
          <w:color w:val="505050"/>
          <w:spacing w:val="-3"/>
        </w:rPr>
        <w:t xml:space="preserve"> </w:t>
      </w:r>
      <w:r>
        <w:rPr>
          <w:color w:val="505050"/>
        </w:rPr>
        <w:t>suppliers.</w:t>
      </w:r>
    </w:p>
    <w:p w:rsidR="000D5DF1">
      <w:pPr>
        <w:pStyle w:val="BodyText"/>
        <w:spacing w:before="11"/>
        <w:rPr>
          <w:sz w:val="20"/>
        </w:rPr>
      </w:pPr>
    </w:p>
    <w:p w:rsidR="000D5DF1">
      <w:pPr>
        <w:pStyle w:val="BodyText"/>
        <w:spacing w:line="276" w:lineRule="auto"/>
        <w:ind w:left="100" w:right="112"/>
        <w:jc w:val="both"/>
      </w:pPr>
      <w:r>
        <w:rPr>
          <w:color w:val="505050"/>
        </w:rPr>
        <w:t>Separating out complex technologies and ensuring interoperability also means more companies, including SMEs, can compete in different parts of the technology stack, incentivising</w:t>
      </w:r>
      <w:r>
        <w:rPr>
          <w:color w:val="505050"/>
          <w:spacing w:val="-9"/>
        </w:rPr>
        <w:t xml:space="preserve"> </w:t>
      </w:r>
      <w:r>
        <w:rPr>
          <w:color w:val="505050"/>
        </w:rPr>
        <w:t>innovation</w:t>
      </w:r>
      <w:r>
        <w:rPr>
          <w:color w:val="505050"/>
          <w:spacing w:val="-8"/>
        </w:rPr>
        <w:t xml:space="preserve"> </w:t>
      </w:r>
      <w:r>
        <w:rPr>
          <w:color w:val="505050"/>
        </w:rPr>
        <w:t>and</w:t>
      </w:r>
      <w:r>
        <w:rPr>
          <w:color w:val="505050"/>
          <w:spacing w:val="-9"/>
        </w:rPr>
        <w:t xml:space="preserve"> </w:t>
      </w:r>
      <w:r>
        <w:rPr>
          <w:color w:val="505050"/>
        </w:rPr>
        <w:t>giving</w:t>
      </w:r>
      <w:r>
        <w:rPr>
          <w:color w:val="505050"/>
          <w:spacing w:val="-8"/>
        </w:rPr>
        <w:t xml:space="preserve"> </w:t>
      </w:r>
      <w:r>
        <w:rPr>
          <w:color w:val="505050"/>
        </w:rPr>
        <w:t>network</w:t>
      </w:r>
      <w:r>
        <w:rPr>
          <w:color w:val="505050"/>
          <w:spacing w:val="-10"/>
        </w:rPr>
        <w:t xml:space="preserve"> </w:t>
      </w:r>
      <w:r>
        <w:rPr>
          <w:color w:val="505050"/>
        </w:rPr>
        <w:t>operators</w:t>
      </w:r>
      <w:r>
        <w:rPr>
          <w:color w:val="505050"/>
          <w:spacing w:val="-9"/>
        </w:rPr>
        <w:t xml:space="preserve"> </w:t>
      </w:r>
      <w:r>
        <w:rPr>
          <w:color w:val="505050"/>
        </w:rPr>
        <w:t>more</w:t>
      </w:r>
      <w:r>
        <w:rPr>
          <w:color w:val="505050"/>
          <w:spacing w:val="-11"/>
        </w:rPr>
        <w:t xml:space="preserve"> </w:t>
      </w:r>
      <w:r>
        <w:rPr>
          <w:color w:val="505050"/>
        </w:rPr>
        <w:t>choice</w:t>
      </w:r>
      <w:r>
        <w:rPr>
          <w:color w:val="505050"/>
          <w:spacing w:val="-8"/>
        </w:rPr>
        <w:t xml:space="preserve"> </w:t>
      </w:r>
      <w:r>
        <w:rPr>
          <w:color w:val="505050"/>
        </w:rPr>
        <w:t>among</w:t>
      </w:r>
      <w:r>
        <w:rPr>
          <w:color w:val="505050"/>
          <w:spacing w:val="-11"/>
        </w:rPr>
        <w:t xml:space="preserve"> </w:t>
      </w:r>
      <w:r>
        <w:rPr>
          <w:color w:val="505050"/>
        </w:rPr>
        <w:t>both</w:t>
      </w:r>
      <w:r>
        <w:rPr>
          <w:color w:val="505050"/>
          <w:spacing w:val="-8"/>
        </w:rPr>
        <w:t xml:space="preserve"> </w:t>
      </w:r>
      <w:r>
        <w:rPr>
          <w:color w:val="505050"/>
        </w:rPr>
        <w:t>incumbent and emerging solutions. This can make the process of upgrading networks — either partially or totally — easier, faster, and more</w:t>
      </w:r>
      <w:r>
        <w:rPr>
          <w:color w:val="505050"/>
          <w:spacing w:val="-6"/>
        </w:rPr>
        <w:t xml:space="preserve"> </w:t>
      </w:r>
      <w:r>
        <w:rPr>
          <w:color w:val="505050"/>
        </w:rPr>
        <w:t>cost-efficient.</w:t>
      </w:r>
    </w:p>
    <w:p w:rsidR="000D5DF1">
      <w:pPr>
        <w:pStyle w:val="BodyText"/>
        <w:spacing w:before="10"/>
        <w:rPr>
          <w:sz w:val="20"/>
        </w:rPr>
      </w:pPr>
    </w:p>
    <w:p w:rsidR="000D5DF1">
      <w:pPr>
        <w:pStyle w:val="BodyText"/>
        <w:spacing w:line="276" w:lineRule="auto"/>
        <w:ind w:left="100" w:right="115"/>
        <w:jc w:val="both"/>
      </w:pPr>
      <w:r>
        <w:rPr>
          <w:color w:val="505050"/>
        </w:rPr>
        <w:t>This method of development also has benefits for security by changing the development culture. Network security is best achieved from open scrutiny of development practices. Security is also enhanced by a more diverse market, as it provides greater incentives to compete on security and trust, as well as greater flexibility to mobile network operators.</w:t>
      </w:r>
    </w:p>
    <w:p w:rsidR="000D5DF1">
      <w:pPr>
        <w:pStyle w:val="BodyText"/>
        <w:spacing w:before="10"/>
        <w:rPr>
          <w:sz w:val="20"/>
        </w:rPr>
      </w:pPr>
    </w:p>
    <w:p w:rsidR="000D5DF1">
      <w:pPr>
        <w:pStyle w:val="Heading1"/>
        <w:jc w:val="both"/>
      </w:pPr>
      <w:r>
        <w:rPr>
          <w:color w:val="505050"/>
        </w:rPr>
        <w:t>OpenRAN’s</w:t>
      </w:r>
      <w:r>
        <w:rPr>
          <w:color w:val="505050"/>
        </w:rPr>
        <w:t xml:space="preserve"> deployment and next steps</w:t>
      </w:r>
    </w:p>
    <w:p w:rsidR="000D5DF1">
      <w:pPr>
        <w:pStyle w:val="BodyText"/>
        <w:spacing w:before="2"/>
        <w:rPr>
          <w:b/>
          <w:sz w:val="24"/>
        </w:rPr>
      </w:pPr>
    </w:p>
    <w:p w:rsidR="000D5DF1">
      <w:pPr>
        <w:pStyle w:val="BodyText"/>
        <w:spacing w:line="276" w:lineRule="auto"/>
        <w:ind w:left="100" w:right="113"/>
        <w:jc w:val="both"/>
      </w:pPr>
      <w:r>
        <w:rPr>
          <w:color w:val="505050"/>
        </w:rPr>
        <w:t xml:space="preserve">To date, Vodafone has launched trials of </w:t>
      </w:r>
      <w:r>
        <w:rPr>
          <w:color w:val="505050"/>
        </w:rPr>
        <w:t>OpenRAN</w:t>
      </w:r>
      <w:r>
        <w:rPr>
          <w:color w:val="505050"/>
        </w:rPr>
        <w:t xml:space="preserve"> in the UK, Ireland, Mozambique and the Democratic Republic of the Congo. Telefónica will launch </w:t>
      </w:r>
      <w:r>
        <w:rPr>
          <w:color w:val="505050"/>
        </w:rPr>
        <w:t>OpenRAN</w:t>
      </w:r>
      <w:r>
        <w:rPr>
          <w:color w:val="505050"/>
        </w:rPr>
        <w:t xml:space="preserve"> trials for 4G and 5G</w:t>
      </w:r>
      <w:r>
        <w:rPr>
          <w:color w:val="505050"/>
          <w:spacing w:val="-8"/>
        </w:rPr>
        <w:t xml:space="preserve"> </w:t>
      </w:r>
      <w:r>
        <w:rPr>
          <w:color w:val="505050"/>
        </w:rPr>
        <w:t>in</w:t>
      </w:r>
      <w:r>
        <w:rPr>
          <w:color w:val="505050"/>
          <w:spacing w:val="-11"/>
        </w:rPr>
        <w:t xml:space="preserve"> </w:t>
      </w:r>
      <w:r>
        <w:rPr>
          <w:color w:val="505050"/>
        </w:rPr>
        <w:t>the</w:t>
      </w:r>
      <w:r>
        <w:rPr>
          <w:color w:val="505050"/>
          <w:spacing w:val="-4"/>
        </w:rPr>
        <w:t xml:space="preserve"> </w:t>
      </w:r>
      <w:r>
        <w:rPr>
          <w:color w:val="505050"/>
        </w:rPr>
        <w:t>UK,</w:t>
      </w:r>
      <w:r>
        <w:rPr>
          <w:color w:val="505050"/>
          <w:spacing w:val="-10"/>
        </w:rPr>
        <w:t xml:space="preserve"> </w:t>
      </w:r>
      <w:r>
        <w:rPr>
          <w:color w:val="505050"/>
        </w:rPr>
        <w:t>Germany,</w:t>
      </w:r>
      <w:r>
        <w:rPr>
          <w:color w:val="505050"/>
          <w:spacing w:val="-11"/>
        </w:rPr>
        <w:t xml:space="preserve"> </w:t>
      </w:r>
      <w:r>
        <w:rPr>
          <w:color w:val="505050"/>
        </w:rPr>
        <w:t>Spain</w:t>
      </w:r>
      <w:r>
        <w:rPr>
          <w:color w:val="505050"/>
          <w:spacing w:val="-9"/>
        </w:rPr>
        <w:t xml:space="preserve"> </w:t>
      </w:r>
      <w:r>
        <w:rPr>
          <w:color w:val="505050"/>
        </w:rPr>
        <w:t>and</w:t>
      </w:r>
      <w:r>
        <w:rPr>
          <w:color w:val="505050"/>
          <w:spacing w:val="-9"/>
        </w:rPr>
        <w:t xml:space="preserve"> </w:t>
      </w:r>
      <w:r>
        <w:rPr>
          <w:color w:val="505050"/>
        </w:rPr>
        <w:t>Brazil</w:t>
      </w:r>
      <w:r>
        <w:rPr>
          <w:color w:val="505050"/>
          <w:spacing w:val="-12"/>
        </w:rPr>
        <w:t xml:space="preserve"> </w:t>
      </w:r>
      <w:r>
        <w:rPr>
          <w:color w:val="505050"/>
        </w:rPr>
        <w:t>this</w:t>
      </w:r>
      <w:r>
        <w:rPr>
          <w:color w:val="505050"/>
          <w:spacing w:val="-10"/>
        </w:rPr>
        <w:t xml:space="preserve"> </w:t>
      </w:r>
      <w:r>
        <w:rPr>
          <w:color w:val="505050"/>
        </w:rPr>
        <w:t>year.</w:t>
      </w:r>
      <w:r>
        <w:rPr>
          <w:color w:val="505050"/>
          <w:spacing w:val="-10"/>
        </w:rPr>
        <w:t xml:space="preserve"> </w:t>
      </w:r>
      <w:r>
        <w:rPr>
          <w:color w:val="505050"/>
        </w:rPr>
        <w:t>Internationally,</w:t>
      </w:r>
      <w:r>
        <w:rPr>
          <w:color w:val="505050"/>
          <w:spacing w:val="-8"/>
        </w:rPr>
        <w:t xml:space="preserve"> </w:t>
      </w:r>
      <w:r>
        <w:rPr>
          <w:color w:val="505050"/>
        </w:rPr>
        <w:t>Etisalat</w:t>
      </w:r>
      <w:r>
        <w:rPr>
          <w:color w:val="505050"/>
          <w:spacing w:val="-10"/>
        </w:rPr>
        <w:t xml:space="preserve"> </w:t>
      </w:r>
      <w:r>
        <w:rPr>
          <w:color w:val="505050"/>
        </w:rPr>
        <w:t>has</w:t>
      </w:r>
      <w:r>
        <w:rPr>
          <w:color w:val="505050"/>
          <w:spacing w:val="-7"/>
        </w:rPr>
        <w:t xml:space="preserve"> </w:t>
      </w:r>
      <w:r>
        <w:rPr>
          <w:color w:val="505050"/>
        </w:rPr>
        <w:t xml:space="preserve">completed its first deployment in the UAE and will now start trials of </w:t>
      </w:r>
      <w:r>
        <w:rPr>
          <w:color w:val="505050"/>
        </w:rPr>
        <w:t>OpenRAN</w:t>
      </w:r>
      <w:r>
        <w:rPr>
          <w:color w:val="505050"/>
        </w:rPr>
        <w:t xml:space="preserve"> solutions in other regions. In Indonesia, </w:t>
      </w:r>
      <w:r>
        <w:rPr>
          <w:color w:val="505050"/>
        </w:rPr>
        <w:t>Indosat</w:t>
      </w:r>
      <w:r>
        <w:rPr>
          <w:color w:val="505050"/>
        </w:rPr>
        <w:t xml:space="preserve"> Ooredoo and </w:t>
      </w:r>
      <w:r>
        <w:rPr>
          <w:color w:val="505050"/>
        </w:rPr>
        <w:t>Smartfren</w:t>
      </w:r>
      <w:r>
        <w:rPr>
          <w:color w:val="505050"/>
        </w:rPr>
        <w:t xml:space="preserve"> will soon conduct the first </w:t>
      </w:r>
      <w:r>
        <w:rPr>
          <w:color w:val="505050"/>
        </w:rPr>
        <w:t>OpenRAN</w:t>
      </w:r>
      <w:r>
        <w:rPr>
          <w:color w:val="505050"/>
        </w:rPr>
        <w:t xml:space="preserve"> field</w:t>
      </w:r>
      <w:r>
        <w:rPr>
          <w:color w:val="505050"/>
          <w:spacing w:val="-3"/>
        </w:rPr>
        <w:t xml:space="preserve"> </w:t>
      </w:r>
      <w:r>
        <w:rPr>
          <w:color w:val="505050"/>
        </w:rPr>
        <w:t>trials.</w:t>
      </w:r>
    </w:p>
    <w:p w:rsidR="000D5DF1">
      <w:pPr>
        <w:pStyle w:val="BodyText"/>
        <w:rPr>
          <w:sz w:val="21"/>
        </w:rPr>
      </w:pPr>
    </w:p>
    <w:p w:rsidR="000D5DF1">
      <w:pPr>
        <w:pStyle w:val="BodyText"/>
        <w:spacing w:before="1" w:line="276" w:lineRule="auto"/>
        <w:ind w:left="100" w:right="117"/>
        <w:jc w:val="both"/>
      </w:pPr>
      <w:r>
        <w:rPr>
          <w:color w:val="505050"/>
        </w:rPr>
        <w:t>OpenRAN</w:t>
      </w:r>
      <w:r>
        <w:rPr>
          <w:color w:val="505050"/>
          <w:spacing w:val="-9"/>
        </w:rPr>
        <w:t xml:space="preserve"> </w:t>
      </w:r>
      <w:r>
        <w:rPr>
          <w:color w:val="505050"/>
        </w:rPr>
        <w:t>is</w:t>
      </w:r>
      <w:r>
        <w:rPr>
          <w:color w:val="505050"/>
          <w:spacing w:val="-7"/>
        </w:rPr>
        <w:t xml:space="preserve"> </w:t>
      </w:r>
      <w:r>
        <w:rPr>
          <w:color w:val="505050"/>
        </w:rPr>
        <w:t>emerging</w:t>
      </w:r>
      <w:r>
        <w:rPr>
          <w:color w:val="505050"/>
          <w:spacing w:val="-8"/>
        </w:rPr>
        <w:t xml:space="preserve"> </w:t>
      </w:r>
      <w:r>
        <w:rPr>
          <w:color w:val="505050"/>
        </w:rPr>
        <w:t>from</w:t>
      </w:r>
      <w:r>
        <w:rPr>
          <w:color w:val="505050"/>
          <w:spacing w:val="-6"/>
        </w:rPr>
        <w:t xml:space="preserve"> </w:t>
      </w:r>
      <w:r>
        <w:rPr>
          <w:color w:val="505050"/>
        </w:rPr>
        <w:t>a</w:t>
      </w:r>
      <w:r>
        <w:rPr>
          <w:color w:val="505050"/>
          <w:spacing w:val="-10"/>
        </w:rPr>
        <w:t xml:space="preserve"> </w:t>
      </w:r>
      <w:r>
        <w:rPr>
          <w:color w:val="505050"/>
        </w:rPr>
        <w:t>mature</w:t>
      </w:r>
      <w:r>
        <w:rPr>
          <w:color w:val="505050"/>
          <w:spacing w:val="-8"/>
        </w:rPr>
        <w:t xml:space="preserve"> </w:t>
      </w:r>
      <w:r>
        <w:rPr>
          <w:color w:val="505050"/>
        </w:rPr>
        <w:t>ecosystem</w:t>
      </w:r>
      <w:r>
        <w:rPr>
          <w:color w:val="505050"/>
          <w:spacing w:val="-8"/>
        </w:rPr>
        <w:t xml:space="preserve"> </w:t>
      </w:r>
      <w:r>
        <w:rPr>
          <w:color w:val="505050"/>
        </w:rPr>
        <w:t>and</w:t>
      </w:r>
      <w:r>
        <w:rPr>
          <w:color w:val="505050"/>
          <w:spacing w:val="-8"/>
        </w:rPr>
        <w:t xml:space="preserve"> </w:t>
      </w:r>
      <w:r>
        <w:rPr>
          <w:color w:val="505050"/>
        </w:rPr>
        <w:t>full</w:t>
      </w:r>
      <w:r>
        <w:rPr>
          <w:color w:val="505050"/>
          <w:spacing w:val="-8"/>
        </w:rPr>
        <w:t xml:space="preserve"> </w:t>
      </w:r>
      <w:r>
        <w:rPr>
          <w:color w:val="505050"/>
        </w:rPr>
        <w:t>deployments</w:t>
      </w:r>
      <w:r>
        <w:rPr>
          <w:color w:val="505050"/>
          <w:spacing w:val="-7"/>
        </w:rPr>
        <w:t xml:space="preserve"> </w:t>
      </w:r>
      <w:r>
        <w:rPr>
          <w:color w:val="505050"/>
        </w:rPr>
        <w:t>are</w:t>
      </w:r>
      <w:r>
        <w:rPr>
          <w:color w:val="505050"/>
          <w:spacing w:val="-12"/>
        </w:rPr>
        <w:t xml:space="preserve"> </w:t>
      </w:r>
      <w:r>
        <w:rPr>
          <w:color w:val="505050"/>
        </w:rPr>
        <w:t>due</w:t>
      </w:r>
      <w:r>
        <w:rPr>
          <w:color w:val="505050"/>
          <w:spacing w:val="-7"/>
        </w:rPr>
        <w:t xml:space="preserve"> </w:t>
      </w:r>
      <w:r>
        <w:rPr>
          <w:color w:val="505050"/>
        </w:rPr>
        <w:t>in</w:t>
      </w:r>
      <w:r>
        <w:rPr>
          <w:color w:val="505050"/>
          <w:spacing w:val="-8"/>
        </w:rPr>
        <w:t xml:space="preserve"> </w:t>
      </w:r>
      <w:r>
        <w:rPr>
          <w:color w:val="505050"/>
        </w:rPr>
        <w:t>the</w:t>
      </w:r>
      <w:r>
        <w:rPr>
          <w:color w:val="505050"/>
          <w:spacing w:val="-8"/>
        </w:rPr>
        <w:t xml:space="preserve"> </w:t>
      </w:r>
      <w:r>
        <w:rPr>
          <w:color w:val="505050"/>
        </w:rPr>
        <w:t>near term. Support from policymakers can assist this process by creating the enabling environment for a more innovative</w:t>
      </w:r>
      <w:r>
        <w:rPr>
          <w:color w:val="505050"/>
          <w:spacing w:val="-7"/>
        </w:rPr>
        <w:t xml:space="preserve"> </w:t>
      </w:r>
      <w:r>
        <w:rPr>
          <w:color w:val="505050"/>
        </w:rPr>
        <w:t>ecosystem.</w:t>
      </w:r>
    </w:p>
    <w:p w:rsidR="000D5DF1">
      <w:pPr>
        <w:spacing w:line="276" w:lineRule="auto"/>
        <w:jc w:val="both"/>
        <w:sectPr>
          <w:pgSz w:w="12240" w:h="15840"/>
          <w:pgMar w:top="1360" w:right="1680" w:bottom="960" w:left="1700" w:header="0" w:footer="768" w:gutter="0"/>
          <w:cols w:space="720"/>
        </w:sectPr>
      </w:pPr>
    </w:p>
    <w:p w:rsidR="000D5DF1">
      <w:pPr>
        <w:pStyle w:val="BodyText"/>
        <w:spacing w:before="80" w:line="276" w:lineRule="auto"/>
        <w:ind w:left="100" w:right="115"/>
        <w:jc w:val="both"/>
      </w:pPr>
      <w:r>
        <w:rPr>
          <w:color w:val="505050"/>
        </w:rPr>
        <w:t>TIP’s</w:t>
      </w:r>
      <w:r>
        <w:rPr>
          <w:color w:val="505050"/>
          <w:spacing w:val="-4"/>
        </w:rPr>
        <w:t xml:space="preserve"> </w:t>
      </w:r>
      <w:r>
        <w:rPr>
          <w:color w:val="505050"/>
        </w:rPr>
        <w:t>UK</w:t>
      </w:r>
      <w:r>
        <w:rPr>
          <w:color w:val="505050"/>
          <w:spacing w:val="-7"/>
        </w:rPr>
        <w:t xml:space="preserve"> </w:t>
      </w:r>
      <w:r>
        <w:rPr>
          <w:color w:val="505050"/>
        </w:rPr>
        <w:t>members</w:t>
      </w:r>
      <w:r>
        <w:rPr>
          <w:color w:val="505050"/>
          <w:spacing w:val="-6"/>
        </w:rPr>
        <w:t xml:space="preserve"> </w:t>
      </w:r>
      <w:r>
        <w:rPr>
          <w:color w:val="505050"/>
        </w:rPr>
        <w:t>are</w:t>
      </w:r>
      <w:r>
        <w:rPr>
          <w:color w:val="505050"/>
          <w:spacing w:val="-5"/>
        </w:rPr>
        <w:t xml:space="preserve"> </w:t>
      </w:r>
      <w:r>
        <w:rPr>
          <w:color w:val="505050"/>
        </w:rPr>
        <w:t>leading</w:t>
      </w:r>
      <w:r>
        <w:rPr>
          <w:color w:val="505050"/>
          <w:spacing w:val="-4"/>
        </w:rPr>
        <w:t xml:space="preserve"> </w:t>
      </w:r>
      <w:r>
        <w:rPr>
          <w:color w:val="505050"/>
        </w:rPr>
        <w:t>efforts</w:t>
      </w:r>
      <w:r>
        <w:rPr>
          <w:color w:val="505050"/>
          <w:spacing w:val="-6"/>
        </w:rPr>
        <w:t xml:space="preserve"> </w:t>
      </w:r>
      <w:r>
        <w:rPr>
          <w:color w:val="505050"/>
        </w:rPr>
        <w:t>to</w:t>
      </w:r>
      <w:r>
        <w:rPr>
          <w:color w:val="505050"/>
          <w:spacing w:val="-5"/>
        </w:rPr>
        <w:t xml:space="preserve"> </w:t>
      </w:r>
      <w:r>
        <w:rPr>
          <w:color w:val="505050"/>
        </w:rPr>
        <w:t>accelerate</w:t>
      </w:r>
      <w:r>
        <w:rPr>
          <w:color w:val="505050"/>
          <w:spacing w:val="-4"/>
        </w:rPr>
        <w:t xml:space="preserve"> </w:t>
      </w:r>
      <w:r>
        <w:rPr>
          <w:color w:val="505050"/>
        </w:rPr>
        <w:t>OpenRAN</w:t>
      </w:r>
      <w:r>
        <w:rPr>
          <w:color w:val="505050"/>
        </w:rPr>
        <w:t>.</w:t>
      </w:r>
      <w:r>
        <w:rPr>
          <w:color w:val="505050"/>
          <w:spacing w:val="-3"/>
        </w:rPr>
        <w:t xml:space="preserve"> </w:t>
      </w:r>
      <w:r>
        <w:rPr>
          <w:color w:val="505050"/>
        </w:rPr>
        <w:t>The</w:t>
      </w:r>
      <w:r>
        <w:rPr>
          <w:color w:val="505050"/>
          <w:spacing w:val="-6"/>
        </w:rPr>
        <w:t xml:space="preserve"> </w:t>
      </w:r>
      <w:r>
        <w:rPr>
          <w:color w:val="505050"/>
        </w:rPr>
        <w:t>TIP</w:t>
      </w:r>
      <w:r>
        <w:rPr>
          <w:color w:val="505050"/>
          <w:spacing w:val="-6"/>
        </w:rPr>
        <w:t xml:space="preserve"> </w:t>
      </w:r>
      <w:r>
        <w:rPr>
          <w:color w:val="505050"/>
        </w:rPr>
        <w:t>community</w:t>
      </w:r>
      <w:r>
        <w:rPr>
          <w:color w:val="505050"/>
          <w:spacing w:val="-4"/>
        </w:rPr>
        <w:t xml:space="preserve"> </w:t>
      </w:r>
      <w:r>
        <w:rPr>
          <w:color w:val="505050"/>
        </w:rPr>
        <w:t>lab</w:t>
      </w:r>
      <w:r>
        <w:rPr>
          <w:color w:val="505050"/>
          <w:spacing w:val="-7"/>
        </w:rPr>
        <w:t xml:space="preserve"> </w:t>
      </w:r>
      <w:r>
        <w:rPr>
          <w:color w:val="505050"/>
        </w:rPr>
        <w:t xml:space="preserve">at </w:t>
      </w:r>
      <w:r>
        <w:rPr>
          <w:color w:val="505050"/>
        </w:rPr>
        <w:t>Adastral</w:t>
      </w:r>
      <w:r>
        <w:rPr>
          <w:color w:val="505050"/>
        </w:rPr>
        <w:t xml:space="preserve"> Park Ipswich is sponsored by BT and operated by Tech</w:t>
      </w:r>
      <w:r>
        <w:rPr>
          <w:color w:val="505050"/>
          <w:spacing w:val="-15"/>
        </w:rPr>
        <w:t xml:space="preserve"> </w:t>
      </w:r>
      <w:r>
        <w:rPr>
          <w:color w:val="505050"/>
        </w:rPr>
        <w:t>Mahindra.</w:t>
      </w:r>
    </w:p>
    <w:p w:rsidR="000D5DF1">
      <w:pPr>
        <w:pStyle w:val="BodyText"/>
        <w:spacing w:before="9"/>
        <w:rPr>
          <w:sz w:val="20"/>
        </w:rPr>
      </w:pPr>
    </w:p>
    <w:p w:rsidR="000D5DF1">
      <w:pPr>
        <w:pStyle w:val="BodyText"/>
        <w:spacing w:line="276" w:lineRule="auto"/>
        <w:ind w:left="100" w:right="112"/>
        <w:jc w:val="both"/>
      </w:pPr>
      <w:r>
        <w:rPr>
          <w:color w:val="505050"/>
        </w:rPr>
        <w:t>The community lab has been used by a TIP project group to integrate and test</w:t>
      </w:r>
      <w:r>
        <w:rPr>
          <w:color w:val="505050"/>
          <w:spacing w:val="-34"/>
        </w:rPr>
        <w:t xml:space="preserve"> </w:t>
      </w:r>
      <w:r>
        <w:rPr>
          <w:color w:val="505050"/>
        </w:rPr>
        <w:t>OpenRAN</w:t>
      </w:r>
      <w:r>
        <w:rPr>
          <w:color w:val="505050"/>
        </w:rPr>
        <w:t xml:space="preserve"> use</w:t>
      </w:r>
      <w:r>
        <w:rPr>
          <w:color w:val="505050"/>
          <w:spacing w:val="-13"/>
        </w:rPr>
        <w:t xml:space="preserve"> </w:t>
      </w:r>
      <w:r>
        <w:rPr>
          <w:color w:val="505050"/>
        </w:rPr>
        <w:t>cases.</w:t>
      </w:r>
      <w:r>
        <w:rPr>
          <w:color w:val="505050"/>
          <w:spacing w:val="-14"/>
        </w:rPr>
        <w:t xml:space="preserve"> </w:t>
      </w:r>
      <w:r>
        <w:rPr>
          <w:color w:val="505050"/>
        </w:rPr>
        <w:t>Over</w:t>
      </w:r>
      <w:r>
        <w:rPr>
          <w:color w:val="505050"/>
          <w:spacing w:val="-14"/>
        </w:rPr>
        <w:t xml:space="preserve"> </w:t>
      </w:r>
      <w:r>
        <w:rPr>
          <w:color w:val="505050"/>
        </w:rPr>
        <w:t>the</w:t>
      </w:r>
      <w:r>
        <w:rPr>
          <w:color w:val="505050"/>
          <w:spacing w:val="-15"/>
        </w:rPr>
        <w:t xml:space="preserve"> </w:t>
      </w:r>
      <w:r>
        <w:rPr>
          <w:color w:val="505050"/>
        </w:rPr>
        <w:t>last</w:t>
      </w:r>
      <w:r>
        <w:rPr>
          <w:color w:val="505050"/>
          <w:spacing w:val="-16"/>
        </w:rPr>
        <w:t xml:space="preserve"> </w:t>
      </w:r>
      <w:r>
        <w:rPr>
          <w:color w:val="505050"/>
        </w:rPr>
        <w:t>18</w:t>
      </w:r>
      <w:r>
        <w:rPr>
          <w:color w:val="505050"/>
          <w:spacing w:val="-12"/>
        </w:rPr>
        <w:t xml:space="preserve"> </w:t>
      </w:r>
      <w:r>
        <w:rPr>
          <w:color w:val="505050"/>
        </w:rPr>
        <w:t>months,</w:t>
      </w:r>
      <w:r>
        <w:rPr>
          <w:color w:val="505050"/>
          <w:spacing w:val="-14"/>
        </w:rPr>
        <w:t xml:space="preserve"> </w:t>
      </w:r>
      <w:r>
        <w:rPr>
          <w:color w:val="505050"/>
        </w:rPr>
        <w:t>this</w:t>
      </w:r>
      <w:r>
        <w:rPr>
          <w:color w:val="505050"/>
          <w:spacing w:val="-13"/>
        </w:rPr>
        <w:t xml:space="preserve"> </w:t>
      </w:r>
      <w:r>
        <w:rPr>
          <w:color w:val="505050"/>
        </w:rPr>
        <w:t>novel,</w:t>
      </w:r>
      <w:r>
        <w:rPr>
          <w:color w:val="505050"/>
          <w:spacing w:val="-11"/>
        </w:rPr>
        <w:t xml:space="preserve"> </w:t>
      </w:r>
      <w:r>
        <w:rPr>
          <w:color w:val="505050"/>
        </w:rPr>
        <w:t>world-leading</w:t>
      </w:r>
      <w:r>
        <w:rPr>
          <w:color w:val="505050"/>
          <w:spacing w:val="-13"/>
        </w:rPr>
        <w:t xml:space="preserve"> </w:t>
      </w:r>
      <w:r>
        <w:rPr>
          <w:color w:val="505050"/>
        </w:rPr>
        <w:t>work</w:t>
      </w:r>
      <w:r>
        <w:rPr>
          <w:color w:val="505050"/>
          <w:spacing w:val="-12"/>
        </w:rPr>
        <w:t xml:space="preserve"> </w:t>
      </w:r>
      <w:r>
        <w:rPr>
          <w:color w:val="505050"/>
        </w:rPr>
        <w:t>led</w:t>
      </w:r>
      <w:r>
        <w:rPr>
          <w:color w:val="505050"/>
          <w:spacing w:val="-15"/>
        </w:rPr>
        <w:t xml:space="preserve"> </w:t>
      </w:r>
      <w:r>
        <w:rPr>
          <w:color w:val="505050"/>
        </w:rPr>
        <w:t>to</w:t>
      </w:r>
      <w:r>
        <w:rPr>
          <w:color w:val="505050"/>
          <w:spacing w:val="-14"/>
        </w:rPr>
        <w:t xml:space="preserve"> </w:t>
      </w:r>
      <w:r>
        <w:rPr>
          <w:color w:val="505050"/>
        </w:rPr>
        <w:t>the</w:t>
      </w:r>
      <w:r>
        <w:rPr>
          <w:color w:val="505050"/>
          <w:spacing w:val="-12"/>
        </w:rPr>
        <w:t xml:space="preserve"> </w:t>
      </w:r>
      <w:r>
        <w:rPr>
          <w:color w:val="505050"/>
        </w:rPr>
        <w:t>specifications which</w:t>
      </w:r>
      <w:r>
        <w:rPr>
          <w:color w:val="505050"/>
          <w:spacing w:val="-9"/>
        </w:rPr>
        <w:t xml:space="preserve"> </w:t>
      </w:r>
      <w:r>
        <w:rPr>
          <w:color w:val="505050"/>
        </w:rPr>
        <w:t>enable</w:t>
      </w:r>
      <w:r>
        <w:rPr>
          <w:color w:val="505050"/>
          <w:spacing w:val="-11"/>
        </w:rPr>
        <w:t xml:space="preserve"> </w:t>
      </w:r>
      <w:r>
        <w:rPr>
          <w:color w:val="505050"/>
        </w:rPr>
        <w:t>OpenRAN</w:t>
      </w:r>
      <w:r>
        <w:rPr>
          <w:color w:val="505050"/>
          <w:spacing w:val="-10"/>
        </w:rPr>
        <w:t xml:space="preserve"> </w:t>
      </w:r>
      <w:r>
        <w:rPr>
          <w:color w:val="505050"/>
        </w:rPr>
        <w:t>to</w:t>
      </w:r>
      <w:r>
        <w:rPr>
          <w:color w:val="505050"/>
          <w:spacing w:val="-9"/>
        </w:rPr>
        <w:t xml:space="preserve"> </w:t>
      </w:r>
      <w:r>
        <w:rPr>
          <w:color w:val="505050"/>
        </w:rPr>
        <w:t>be</w:t>
      </w:r>
      <w:r>
        <w:rPr>
          <w:color w:val="505050"/>
          <w:spacing w:val="-12"/>
        </w:rPr>
        <w:t xml:space="preserve"> </w:t>
      </w:r>
      <w:r>
        <w:rPr>
          <w:color w:val="505050"/>
        </w:rPr>
        <w:t>deployed</w:t>
      </w:r>
      <w:r>
        <w:rPr>
          <w:color w:val="505050"/>
          <w:spacing w:val="-8"/>
        </w:rPr>
        <w:t xml:space="preserve"> </w:t>
      </w:r>
      <w:r>
        <w:rPr>
          <w:color w:val="505050"/>
        </w:rPr>
        <w:t>in</w:t>
      </w:r>
      <w:r>
        <w:rPr>
          <w:color w:val="505050"/>
          <w:spacing w:val="-14"/>
        </w:rPr>
        <w:t xml:space="preserve"> </w:t>
      </w:r>
      <w:r>
        <w:rPr>
          <w:color w:val="505050"/>
        </w:rPr>
        <w:t>more</w:t>
      </w:r>
      <w:r>
        <w:rPr>
          <w:color w:val="505050"/>
          <w:spacing w:val="-11"/>
        </w:rPr>
        <w:t xml:space="preserve"> </w:t>
      </w:r>
      <w:r>
        <w:rPr>
          <w:color w:val="505050"/>
        </w:rPr>
        <w:t>contexts,</w:t>
      </w:r>
      <w:r>
        <w:rPr>
          <w:color w:val="505050"/>
          <w:spacing w:val="-9"/>
        </w:rPr>
        <w:t xml:space="preserve"> </w:t>
      </w:r>
      <w:r>
        <w:rPr>
          <w:color w:val="505050"/>
        </w:rPr>
        <w:t>including</w:t>
      </w:r>
      <w:r>
        <w:rPr>
          <w:color w:val="505050"/>
          <w:spacing w:val="-9"/>
        </w:rPr>
        <w:t xml:space="preserve"> </w:t>
      </w:r>
      <w:r>
        <w:rPr>
          <w:color w:val="505050"/>
        </w:rPr>
        <w:t>where</w:t>
      </w:r>
      <w:r>
        <w:rPr>
          <w:color w:val="505050"/>
          <w:spacing w:val="-11"/>
        </w:rPr>
        <w:t xml:space="preserve"> </w:t>
      </w:r>
      <w:r>
        <w:rPr>
          <w:color w:val="505050"/>
        </w:rPr>
        <w:t>it</w:t>
      </w:r>
      <w:r>
        <w:rPr>
          <w:color w:val="505050"/>
          <w:spacing w:val="-11"/>
        </w:rPr>
        <w:t xml:space="preserve"> </w:t>
      </w:r>
      <w:r>
        <w:rPr>
          <w:color w:val="505050"/>
        </w:rPr>
        <w:t>is</w:t>
      </w:r>
      <w:r>
        <w:rPr>
          <w:color w:val="505050"/>
          <w:spacing w:val="-8"/>
        </w:rPr>
        <w:t xml:space="preserve"> </w:t>
      </w:r>
      <w:r>
        <w:rPr>
          <w:color w:val="505050"/>
        </w:rPr>
        <w:t>traditionally challenging to link the core with the RAN. One of the challenges of any RAN is</w:t>
      </w:r>
      <w:r>
        <w:rPr>
          <w:color w:val="505050"/>
          <w:spacing w:val="57"/>
        </w:rPr>
        <w:t xml:space="preserve"> </w:t>
      </w:r>
      <w:r>
        <w:rPr>
          <w:color w:val="505050"/>
        </w:rPr>
        <w:t>backhaul</w:t>
      </w:r>
    </w:p>
    <w:p w:rsidR="000D5DF1">
      <w:pPr>
        <w:pStyle w:val="ListParagraph"/>
        <w:numPr>
          <w:ilvl w:val="0"/>
          <w:numId w:val="1"/>
        </w:numPr>
        <w:tabs>
          <w:tab w:val="left" w:pos="281"/>
        </w:tabs>
        <w:spacing w:line="276" w:lineRule="auto"/>
        <w:ind w:firstLine="0"/>
      </w:pPr>
      <w:r>
        <w:rPr>
          <w:color w:val="505050"/>
        </w:rPr>
        <w:t>sending</w:t>
      </w:r>
      <w:r>
        <w:rPr>
          <w:color w:val="505050"/>
          <w:spacing w:val="-6"/>
        </w:rPr>
        <w:t xml:space="preserve"> </w:t>
      </w:r>
      <w:r>
        <w:rPr>
          <w:color w:val="505050"/>
        </w:rPr>
        <w:t>data</w:t>
      </w:r>
      <w:r>
        <w:rPr>
          <w:color w:val="505050"/>
          <w:spacing w:val="-8"/>
        </w:rPr>
        <w:t xml:space="preserve"> </w:t>
      </w:r>
      <w:r>
        <w:rPr>
          <w:color w:val="505050"/>
        </w:rPr>
        <w:t>from</w:t>
      </w:r>
      <w:r>
        <w:rPr>
          <w:color w:val="505050"/>
          <w:spacing w:val="-6"/>
        </w:rPr>
        <w:t xml:space="preserve"> </w:t>
      </w:r>
      <w:r>
        <w:rPr>
          <w:color w:val="505050"/>
        </w:rPr>
        <w:t>masts</w:t>
      </w:r>
      <w:r>
        <w:rPr>
          <w:color w:val="505050"/>
          <w:spacing w:val="-4"/>
        </w:rPr>
        <w:t xml:space="preserve"> </w:t>
      </w:r>
      <w:r>
        <w:rPr>
          <w:color w:val="505050"/>
        </w:rPr>
        <w:t>and</w:t>
      </w:r>
      <w:r>
        <w:rPr>
          <w:color w:val="505050"/>
          <w:spacing w:val="-5"/>
        </w:rPr>
        <w:t xml:space="preserve"> </w:t>
      </w:r>
      <w:r>
        <w:rPr>
          <w:color w:val="505050"/>
        </w:rPr>
        <w:t>antennas</w:t>
      </w:r>
      <w:r>
        <w:rPr>
          <w:color w:val="505050"/>
          <w:spacing w:val="-7"/>
        </w:rPr>
        <w:t xml:space="preserve"> </w:t>
      </w:r>
      <w:r>
        <w:rPr>
          <w:color w:val="505050"/>
        </w:rPr>
        <w:t>to</w:t>
      </w:r>
      <w:r>
        <w:rPr>
          <w:color w:val="505050"/>
          <w:spacing w:val="-3"/>
        </w:rPr>
        <w:t xml:space="preserve"> </w:t>
      </w:r>
      <w:r>
        <w:rPr>
          <w:color w:val="505050"/>
        </w:rPr>
        <w:t>the</w:t>
      </w:r>
      <w:r>
        <w:rPr>
          <w:color w:val="505050"/>
          <w:spacing w:val="-8"/>
        </w:rPr>
        <w:t xml:space="preserve"> </w:t>
      </w:r>
      <w:r>
        <w:rPr>
          <w:color w:val="505050"/>
        </w:rPr>
        <w:t>core</w:t>
      </w:r>
      <w:r>
        <w:rPr>
          <w:color w:val="505050"/>
          <w:spacing w:val="-5"/>
        </w:rPr>
        <w:t xml:space="preserve"> </w:t>
      </w:r>
      <w:r>
        <w:rPr>
          <w:color w:val="505050"/>
        </w:rPr>
        <w:t>and</w:t>
      </w:r>
      <w:r>
        <w:rPr>
          <w:color w:val="505050"/>
          <w:spacing w:val="-4"/>
        </w:rPr>
        <w:t xml:space="preserve"> </w:t>
      </w:r>
      <w:r>
        <w:rPr>
          <w:color w:val="505050"/>
        </w:rPr>
        <w:t>the</w:t>
      </w:r>
      <w:r>
        <w:rPr>
          <w:color w:val="505050"/>
          <w:spacing w:val="-8"/>
        </w:rPr>
        <w:t xml:space="preserve"> </w:t>
      </w:r>
      <w:r>
        <w:rPr>
          <w:color w:val="505050"/>
        </w:rPr>
        <w:t>Internet</w:t>
      </w:r>
      <w:r>
        <w:rPr>
          <w:color w:val="505050"/>
          <w:spacing w:val="-3"/>
        </w:rPr>
        <w:t xml:space="preserve"> </w:t>
      </w:r>
      <w:r>
        <w:rPr>
          <w:color w:val="505050"/>
        </w:rPr>
        <w:t>–</w:t>
      </w:r>
      <w:r>
        <w:rPr>
          <w:color w:val="505050"/>
          <w:spacing w:val="-5"/>
        </w:rPr>
        <w:t xml:space="preserve"> </w:t>
      </w:r>
      <w:r>
        <w:rPr>
          <w:color w:val="505050"/>
        </w:rPr>
        <w:t>because</w:t>
      </w:r>
      <w:r>
        <w:rPr>
          <w:color w:val="505050"/>
          <w:spacing w:val="-4"/>
        </w:rPr>
        <w:t xml:space="preserve"> </w:t>
      </w:r>
      <w:r>
        <w:rPr>
          <w:color w:val="505050"/>
        </w:rPr>
        <w:t>it</w:t>
      </w:r>
      <w:r>
        <w:rPr>
          <w:color w:val="505050"/>
          <w:spacing w:val="-4"/>
        </w:rPr>
        <w:t xml:space="preserve"> </w:t>
      </w:r>
      <w:r>
        <w:rPr>
          <w:color w:val="505050"/>
        </w:rPr>
        <w:t>is</w:t>
      </w:r>
      <w:r>
        <w:rPr>
          <w:color w:val="505050"/>
          <w:spacing w:val="-4"/>
        </w:rPr>
        <w:t xml:space="preserve"> </w:t>
      </w:r>
      <w:r>
        <w:rPr>
          <w:color w:val="505050"/>
        </w:rPr>
        <w:t>often costly</w:t>
      </w:r>
      <w:r>
        <w:rPr>
          <w:color w:val="505050"/>
          <w:spacing w:val="-6"/>
        </w:rPr>
        <w:t xml:space="preserve"> </w:t>
      </w:r>
      <w:r>
        <w:rPr>
          <w:color w:val="505050"/>
        </w:rPr>
        <w:t>to</w:t>
      </w:r>
      <w:r>
        <w:rPr>
          <w:color w:val="505050"/>
          <w:spacing w:val="-8"/>
        </w:rPr>
        <w:t xml:space="preserve"> </w:t>
      </w:r>
      <w:r>
        <w:rPr>
          <w:color w:val="505050"/>
        </w:rPr>
        <w:t>build</w:t>
      </w:r>
      <w:r>
        <w:rPr>
          <w:color w:val="505050"/>
          <w:spacing w:val="-6"/>
        </w:rPr>
        <w:t xml:space="preserve"> </w:t>
      </w:r>
      <w:r>
        <w:rPr>
          <w:color w:val="505050"/>
        </w:rPr>
        <w:t>the</w:t>
      </w:r>
      <w:r>
        <w:rPr>
          <w:color w:val="505050"/>
          <w:spacing w:val="-6"/>
        </w:rPr>
        <w:t xml:space="preserve"> </w:t>
      </w:r>
      <w:r>
        <w:rPr>
          <w:color w:val="505050"/>
        </w:rPr>
        <w:t>links.</w:t>
      </w:r>
      <w:r>
        <w:rPr>
          <w:color w:val="505050"/>
          <w:spacing w:val="-10"/>
        </w:rPr>
        <w:t xml:space="preserve"> </w:t>
      </w:r>
      <w:r>
        <w:rPr>
          <w:color w:val="505050"/>
        </w:rPr>
        <w:t>Older</w:t>
      </w:r>
      <w:r>
        <w:rPr>
          <w:color w:val="505050"/>
          <w:spacing w:val="-4"/>
        </w:rPr>
        <w:t xml:space="preserve"> </w:t>
      </w:r>
      <w:r>
        <w:rPr>
          <w:color w:val="505050"/>
        </w:rPr>
        <w:t>generations</w:t>
      </w:r>
      <w:r>
        <w:rPr>
          <w:color w:val="505050"/>
          <w:spacing w:val="-6"/>
        </w:rPr>
        <w:t xml:space="preserve"> </w:t>
      </w:r>
      <w:r>
        <w:rPr>
          <w:color w:val="505050"/>
        </w:rPr>
        <w:t>of</w:t>
      </w:r>
      <w:r>
        <w:rPr>
          <w:color w:val="505050"/>
          <w:spacing w:val="-4"/>
        </w:rPr>
        <w:t xml:space="preserve"> </w:t>
      </w:r>
      <w:r>
        <w:rPr>
          <w:color w:val="505050"/>
          <w:spacing w:val="-2"/>
        </w:rPr>
        <w:t>RAN</w:t>
      </w:r>
      <w:r>
        <w:rPr>
          <w:color w:val="505050"/>
          <w:spacing w:val="-6"/>
        </w:rPr>
        <w:t xml:space="preserve"> </w:t>
      </w:r>
      <w:r>
        <w:rPr>
          <w:color w:val="505050"/>
        </w:rPr>
        <w:t>technology</w:t>
      </w:r>
      <w:r>
        <w:rPr>
          <w:color w:val="505050"/>
          <w:spacing w:val="-5"/>
        </w:rPr>
        <w:t xml:space="preserve"> </w:t>
      </w:r>
      <w:r>
        <w:rPr>
          <w:color w:val="505050"/>
        </w:rPr>
        <w:t>were</w:t>
      </w:r>
      <w:r>
        <w:rPr>
          <w:color w:val="505050"/>
          <w:spacing w:val="-5"/>
        </w:rPr>
        <w:t xml:space="preserve"> </w:t>
      </w:r>
      <w:r>
        <w:rPr>
          <w:color w:val="505050"/>
        </w:rPr>
        <w:t>inflexible</w:t>
      </w:r>
      <w:r>
        <w:rPr>
          <w:color w:val="505050"/>
          <w:spacing w:val="-6"/>
        </w:rPr>
        <w:t xml:space="preserve"> </w:t>
      </w:r>
      <w:r>
        <w:rPr>
          <w:color w:val="505050"/>
        </w:rPr>
        <w:t>working</w:t>
      </w:r>
      <w:r>
        <w:rPr>
          <w:color w:val="505050"/>
          <w:spacing w:val="-6"/>
        </w:rPr>
        <w:t xml:space="preserve"> </w:t>
      </w:r>
      <w:r>
        <w:rPr>
          <w:color w:val="505050"/>
        </w:rPr>
        <w:t>with limited types of backhaul, making it more complicated and expensive to upgrade or roll out new equipment. Work at the TIP Community Lab enables the RAN to work with wired or wireless backhaul (such as microwave or</w:t>
      </w:r>
      <w:r>
        <w:rPr>
          <w:color w:val="505050"/>
          <w:spacing w:val="-4"/>
        </w:rPr>
        <w:t xml:space="preserve"> </w:t>
      </w:r>
      <w:r>
        <w:rPr>
          <w:color w:val="505050"/>
        </w:rPr>
        <w:t>cable).</w:t>
      </w:r>
    </w:p>
    <w:p w:rsidR="000D5DF1">
      <w:pPr>
        <w:pStyle w:val="BodyText"/>
        <w:spacing w:before="11"/>
        <w:rPr>
          <w:sz w:val="20"/>
        </w:rPr>
      </w:pPr>
    </w:p>
    <w:p w:rsidR="000D5DF1">
      <w:pPr>
        <w:pStyle w:val="BodyText"/>
        <w:spacing w:line="276" w:lineRule="auto"/>
        <w:ind w:left="100" w:right="114"/>
        <w:jc w:val="both"/>
      </w:pPr>
      <w:r>
        <w:rPr>
          <w:color w:val="505050"/>
        </w:rPr>
        <w:t xml:space="preserve">This is particularly useful in urban contexts and where fibre is not always available to interconnect network functions. The project group included key players in the emerging </w:t>
      </w:r>
      <w:r>
        <w:rPr>
          <w:color w:val="505050"/>
        </w:rPr>
        <w:t>OpenRAN</w:t>
      </w:r>
      <w:r>
        <w:rPr>
          <w:color w:val="505050"/>
        </w:rPr>
        <w:t xml:space="preserve"> eco-system: Cable Labs, </w:t>
      </w:r>
      <w:r>
        <w:rPr>
          <w:color w:val="505050"/>
        </w:rPr>
        <w:t>Mavenir</w:t>
      </w:r>
      <w:r>
        <w:rPr>
          <w:color w:val="505050"/>
        </w:rPr>
        <w:t xml:space="preserve">, </w:t>
      </w:r>
      <w:r>
        <w:rPr>
          <w:color w:val="505050"/>
        </w:rPr>
        <w:t>Accelleran</w:t>
      </w:r>
      <w:r>
        <w:rPr>
          <w:color w:val="505050"/>
        </w:rPr>
        <w:t xml:space="preserve">, </w:t>
      </w:r>
      <w:r>
        <w:rPr>
          <w:color w:val="505050"/>
        </w:rPr>
        <w:t>Aceaxis</w:t>
      </w:r>
      <w:r>
        <w:rPr>
          <w:color w:val="505050"/>
        </w:rPr>
        <w:t xml:space="preserve">, and </w:t>
      </w:r>
      <w:r>
        <w:rPr>
          <w:color w:val="505050"/>
        </w:rPr>
        <w:t>Benetel</w:t>
      </w:r>
      <w:r>
        <w:rPr>
          <w:color w:val="505050"/>
        </w:rPr>
        <w:t>.</w:t>
      </w:r>
    </w:p>
    <w:p w:rsidR="000D5DF1">
      <w:pPr>
        <w:pStyle w:val="BodyText"/>
        <w:spacing w:before="10"/>
        <w:rPr>
          <w:sz w:val="20"/>
        </w:rPr>
      </w:pPr>
    </w:p>
    <w:p w:rsidR="000D5DF1">
      <w:pPr>
        <w:pStyle w:val="BodyText"/>
        <w:spacing w:before="1" w:line="276" w:lineRule="auto"/>
        <w:ind w:left="100" w:right="113"/>
        <w:jc w:val="both"/>
      </w:pPr>
      <w:r>
        <w:rPr>
          <w:color w:val="505050"/>
        </w:rPr>
        <w:t xml:space="preserve">Further work is currently being planned to investigate the use of machine learning to optimise and improve the radio efficiency, exploiting </w:t>
      </w:r>
      <w:r>
        <w:rPr>
          <w:color w:val="505050"/>
        </w:rPr>
        <w:t>OpenRAN</w:t>
      </w:r>
      <w:r>
        <w:rPr>
          <w:color w:val="505050"/>
        </w:rPr>
        <w:t xml:space="preserve"> interfaces.</w:t>
      </w:r>
    </w:p>
    <w:p w:rsidR="000D5DF1">
      <w:pPr>
        <w:pStyle w:val="BodyText"/>
        <w:spacing w:before="11"/>
        <w:rPr>
          <w:sz w:val="20"/>
        </w:rPr>
      </w:pPr>
    </w:p>
    <w:p w:rsidR="000D5DF1">
      <w:pPr>
        <w:pStyle w:val="Heading1"/>
      </w:pPr>
      <w:r>
        <w:rPr>
          <w:color w:val="505050"/>
        </w:rPr>
        <w:t>Policy recommendations</w:t>
      </w:r>
    </w:p>
    <w:p w:rsidR="000D5DF1">
      <w:pPr>
        <w:pStyle w:val="BodyText"/>
        <w:spacing w:before="1"/>
        <w:rPr>
          <w:b/>
          <w:sz w:val="24"/>
        </w:rPr>
      </w:pPr>
    </w:p>
    <w:p w:rsidR="000D5DF1">
      <w:pPr>
        <w:pStyle w:val="BodyText"/>
        <w:spacing w:line="276" w:lineRule="auto"/>
        <w:ind w:left="100" w:right="113"/>
        <w:jc w:val="both"/>
      </w:pPr>
      <w:r>
        <w:rPr>
          <w:color w:val="505050"/>
        </w:rPr>
        <w:t>Barriers to entry in the UK’s telecommunications market can be lowered significantly by encouraging a disaggregated supply chain. Work is ongoing within industry, with UK companies</w:t>
      </w:r>
      <w:r>
        <w:rPr>
          <w:color w:val="505050"/>
          <w:spacing w:val="-9"/>
        </w:rPr>
        <w:t xml:space="preserve"> </w:t>
      </w:r>
      <w:r>
        <w:rPr>
          <w:color w:val="505050"/>
        </w:rPr>
        <w:t>playing</w:t>
      </w:r>
      <w:r>
        <w:rPr>
          <w:color w:val="505050"/>
          <w:spacing w:val="-8"/>
        </w:rPr>
        <w:t xml:space="preserve"> </w:t>
      </w:r>
      <w:r>
        <w:rPr>
          <w:color w:val="505050"/>
        </w:rPr>
        <w:t>a</w:t>
      </w:r>
      <w:r>
        <w:rPr>
          <w:color w:val="505050"/>
          <w:spacing w:val="-10"/>
        </w:rPr>
        <w:t xml:space="preserve"> </w:t>
      </w:r>
      <w:r>
        <w:rPr>
          <w:color w:val="505050"/>
        </w:rPr>
        <w:t>leading</w:t>
      </w:r>
      <w:r>
        <w:rPr>
          <w:color w:val="505050"/>
          <w:spacing w:val="-8"/>
        </w:rPr>
        <w:t xml:space="preserve"> </w:t>
      </w:r>
      <w:r>
        <w:rPr>
          <w:color w:val="505050"/>
        </w:rPr>
        <w:t>role,</w:t>
      </w:r>
      <w:r>
        <w:rPr>
          <w:color w:val="505050"/>
          <w:spacing w:val="-9"/>
        </w:rPr>
        <w:t xml:space="preserve"> </w:t>
      </w:r>
      <w:r>
        <w:rPr>
          <w:color w:val="505050"/>
        </w:rPr>
        <w:t>to</w:t>
      </w:r>
      <w:r>
        <w:rPr>
          <w:color w:val="505050"/>
          <w:spacing w:val="-9"/>
        </w:rPr>
        <w:t xml:space="preserve"> </w:t>
      </w:r>
      <w:r>
        <w:rPr>
          <w:color w:val="505050"/>
        </w:rPr>
        <w:t>do</w:t>
      </w:r>
      <w:r>
        <w:rPr>
          <w:color w:val="505050"/>
          <w:spacing w:val="-11"/>
        </w:rPr>
        <w:t xml:space="preserve"> </w:t>
      </w:r>
      <w:r>
        <w:rPr>
          <w:color w:val="505050"/>
        </w:rPr>
        <w:t>this.</w:t>
      </w:r>
      <w:r>
        <w:rPr>
          <w:color w:val="505050"/>
          <w:spacing w:val="-9"/>
        </w:rPr>
        <w:t xml:space="preserve"> </w:t>
      </w:r>
      <w:r>
        <w:rPr>
          <w:color w:val="505050"/>
        </w:rPr>
        <w:t>This</w:t>
      </w:r>
      <w:r>
        <w:rPr>
          <w:color w:val="505050"/>
          <w:spacing w:val="-10"/>
        </w:rPr>
        <w:t xml:space="preserve"> </w:t>
      </w:r>
      <w:r>
        <w:rPr>
          <w:color w:val="505050"/>
        </w:rPr>
        <w:t>allows</w:t>
      </w:r>
      <w:r>
        <w:rPr>
          <w:color w:val="505050"/>
          <w:spacing w:val="-7"/>
        </w:rPr>
        <w:t xml:space="preserve"> </w:t>
      </w:r>
      <w:r>
        <w:rPr>
          <w:color w:val="505050"/>
        </w:rPr>
        <w:t>greater</w:t>
      </w:r>
      <w:r>
        <w:rPr>
          <w:color w:val="505050"/>
          <w:spacing w:val="-9"/>
        </w:rPr>
        <w:t xml:space="preserve"> </w:t>
      </w:r>
      <w:r>
        <w:rPr>
          <w:color w:val="505050"/>
        </w:rPr>
        <w:t>choice</w:t>
      </w:r>
      <w:r>
        <w:rPr>
          <w:color w:val="505050"/>
          <w:spacing w:val="-11"/>
        </w:rPr>
        <w:t xml:space="preserve"> </w:t>
      </w:r>
      <w:r>
        <w:rPr>
          <w:color w:val="505050"/>
        </w:rPr>
        <w:t>for</w:t>
      </w:r>
      <w:r>
        <w:rPr>
          <w:color w:val="505050"/>
          <w:spacing w:val="-9"/>
        </w:rPr>
        <w:t xml:space="preserve"> </w:t>
      </w:r>
      <w:r>
        <w:rPr>
          <w:color w:val="505050"/>
        </w:rPr>
        <w:t>mobile</w:t>
      </w:r>
      <w:r>
        <w:rPr>
          <w:color w:val="505050"/>
          <w:spacing w:val="-8"/>
        </w:rPr>
        <w:t xml:space="preserve"> </w:t>
      </w:r>
      <w:r>
        <w:rPr>
          <w:color w:val="505050"/>
        </w:rPr>
        <w:t>network operators, who can build networks more cost-effectively, and ultimately benefits consumers. Disaggregation also provides the means for more companies in the market and this trend is already allowing our smaller UK members to</w:t>
      </w:r>
      <w:r>
        <w:rPr>
          <w:color w:val="505050"/>
          <w:spacing w:val="-12"/>
        </w:rPr>
        <w:t xml:space="preserve"> </w:t>
      </w:r>
      <w:r>
        <w:rPr>
          <w:color w:val="505050"/>
        </w:rPr>
        <w:t>grow.</w:t>
      </w:r>
    </w:p>
    <w:p w:rsidR="000D5DF1">
      <w:pPr>
        <w:pStyle w:val="BodyText"/>
        <w:spacing w:before="10"/>
        <w:rPr>
          <w:sz w:val="20"/>
        </w:rPr>
      </w:pPr>
    </w:p>
    <w:p w:rsidR="000D5DF1">
      <w:pPr>
        <w:pStyle w:val="BodyText"/>
        <w:spacing w:line="276" w:lineRule="auto"/>
        <w:ind w:left="100" w:right="117"/>
        <w:jc w:val="both"/>
      </w:pPr>
      <w:r>
        <w:rPr>
          <w:color w:val="505050"/>
        </w:rPr>
        <w:t>These</w:t>
      </w:r>
      <w:r>
        <w:rPr>
          <w:color w:val="505050"/>
          <w:spacing w:val="-12"/>
        </w:rPr>
        <w:t xml:space="preserve"> </w:t>
      </w:r>
      <w:r>
        <w:rPr>
          <w:color w:val="505050"/>
        </w:rPr>
        <w:t>benefits</w:t>
      </w:r>
      <w:r>
        <w:rPr>
          <w:color w:val="505050"/>
          <w:spacing w:val="-12"/>
        </w:rPr>
        <w:t xml:space="preserve"> </w:t>
      </w:r>
      <w:r>
        <w:rPr>
          <w:color w:val="505050"/>
        </w:rPr>
        <w:t>can</w:t>
      </w:r>
      <w:r>
        <w:rPr>
          <w:color w:val="505050"/>
          <w:spacing w:val="-11"/>
        </w:rPr>
        <w:t xml:space="preserve"> </w:t>
      </w:r>
      <w:r>
        <w:rPr>
          <w:color w:val="505050"/>
        </w:rPr>
        <w:t>be</w:t>
      </w:r>
      <w:r>
        <w:rPr>
          <w:color w:val="505050"/>
          <w:spacing w:val="-10"/>
        </w:rPr>
        <w:t xml:space="preserve"> </w:t>
      </w:r>
      <w:r>
        <w:rPr>
          <w:color w:val="505050"/>
        </w:rPr>
        <w:t>accelerated</w:t>
      </w:r>
      <w:r>
        <w:rPr>
          <w:color w:val="505050"/>
          <w:spacing w:val="-10"/>
        </w:rPr>
        <w:t xml:space="preserve"> </w:t>
      </w:r>
      <w:r>
        <w:rPr>
          <w:color w:val="505050"/>
        </w:rPr>
        <w:t>in</w:t>
      </w:r>
      <w:r>
        <w:rPr>
          <w:color w:val="505050"/>
          <w:spacing w:val="-10"/>
        </w:rPr>
        <w:t xml:space="preserve"> </w:t>
      </w:r>
      <w:r>
        <w:rPr>
          <w:color w:val="505050"/>
        </w:rPr>
        <w:t>a</w:t>
      </w:r>
      <w:r>
        <w:rPr>
          <w:color w:val="505050"/>
          <w:spacing w:val="-10"/>
        </w:rPr>
        <w:t xml:space="preserve"> </w:t>
      </w:r>
      <w:r>
        <w:rPr>
          <w:color w:val="505050"/>
        </w:rPr>
        <w:t>UK</w:t>
      </w:r>
      <w:r>
        <w:rPr>
          <w:color w:val="505050"/>
          <w:spacing w:val="-12"/>
        </w:rPr>
        <w:t xml:space="preserve"> </w:t>
      </w:r>
      <w:r>
        <w:rPr>
          <w:color w:val="505050"/>
        </w:rPr>
        <w:t>context.</w:t>
      </w:r>
      <w:r>
        <w:rPr>
          <w:color w:val="505050"/>
          <w:spacing w:val="-9"/>
        </w:rPr>
        <w:t xml:space="preserve"> </w:t>
      </w:r>
      <w:r>
        <w:rPr>
          <w:color w:val="505050"/>
        </w:rPr>
        <w:t>We</w:t>
      </w:r>
      <w:r>
        <w:rPr>
          <w:color w:val="505050"/>
          <w:spacing w:val="-12"/>
        </w:rPr>
        <w:t xml:space="preserve"> </w:t>
      </w:r>
      <w:r>
        <w:rPr>
          <w:color w:val="505050"/>
        </w:rPr>
        <w:t>would</w:t>
      </w:r>
      <w:r>
        <w:rPr>
          <w:color w:val="505050"/>
          <w:spacing w:val="-10"/>
        </w:rPr>
        <w:t xml:space="preserve"> </w:t>
      </w:r>
      <w:r>
        <w:rPr>
          <w:color w:val="505050"/>
        </w:rPr>
        <w:t>have</w:t>
      </w:r>
      <w:r>
        <w:rPr>
          <w:color w:val="505050"/>
          <w:spacing w:val="-10"/>
        </w:rPr>
        <w:t xml:space="preserve"> </w:t>
      </w:r>
      <w:r>
        <w:rPr>
          <w:color w:val="505050"/>
        </w:rPr>
        <w:t>two</w:t>
      </w:r>
      <w:r>
        <w:rPr>
          <w:color w:val="505050"/>
          <w:spacing w:val="-12"/>
        </w:rPr>
        <w:t xml:space="preserve"> </w:t>
      </w:r>
      <w:r>
        <w:rPr>
          <w:color w:val="505050"/>
        </w:rPr>
        <w:t>recommendations for the committee’s</w:t>
      </w:r>
      <w:r>
        <w:rPr>
          <w:color w:val="505050"/>
          <w:spacing w:val="-3"/>
        </w:rPr>
        <w:t xml:space="preserve"> </w:t>
      </w:r>
      <w:r>
        <w:rPr>
          <w:color w:val="505050"/>
        </w:rPr>
        <w:t>consideration:</w:t>
      </w:r>
    </w:p>
    <w:p w:rsidR="000D5DF1">
      <w:pPr>
        <w:pStyle w:val="BodyText"/>
        <w:spacing w:before="9"/>
        <w:rPr>
          <w:sz w:val="20"/>
        </w:rPr>
      </w:pPr>
    </w:p>
    <w:p w:rsidR="000D5DF1">
      <w:pPr>
        <w:pStyle w:val="ListParagraph"/>
        <w:numPr>
          <w:ilvl w:val="1"/>
          <w:numId w:val="1"/>
        </w:numPr>
        <w:tabs>
          <w:tab w:val="left" w:pos="821"/>
        </w:tabs>
        <w:jc w:val="both"/>
      </w:pPr>
      <w:r>
        <w:rPr>
          <w:color w:val="505050"/>
        </w:rPr>
        <w:t>The UK should provide support for innovative British companies in radio access networks. The Budget indicated an ambitious agenda around infrastructure modernisation, which could well support this aim. In this regard, the proposal to create</w:t>
      </w:r>
      <w:r>
        <w:rPr>
          <w:color w:val="505050"/>
          <w:spacing w:val="-10"/>
        </w:rPr>
        <w:t xml:space="preserve"> </w:t>
      </w:r>
      <w:r>
        <w:rPr>
          <w:color w:val="505050"/>
        </w:rPr>
        <w:t>a</w:t>
      </w:r>
      <w:r>
        <w:rPr>
          <w:color w:val="505050"/>
          <w:spacing w:val="-10"/>
        </w:rPr>
        <w:t xml:space="preserve"> </w:t>
      </w:r>
      <w:r>
        <w:rPr>
          <w:color w:val="505050"/>
        </w:rPr>
        <w:t>“UK</w:t>
      </w:r>
      <w:r>
        <w:rPr>
          <w:color w:val="505050"/>
          <w:spacing w:val="-7"/>
        </w:rPr>
        <w:t xml:space="preserve"> </w:t>
      </w:r>
      <w:r>
        <w:rPr>
          <w:color w:val="505050"/>
        </w:rPr>
        <w:t>ARPA”,</w:t>
      </w:r>
      <w:r>
        <w:rPr>
          <w:color w:val="505050"/>
          <w:spacing w:val="-8"/>
        </w:rPr>
        <w:t xml:space="preserve"> </w:t>
      </w:r>
      <w:r>
        <w:rPr>
          <w:color w:val="505050"/>
        </w:rPr>
        <w:t>modelled</w:t>
      </w:r>
      <w:r>
        <w:rPr>
          <w:color w:val="505050"/>
          <w:spacing w:val="-7"/>
        </w:rPr>
        <w:t xml:space="preserve"> </w:t>
      </w:r>
      <w:r>
        <w:rPr>
          <w:color w:val="505050"/>
        </w:rPr>
        <w:t>after</w:t>
      </w:r>
      <w:r>
        <w:rPr>
          <w:color w:val="505050"/>
          <w:spacing w:val="-9"/>
        </w:rPr>
        <w:t xml:space="preserve"> </w:t>
      </w:r>
      <w:r>
        <w:rPr>
          <w:color w:val="505050"/>
        </w:rPr>
        <w:t>the</w:t>
      </w:r>
      <w:r>
        <w:rPr>
          <w:color w:val="505050"/>
          <w:spacing w:val="-9"/>
        </w:rPr>
        <w:t xml:space="preserve"> </w:t>
      </w:r>
      <w:r>
        <w:rPr>
          <w:color w:val="505050"/>
        </w:rPr>
        <w:t>US</w:t>
      </w:r>
      <w:r>
        <w:rPr>
          <w:color w:val="505050"/>
          <w:spacing w:val="-8"/>
        </w:rPr>
        <w:t xml:space="preserve"> </w:t>
      </w:r>
      <w:r>
        <w:rPr>
          <w:color w:val="505050"/>
        </w:rPr>
        <w:t>Advanced</w:t>
      </w:r>
      <w:r>
        <w:rPr>
          <w:color w:val="505050"/>
          <w:spacing w:val="-7"/>
        </w:rPr>
        <w:t xml:space="preserve"> </w:t>
      </w:r>
      <w:r>
        <w:rPr>
          <w:color w:val="505050"/>
        </w:rPr>
        <w:t>Research</w:t>
      </w:r>
      <w:r>
        <w:rPr>
          <w:color w:val="505050"/>
          <w:spacing w:val="-8"/>
        </w:rPr>
        <w:t xml:space="preserve"> </w:t>
      </w:r>
      <w:r>
        <w:rPr>
          <w:color w:val="505050"/>
        </w:rPr>
        <w:t>Projects</w:t>
      </w:r>
      <w:r>
        <w:rPr>
          <w:color w:val="505050"/>
          <w:spacing w:val="-9"/>
        </w:rPr>
        <w:t xml:space="preserve"> </w:t>
      </w:r>
      <w:r>
        <w:rPr>
          <w:color w:val="505050"/>
        </w:rPr>
        <w:t>Agency, could be</w:t>
      </w:r>
      <w:r>
        <w:rPr>
          <w:color w:val="505050"/>
          <w:spacing w:val="-1"/>
        </w:rPr>
        <w:t xml:space="preserve"> </w:t>
      </w:r>
      <w:r>
        <w:rPr>
          <w:color w:val="505050"/>
        </w:rPr>
        <w:t>relevant.</w:t>
      </w:r>
    </w:p>
    <w:p w:rsidR="000D5DF1">
      <w:pPr>
        <w:pStyle w:val="ListParagraph"/>
        <w:numPr>
          <w:ilvl w:val="1"/>
          <w:numId w:val="1"/>
        </w:numPr>
        <w:tabs>
          <w:tab w:val="left" w:pos="821"/>
        </w:tabs>
        <w:spacing w:before="3"/>
        <w:ind w:right="115"/>
        <w:jc w:val="both"/>
      </w:pPr>
      <w:r>
        <w:rPr>
          <w:color w:val="505050"/>
        </w:rPr>
        <w:t xml:space="preserve">The Government should consider ways to make it easier for mobile network operators to procure from outside the established vendors. Having the right environment for this market to flourish is indispensable to gaining the security advantages inherent in that diverse marketplace. Other countries have been able to successfully design nimble regimes which enabling earlier deployment </w:t>
      </w:r>
      <w:r>
        <w:rPr>
          <w:color w:val="505050"/>
          <w:spacing w:val="-3"/>
        </w:rPr>
        <w:t xml:space="preserve">of </w:t>
      </w:r>
      <w:r>
        <w:rPr>
          <w:color w:val="505050"/>
        </w:rPr>
        <w:t>OpenRAN</w:t>
      </w:r>
      <w:r>
        <w:rPr>
          <w:color w:val="505050"/>
        </w:rPr>
        <w:t>.</w:t>
      </w:r>
    </w:p>
    <w:p w:rsidR="000D5DF1">
      <w:pPr>
        <w:pStyle w:val="BodyText"/>
        <w:spacing w:before="9"/>
        <w:rPr>
          <w:sz w:val="21"/>
        </w:rPr>
      </w:pPr>
    </w:p>
    <w:p w:rsidR="000D5DF1">
      <w:pPr>
        <w:pStyle w:val="Heading1"/>
      </w:pPr>
      <w:r>
        <w:rPr>
          <w:color w:val="505050"/>
        </w:rPr>
        <w:t>Conclusion</w:t>
      </w:r>
    </w:p>
    <w:p w:rsidR="000D5DF1">
      <w:pPr>
        <w:pStyle w:val="BodyText"/>
        <w:spacing w:before="4"/>
        <w:rPr>
          <w:b/>
          <w:sz w:val="24"/>
        </w:rPr>
      </w:pPr>
    </w:p>
    <w:p w:rsidR="000D5DF1">
      <w:pPr>
        <w:pStyle w:val="BodyText"/>
        <w:spacing w:line="276" w:lineRule="auto"/>
        <w:ind w:left="100" w:right="111"/>
        <w:jc w:val="both"/>
      </w:pPr>
      <w:r>
        <w:rPr>
          <w:color w:val="505050"/>
        </w:rPr>
        <w:t>The UK has an opportunity to improve long-term communications infrastructure, not just for 5G but previous and subsequent generations of telecom networks. We believe the</w:t>
      </w:r>
    </w:p>
    <w:p w:rsidR="000D5DF1">
      <w:pPr>
        <w:spacing w:line="276" w:lineRule="auto"/>
        <w:jc w:val="both"/>
        <w:sectPr>
          <w:pgSz w:w="12240" w:h="15840"/>
          <w:pgMar w:top="1360" w:right="1680" w:bottom="960" w:left="1700" w:header="0" w:footer="768" w:gutter="0"/>
          <w:cols w:space="720"/>
        </w:sectPr>
      </w:pPr>
    </w:p>
    <w:p w:rsidR="000D5DF1">
      <w:pPr>
        <w:pStyle w:val="BodyText"/>
        <w:spacing w:before="80" w:line="276" w:lineRule="auto"/>
        <w:ind w:left="100" w:right="111"/>
        <w:jc w:val="both"/>
      </w:pPr>
      <w:r>
        <w:rPr>
          <w:color w:val="505050"/>
        </w:rPr>
        <w:t>structure</w:t>
      </w:r>
      <w:r>
        <w:rPr>
          <w:color w:val="505050"/>
          <w:spacing w:val="-14"/>
        </w:rPr>
        <w:t xml:space="preserve"> </w:t>
      </w:r>
      <w:r>
        <w:rPr>
          <w:color w:val="505050"/>
        </w:rPr>
        <w:t>of</w:t>
      </w:r>
      <w:r>
        <w:rPr>
          <w:color w:val="505050"/>
          <w:spacing w:val="-12"/>
        </w:rPr>
        <w:t xml:space="preserve"> </w:t>
      </w:r>
      <w:r>
        <w:rPr>
          <w:color w:val="505050"/>
        </w:rPr>
        <w:t>the</w:t>
      </w:r>
      <w:r>
        <w:rPr>
          <w:color w:val="505050"/>
          <w:spacing w:val="-15"/>
        </w:rPr>
        <w:t xml:space="preserve"> </w:t>
      </w:r>
      <w:r>
        <w:rPr>
          <w:color w:val="505050"/>
        </w:rPr>
        <w:t>network</w:t>
      </w:r>
      <w:r>
        <w:rPr>
          <w:color w:val="505050"/>
          <w:spacing w:val="-13"/>
        </w:rPr>
        <w:t xml:space="preserve"> </w:t>
      </w:r>
      <w:r>
        <w:rPr>
          <w:color w:val="505050"/>
        </w:rPr>
        <w:t>equipment</w:t>
      </w:r>
      <w:r>
        <w:rPr>
          <w:color w:val="505050"/>
          <w:spacing w:val="-13"/>
        </w:rPr>
        <w:t xml:space="preserve"> </w:t>
      </w:r>
      <w:r>
        <w:rPr>
          <w:color w:val="505050"/>
        </w:rPr>
        <w:t>ecosystem</w:t>
      </w:r>
      <w:r>
        <w:rPr>
          <w:color w:val="505050"/>
          <w:spacing w:val="-12"/>
        </w:rPr>
        <w:t xml:space="preserve"> </w:t>
      </w:r>
      <w:r>
        <w:rPr>
          <w:color w:val="505050"/>
        </w:rPr>
        <w:t>is</w:t>
      </w:r>
      <w:r>
        <w:rPr>
          <w:color w:val="505050"/>
          <w:spacing w:val="-14"/>
        </w:rPr>
        <w:t xml:space="preserve"> </w:t>
      </w:r>
      <w:r>
        <w:rPr>
          <w:color w:val="505050"/>
        </w:rPr>
        <w:t>an</w:t>
      </w:r>
      <w:r>
        <w:rPr>
          <w:color w:val="505050"/>
          <w:spacing w:val="-11"/>
        </w:rPr>
        <w:t xml:space="preserve"> </w:t>
      </w:r>
      <w:r>
        <w:rPr>
          <w:color w:val="505050"/>
        </w:rPr>
        <w:t>important</w:t>
      </w:r>
      <w:r>
        <w:rPr>
          <w:color w:val="505050"/>
          <w:spacing w:val="-13"/>
        </w:rPr>
        <w:t xml:space="preserve"> </w:t>
      </w:r>
      <w:r>
        <w:rPr>
          <w:color w:val="505050"/>
        </w:rPr>
        <w:t>factor</w:t>
      </w:r>
      <w:r>
        <w:rPr>
          <w:color w:val="505050"/>
          <w:spacing w:val="-12"/>
        </w:rPr>
        <w:t xml:space="preserve"> </w:t>
      </w:r>
      <w:r>
        <w:rPr>
          <w:color w:val="505050"/>
        </w:rPr>
        <w:t>in</w:t>
      </w:r>
      <w:r>
        <w:rPr>
          <w:color w:val="505050"/>
          <w:spacing w:val="-12"/>
        </w:rPr>
        <w:t xml:space="preserve"> </w:t>
      </w:r>
      <w:r>
        <w:rPr>
          <w:color w:val="505050"/>
        </w:rPr>
        <w:t>achieving</w:t>
      </w:r>
      <w:r>
        <w:rPr>
          <w:color w:val="505050"/>
          <w:spacing w:val="-12"/>
        </w:rPr>
        <w:t xml:space="preserve"> </w:t>
      </w:r>
      <w:r>
        <w:rPr>
          <w:color w:val="505050"/>
        </w:rPr>
        <w:t>this</w:t>
      </w:r>
      <w:r>
        <w:rPr>
          <w:color w:val="505050"/>
          <w:spacing w:val="-14"/>
        </w:rPr>
        <w:t xml:space="preserve"> </w:t>
      </w:r>
      <w:r>
        <w:rPr>
          <w:color w:val="505050"/>
        </w:rPr>
        <w:t>goal, and the approach offered by disaggregated solutions can provide a more secure, diverse and innovative sector that will realise the UK’s technological ambitions. Moreover, with targeted</w:t>
      </w:r>
      <w:r>
        <w:rPr>
          <w:color w:val="505050"/>
          <w:spacing w:val="-11"/>
        </w:rPr>
        <w:t xml:space="preserve"> </w:t>
      </w:r>
      <w:r>
        <w:rPr>
          <w:color w:val="505050"/>
        </w:rPr>
        <w:t>support</w:t>
      </w:r>
      <w:r>
        <w:rPr>
          <w:color w:val="505050"/>
          <w:spacing w:val="-11"/>
        </w:rPr>
        <w:t xml:space="preserve"> </w:t>
      </w:r>
      <w:r>
        <w:rPr>
          <w:color w:val="505050"/>
        </w:rPr>
        <w:t>from</w:t>
      </w:r>
      <w:r>
        <w:rPr>
          <w:color w:val="505050"/>
          <w:spacing w:val="-12"/>
        </w:rPr>
        <w:t xml:space="preserve"> </w:t>
      </w:r>
      <w:r>
        <w:rPr>
          <w:color w:val="505050"/>
        </w:rPr>
        <w:t>policymakers,</w:t>
      </w:r>
      <w:r>
        <w:rPr>
          <w:color w:val="505050"/>
          <w:spacing w:val="-11"/>
        </w:rPr>
        <w:t xml:space="preserve"> </w:t>
      </w:r>
      <w:r>
        <w:rPr>
          <w:color w:val="505050"/>
        </w:rPr>
        <w:t>the</w:t>
      </w:r>
      <w:r>
        <w:rPr>
          <w:color w:val="505050"/>
          <w:spacing w:val="-11"/>
        </w:rPr>
        <w:t xml:space="preserve"> </w:t>
      </w:r>
      <w:r>
        <w:rPr>
          <w:color w:val="505050"/>
        </w:rPr>
        <w:t>UK</w:t>
      </w:r>
      <w:r>
        <w:rPr>
          <w:color w:val="505050"/>
          <w:spacing w:val="-11"/>
        </w:rPr>
        <w:t xml:space="preserve"> </w:t>
      </w:r>
      <w:r>
        <w:rPr>
          <w:color w:val="505050"/>
        </w:rPr>
        <w:t>can</w:t>
      </w:r>
      <w:r>
        <w:rPr>
          <w:color w:val="505050"/>
          <w:spacing w:val="-12"/>
        </w:rPr>
        <w:t xml:space="preserve"> </w:t>
      </w:r>
      <w:r>
        <w:rPr>
          <w:color w:val="505050"/>
        </w:rPr>
        <w:t>play</w:t>
      </w:r>
      <w:r>
        <w:rPr>
          <w:color w:val="505050"/>
          <w:spacing w:val="-10"/>
        </w:rPr>
        <w:t xml:space="preserve"> </w:t>
      </w:r>
      <w:r>
        <w:rPr>
          <w:color w:val="505050"/>
        </w:rPr>
        <w:t>a</w:t>
      </w:r>
      <w:r>
        <w:rPr>
          <w:color w:val="505050"/>
          <w:spacing w:val="-10"/>
        </w:rPr>
        <w:t xml:space="preserve"> </w:t>
      </w:r>
      <w:r>
        <w:rPr>
          <w:color w:val="505050"/>
        </w:rPr>
        <w:t>leading</w:t>
      </w:r>
      <w:r>
        <w:rPr>
          <w:color w:val="505050"/>
          <w:spacing w:val="-11"/>
        </w:rPr>
        <w:t xml:space="preserve"> </w:t>
      </w:r>
      <w:r>
        <w:rPr>
          <w:color w:val="505050"/>
        </w:rPr>
        <w:t>role</w:t>
      </w:r>
      <w:r>
        <w:rPr>
          <w:color w:val="505050"/>
          <w:spacing w:val="-10"/>
        </w:rPr>
        <w:t xml:space="preserve"> </w:t>
      </w:r>
      <w:r>
        <w:rPr>
          <w:color w:val="505050"/>
        </w:rPr>
        <w:t>in</w:t>
      </w:r>
      <w:r>
        <w:rPr>
          <w:color w:val="505050"/>
          <w:spacing w:val="-10"/>
        </w:rPr>
        <w:t xml:space="preserve"> </w:t>
      </w:r>
      <w:r>
        <w:rPr>
          <w:color w:val="505050"/>
        </w:rPr>
        <w:t>this</w:t>
      </w:r>
      <w:r>
        <w:rPr>
          <w:color w:val="505050"/>
          <w:spacing w:val="-10"/>
        </w:rPr>
        <w:t xml:space="preserve"> </w:t>
      </w:r>
      <w:r>
        <w:rPr>
          <w:color w:val="505050"/>
        </w:rPr>
        <w:t>and</w:t>
      </w:r>
      <w:r>
        <w:rPr>
          <w:color w:val="505050"/>
          <w:spacing w:val="-10"/>
        </w:rPr>
        <w:t xml:space="preserve"> </w:t>
      </w:r>
      <w:r>
        <w:rPr>
          <w:color w:val="505050"/>
        </w:rPr>
        <w:t>subsequent generations of network</w:t>
      </w:r>
      <w:r>
        <w:rPr>
          <w:color w:val="505050"/>
          <w:spacing w:val="-4"/>
        </w:rPr>
        <w:t xml:space="preserve"> </w:t>
      </w:r>
      <w:r>
        <w:rPr>
          <w:color w:val="505050"/>
        </w:rPr>
        <w:t>technologies.</w:t>
      </w:r>
    </w:p>
    <w:p w:rsidR="000D5DF1">
      <w:pPr>
        <w:pStyle w:val="BodyText"/>
        <w:spacing w:before="10"/>
        <w:rPr>
          <w:sz w:val="20"/>
        </w:rPr>
      </w:pPr>
    </w:p>
    <w:p w:rsidR="000D5DF1">
      <w:pPr>
        <w:pStyle w:val="BodyText"/>
        <w:spacing w:line="276" w:lineRule="auto"/>
        <w:ind w:left="100" w:right="119"/>
        <w:jc w:val="both"/>
      </w:pPr>
      <w:r>
        <w:rPr>
          <w:color w:val="505050"/>
        </w:rPr>
        <w:t>TIP looks forward to supporting the work of policymakers in this regard. We thank you</w:t>
      </w:r>
      <w:r>
        <w:rPr>
          <w:color w:val="505050"/>
          <w:spacing w:val="-33"/>
        </w:rPr>
        <w:t xml:space="preserve"> </w:t>
      </w:r>
      <w:r>
        <w:rPr>
          <w:color w:val="505050"/>
        </w:rPr>
        <w:t>for your consideration of this submission and are available for further</w:t>
      </w:r>
      <w:r>
        <w:rPr>
          <w:color w:val="505050"/>
          <w:spacing w:val="-13"/>
        </w:rPr>
        <w:t xml:space="preserve"> </w:t>
      </w:r>
      <w:r>
        <w:rPr>
          <w:color w:val="505050"/>
        </w:rPr>
        <w:t>consultation.</w:t>
      </w:r>
    </w:p>
    <w:p w:rsidR="000D5DF1">
      <w:pPr>
        <w:pStyle w:val="BodyText"/>
        <w:rPr>
          <w:sz w:val="21"/>
        </w:rPr>
      </w:pPr>
    </w:p>
    <w:p w:rsidR="000D5DF1">
      <w:pPr>
        <w:pStyle w:val="BodyText"/>
        <w:spacing w:line="251" w:lineRule="exact"/>
        <w:ind w:left="100"/>
        <w:rPr>
          <w:color w:val="505050"/>
        </w:rPr>
      </w:pPr>
    </w:p>
    <w:p w:rsidR="005D00AC">
      <w:pPr>
        <w:pStyle w:val="BodyText"/>
        <w:spacing w:line="251" w:lineRule="exact"/>
        <w:ind w:left="100"/>
        <w:rPr>
          <w:color w:val="505050"/>
        </w:rPr>
      </w:pPr>
    </w:p>
    <w:p w:rsidR="005D00AC" w:rsidRPr="005D00AC">
      <w:pPr>
        <w:pStyle w:val="BodyText"/>
        <w:spacing w:line="251" w:lineRule="exact"/>
        <w:ind w:left="100"/>
        <w:rPr>
          <w:rFonts w:asciiTheme="minorHAnsi" w:hAnsiTheme="minorHAnsi" w:cstheme="minorHAnsi"/>
          <w:b/>
          <w:bCs/>
          <w:i/>
          <w:iCs/>
          <w:sz w:val="28"/>
          <w:szCs w:val="28"/>
        </w:rPr>
      </w:pPr>
      <w:r w:rsidRPr="005D00AC">
        <w:rPr>
          <w:rFonts w:asciiTheme="minorHAnsi" w:hAnsiTheme="minorHAnsi" w:cstheme="minorHAnsi"/>
          <w:b/>
          <w:bCs/>
          <w:i/>
          <w:iCs/>
          <w:sz w:val="28"/>
          <w:szCs w:val="28"/>
        </w:rPr>
        <w:t>(5 June 2020)</w:t>
      </w:r>
    </w:p>
    <w:sectPr>
      <w:pgSz w:w="12240" w:h="15840"/>
      <w:pgMar w:top="1360" w:right="1680" w:bottom="960" w:left="1700" w:header="0" w:footer="76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altName w:val="Gadugi"/>
    <w:panose1 w:val="020B0502040204020203"/>
    <w:charset w:val="00"/>
    <w:family w:val="swiss"/>
    <w:pitch w:val="variable"/>
    <w:sig w:usb0="80000003" w:usb1="02000000" w:usb2="00003000" w:usb3="00000000" w:csb0="00000001"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5DF1">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height:14pt;margin-left:514.3pt;margin-top:745.55pt;mso-position-horizontal-relative:page;mso-position-vertical-relative:page;position:absolute;width:10.9pt;z-index:-251658240" filled="f" stroked="f">
          <v:textbox inset="0,0,0,0">
            <w:txbxContent>
              <w:p w:rsidR="000D5DF1">
                <w:pPr>
                  <w:spacing w:before="20"/>
                  <w:ind w:left="60"/>
                  <w:rPr>
                    <w:rFonts w:ascii="Gadugi"/>
                    <w:sz w:val="18"/>
                  </w:rPr>
                </w:pPr>
                <w:r>
                  <w:fldChar w:fldCharType="begin"/>
                </w:r>
                <w:r>
                  <w:rPr>
                    <w:rFonts w:ascii="Gadugi"/>
                    <w:color w:val="959595"/>
                    <w:sz w:val="18"/>
                  </w:rPr>
                  <w:instrText xml:space="preserve"> PAGE </w:instrText>
                </w:r>
                <w:r>
                  <w:fldChar w:fldCharType="separate"/>
                </w:r>
                <w:r>
                  <w:t>2</w:t>
                </w:r>
                <w:r>
                  <w:fldChar w:fldCharType="end"/>
                </w:r>
              </w:p>
            </w:txbxContent>
          </v:textbox>
          <w10:wrap anchorx="page" anchory="page"/>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5519BB"/>
    <w:multiLevelType w:val="hybridMultilevel"/>
    <w:tmpl w:val="93885A06"/>
    <w:lvl w:ilvl="0">
      <w:start w:val="0"/>
      <w:numFmt w:val="bullet"/>
      <w:lvlText w:val="-"/>
      <w:lvlJc w:val="left"/>
      <w:pPr>
        <w:ind w:left="100" w:hanging="204"/>
      </w:pPr>
      <w:rPr>
        <w:rFonts w:ascii="Arial" w:eastAsia="Arial" w:hAnsi="Arial" w:cs="Arial" w:hint="default"/>
        <w:color w:val="505050"/>
        <w:w w:val="100"/>
        <w:sz w:val="22"/>
        <w:szCs w:val="22"/>
        <w:lang w:val="en-GB" w:eastAsia="en-GB" w:bidi="en-GB"/>
      </w:rPr>
    </w:lvl>
    <w:lvl w:ilvl="1">
      <w:start w:val="0"/>
      <w:numFmt w:val="bullet"/>
      <w:lvlText w:val=""/>
      <w:lvlJc w:val="left"/>
      <w:pPr>
        <w:ind w:left="820" w:hanging="348"/>
      </w:pPr>
      <w:rPr>
        <w:rFonts w:ascii="Symbol" w:eastAsia="Symbol" w:hAnsi="Symbol" w:cs="Symbol" w:hint="default"/>
        <w:color w:val="505050"/>
        <w:w w:val="99"/>
        <w:sz w:val="20"/>
        <w:szCs w:val="20"/>
        <w:lang w:val="en-GB" w:eastAsia="en-GB" w:bidi="en-GB"/>
      </w:rPr>
    </w:lvl>
    <w:lvl w:ilvl="2">
      <w:start w:val="0"/>
      <w:numFmt w:val="bullet"/>
      <w:lvlText w:val="•"/>
      <w:lvlJc w:val="left"/>
      <w:pPr>
        <w:ind w:left="1713" w:hanging="348"/>
      </w:pPr>
      <w:rPr>
        <w:rFonts w:hint="default"/>
        <w:lang w:val="en-GB" w:eastAsia="en-GB" w:bidi="en-GB"/>
      </w:rPr>
    </w:lvl>
    <w:lvl w:ilvl="3">
      <w:start w:val="0"/>
      <w:numFmt w:val="bullet"/>
      <w:lvlText w:val="•"/>
      <w:lvlJc w:val="left"/>
      <w:pPr>
        <w:ind w:left="2606" w:hanging="348"/>
      </w:pPr>
      <w:rPr>
        <w:rFonts w:hint="default"/>
        <w:lang w:val="en-GB" w:eastAsia="en-GB" w:bidi="en-GB"/>
      </w:rPr>
    </w:lvl>
    <w:lvl w:ilvl="4">
      <w:start w:val="0"/>
      <w:numFmt w:val="bullet"/>
      <w:lvlText w:val="•"/>
      <w:lvlJc w:val="left"/>
      <w:pPr>
        <w:ind w:left="3500" w:hanging="348"/>
      </w:pPr>
      <w:rPr>
        <w:rFonts w:hint="default"/>
        <w:lang w:val="en-GB" w:eastAsia="en-GB" w:bidi="en-GB"/>
      </w:rPr>
    </w:lvl>
    <w:lvl w:ilvl="5">
      <w:start w:val="0"/>
      <w:numFmt w:val="bullet"/>
      <w:lvlText w:val="•"/>
      <w:lvlJc w:val="left"/>
      <w:pPr>
        <w:ind w:left="4393" w:hanging="348"/>
      </w:pPr>
      <w:rPr>
        <w:rFonts w:hint="default"/>
        <w:lang w:val="en-GB" w:eastAsia="en-GB" w:bidi="en-GB"/>
      </w:rPr>
    </w:lvl>
    <w:lvl w:ilvl="6">
      <w:start w:val="0"/>
      <w:numFmt w:val="bullet"/>
      <w:lvlText w:val="•"/>
      <w:lvlJc w:val="left"/>
      <w:pPr>
        <w:ind w:left="5286" w:hanging="348"/>
      </w:pPr>
      <w:rPr>
        <w:rFonts w:hint="default"/>
        <w:lang w:val="en-GB" w:eastAsia="en-GB" w:bidi="en-GB"/>
      </w:rPr>
    </w:lvl>
    <w:lvl w:ilvl="7">
      <w:start w:val="0"/>
      <w:numFmt w:val="bullet"/>
      <w:lvlText w:val="•"/>
      <w:lvlJc w:val="left"/>
      <w:pPr>
        <w:ind w:left="6180" w:hanging="348"/>
      </w:pPr>
      <w:rPr>
        <w:rFonts w:hint="default"/>
        <w:lang w:val="en-GB" w:eastAsia="en-GB" w:bidi="en-GB"/>
      </w:rPr>
    </w:lvl>
    <w:lvl w:ilvl="8">
      <w:start w:val="0"/>
      <w:numFmt w:val="bullet"/>
      <w:lvlText w:val="•"/>
      <w:lvlJc w:val="left"/>
      <w:pPr>
        <w:ind w:left="7073" w:hanging="348"/>
      </w:pPr>
      <w:rPr>
        <w:rFonts w:hint="default"/>
        <w:lang w:val="en-GB" w:eastAsia="en-GB" w:bidi="en-GB"/>
      </w:rPr>
    </w:lvl>
  </w:abstractNum>
  <w:abstractNum w:abstractNumId="1">
    <w:nsid w:val="5BAC1C09"/>
    <w:multiLevelType w:val="hybridMultilevel"/>
    <w:tmpl w:val="75803B20"/>
    <w:lvl w:ilvl="0">
      <w:start w:val="0"/>
      <w:numFmt w:val="bullet"/>
      <w:lvlText w:val="–"/>
      <w:lvlJc w:val="left"/>
      <w:pPr>
        <w:ind w:left="100" w:hanging="180"/>
      </w:pPr>
      <w:rPr>
        <w:rFonts w:ascii="Arial" w:eastAsia="Arial" w:hAnsi="Arial" w:cs="Arial" w:hint="default"/>
        <w:color w:val="505050"/>
        <w:w w:val="100"/>
        <w:sz w:val="22"/>
        <w:szCs w:val="22"/>
        <w:lang w:val="en-GB" w:eastAsia="en-GB" w:bidi="en-GB"/>
      </w:rPr>
    </w:lvl>
    <w:lvl w:ilvl="1">
      <w:start w:val="1"/>
      <w:numFmt w:val="decimal"/>
      <w:lvlText w:val="%2."/>
      <w:lvlJc w:val="left"/>
      <w:pPr>
        <w:ind w:left="820" w:hanging="360"/>
        <w:jc w:val="left"/>
      </w:pPr>
      <w:rPr>
        <w:rFonts w:ascii="Arial" w:eastAsia="Arial" w:hAnsi="Arial" w:cs="Arial" w:hint="default"/>
        <w:color w:val="505050"/>
        <w:spacing w:val="-1"/>
        <w:w w:val="100"/>
        <w:sz w:val="22"/>
        <w:szCs w:val="22"/>
        <w:lang w:val="en-GB" w:eastAsia="en-GB" w:bidi="en-GB"/>
      </w:rPr>
    </w:lvl>
    <w:lvl w:ilvl="2">
      <w:start w:val="0"/>
      <w:numFmt w:val="bullet"/>
      <w:lvlText w:val="•"/>
      <w:lvlJc w:val="left"/>
      <w:pPr>
        <w:ind w:left="1713" w:hanging="360"/>
      </w:pPr>
      <w:rPr>
        <w:rFonts w:hint="default"/>
        <w:lang w:val="en-GB" w:eastAsia="en-GB" w:bidi="en-GB"/>
      </w:rPr>
    </w:lvl>
    <w:lvl w:ilvl="3">
      <w:start w:val="0"/>
      <w:numFmt w:val="bullet"/>
      <w:lvlText w:val="•"/>
      <w:lvlJc w:val="left"/>
      <w:pPr>
        <w:ind w:left="2606" w:hanging="360"/>
      </w:pPr>
      <w:rPr>
        <w:rFonts w:hint="default"/>
        <w:lang w:val="en-GB" w:eastAsia="en-GB" w:bidi="en-GB"/>
      </w:rPr>
    </w:lvl>
    <w:lvl w:ilvl="4">
      <w:start w:val="0"/>
      <w:numFmt w:val="bullet"/>
      <w:lvlText w:val="•"/>
      <w:lvlJc w:val="left"/>
      <w:pPr>
        <w:ind w:left="3500" w:hanging="360"/>
      </w:pPr>
      <w:rPr>
        <w:rFonts w:hint="default"/>
        <w:lang w:val="en-GB" w:eastAsia="en-GB" w:bidi="en-GB"/>
      </w:rPr>
    </w:lvl>
    <w:lvl w:ilvl="5">
      <w:start w:val="0"/>
      <w:numFmt w:val="bullet"/>
      <w:lvlText w:val="•"/>
      <w:lvlJc w:val="left"/>
      <w:pPr>
        <w:ind w:left="4393" w:hanging="360"/>
      </w:pPr>
      <w:rPr>
        <w:rFonts w:hint="default"/>
        <w:lang w:val="en-GB" w:eastAsia="en-GB" w:bidi="en-GB"/>
      </w:rPr>
    </w:lvl>
    <w:lvl w:ilvl="6">
      <w:start w:val="0"/>
      <w:numFmt w:val="bullet"/>
      <w:lvlText w:val="•"/>
      <w:lvlJc w:val="left"/>
      <w:pPr>
        <w:ind w:left="5286" w:hanging="360"/>
      </w:pPr>
      <w:rPr>
        <w:rFonts w:hint="default"/>
        <w:lang w:val="en-GB" w:eastAsia="en-GB" w:bidi="en-GB"/>
      </w:rPr>
    </w:lvl>
    <w:lvl w:ilvl="7">
      <w:start w:val="0"/>
      <w:numFmt w:val="bullet"/>
      <w:lvlText w:val="•"/>
      <w:lvlJc w:val="left"/>
      <w:pPr>
        <w:ind w:left="6180" w:hanging="360"/>
      </w:pPr>
      <w:rPr>
        <w:rFonts w:hint="default"/>
        <w:lang w:val="en-GB" w:eastAsia="en-GB" w:bidi="en-GB"/>
      </w:rPr>
    </w:lvl>
    <w:lvl w:ilvl="8">
      <w:start w:val="0"/>
      <w:numFmt w:val="bullet"/>
      <w:lvlText w:val="•"/>
      <w:lvlJc w:val="left"/>
      <w:pPr>
        <w:ind w:left="7073" w:hanging="360"/>
      </w:pPr>
      <w:rPr>
        <w:rFonts w:hint="default"/>
        <w:lang w:val="en-GB" w:eastAsia="en-GB" w:bidi="en-G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right="113"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3AF6"/>
    <w:pPr>
      <w:tabs>
        <w:tab w:val="center" w:pos="4513"/>
        <w:tab w:val="right" w:pos="9026"/>
      </w:tabs>
    </w:pPr>
  </w:style>
  <w:style w:type="character" w:customStyle="1" w:styleId="HeaderChar">
    <w:name w:val="Header Char"/>
    <w:basedOn w:val="DefaultParagraphFont"/>
    <w:link w:val="Header"/>
    <w:uiPriority w:val="99"/>
    <w:rsid w:val="00F73AF6"/>
    <w:rPr>
      <w:rFonts w:ascii="Arial" w:eastAsia="Arial" w:hAnsi="Arial" w:cs="Arial"/>
      <w:lang w:val="en-GB" w:eastAsia="en-GB" w:bidi="en-GB"/>
    </w:rPr>
  </w:style>
  <w:style w:type="paragraph" w:styleId="Footer">
    <w:name w:val="footer"/>
    <w:basedOn w:val="Normal"/>
    <w:link w:val="FooterChar"/>
    <w:uiPriority w:val="99"/>
    <w:unhideWhenUsed/>
    <w:rsid w:val="00F73AF6"/>
    <w:pPr>
      <w:tabs>
        <w:tab w:val="center" w:pos="4513"/>
        <w:tab w:val="right" w:pos="9026"/>
      </w:tabs>
    </w:pPr>
  </w:style>
  <w:style w:type="character" w:customStyle="1" w:styleId="FooterChar">
    <w:name w:val="Footer Char"/>
    <w:basedOn w:val="DefaultParagraphFont"/>
    <w:link w:val="Footer"/>
    <w:uiPriority w:val="99"/>
    <w:rsid w:val="00F73AF6"/>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UK telecommunications infrastructure</TermName>
          <TermId xmlns="http://schemas.microsoft.com/office/infopath/2007/PartnerControls">835545d9-8466-4d55-b3dd-52c01d4f037d</TermId>
        </TermInfo>
      </Terms>
    </ja5e4d000da44b5490ce6b4249309924>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Written Evidence</TermName>
          <TermId xmlns="http://schemas.microsoft.com/office/infopath/2007/PartnerControls">61853d6b-4874-4925-bac3-742bf6590764</TermId>
        </TermInfo>
      </Terms>
    </n78ca1497cf6442fb3babdda785c85ae>
    <j3dc9349b3384741bd6025ba1321f3a9 xmlns="577222f2-5576-4085-a52e-9831727fac9e">
      <Terms xmlns="http://schemas.microsoft.com/office/infopath/2007/PartnerControls"/>
    </j3dc9349b3384741bd6025ba1321f3a9>
    <g3ef09377e3444258679b6035a1ff93a xmlns="4600776d-0a3c-44b4-bff2-0ceaafb13046">
      <Terms xmlns="http://schemas.microsoft.com/office/infopath/2007/PartnerControls"/>
    </g3ef09377e3444258679b6035a1ff93a>
    <TransfertoArchives xmlns="4600776d-0a3c-44b4-bff2-0ceaafb13046">false</TransfertoArchives>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ndofSessionDate xmlns="4600776d-0a3c-44b4-bff2-0ceaafb13046" xsi:nil="true"/>
    <Circulation_x0020_Date xmlns="577222f2-5576-4085-a52e-9831727fac9e" xsi:nil="true"/>
    <DateReceived xmlns="4600776d-0a3c-44b4-bff2-0ceaafb13046"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Specialist_x0020_Adviser xmlns="0606af38-29d8-407d-826d-7a0cb9d9f4ed" xsi:nil="true"/>
    <Department xmlns="577222f2-5576-4085-a52e-9831727fac9e" xsi:nil="true"/>
    <SharedWithUsers xmlns="6ab18433-7710-49bd-9bb4-0bb85747556a">
      <UserInfo>
        <DisplayName>WATSON, Ellen</DisplayName>
        <AccountId>209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94936fe8dafd08f7c43784cad63614f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b9f5babe2ab0ae5c1a4662a53a78445"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06;#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EE346D-623B-4760-ADC3-35780620D19C}">
  <ds:schemaRef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600776d-0a3c-44b4-bff2-0ceaafb13046"/>
    <ds:schemaRef ds:uri="http://schemas.microsoft.com/office/2006/documentManagement/types"/>
    <ds:schemaRef ds:uri="577222f2-5576-4085-a52e-9831727fac9e"/>
    <ds:schemaRef ds:uri="http://www.w3.org/XML/1998/namespace"/>
    <ds:schemaRef ds:uri="http://purl.org/dc/dcmitype/"/>
  </ds:schemaRefs>
</ds:datastoreItem>
</file>

<file path=customXml/itemProps2.xml><?xml version="1.0" encoding="utf-8"?>
<ds:datastoreItem xmlns:ds="http://schemas.openxmlformats.org/officeDocument/2006/customXml" ds:itemID="{19E631AD-8F05-4F74-B8EE-5A5D14ABB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1A7898-41D5-43C0-8814-98DC609810D1}">
  <ds:schemaRefs>
    <ds:schemaRef ds:uri="http://schemas.microsoft.com/sharepoint/events"/>
  </ds:schemaRefs>
</ds:datastoreItem>
</file>

<file path=customXml/itemProps4.xml><?xml version="1.0" encoding="utf-8"?>
<ds:datastoreItem xmlns:ds="http://schemas.openxmlformats.org/officeDocument/2006/customXml" ds:itemID="{45A3861C-CEE0-4E2C-AAD3-6768037D5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