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26F91" w:rsidP="00D26F91">
      <w:pPr>
        <w:jc w:val="center"/>
        <w:rPr>
          <w:b/>
          <w:bCs/>
        </w:rPr>
      </w:pPr>
      <w:r>
        <w:rPr>
          <w:b/>
          <w:bCs/>
        </w:rPr>
        <w:t>Written evidence submitted by North Tyneside Council</w:t>
      </w:r>
    </w:p>
    <w:p w:rsidR="00D26F91" w:rsidP="00F80DA7">
      <w:pPr>
        <w:rPr>
          <w:b/>
          <w:bCs/>
        </w:rPr>
      </w:pPr>
    </w:p>
    <w:p w:rsidR="00F80DA7" w:rsidRPr="00555168" w:rsidP="00F80DA7">
      <w:pPr>
        <w:rPr>
          <w:b/>
          <w:bCs/>
        </w:rPr>
      </w:pPr>
      <w:r w:rsidRPr="00555168">
        <w:rPr>
          <w:b/>
          <w:bCs/>
        </w:rPr>
        <w:t>2</w:t>
      </w:r>
      <w:r>
        <w:rPr>
          <w:b/>
          <w:bCs/>
        </w:rPr>
        <w:t>6th</w:t>
      </w:r>
      <w:r w:rsidRPr="00555168">
        <w:rPr>
          <w:b/>
          <w:bCs/>
        </w:rPr>
        <w:t xml:space="preserve"> </w:t>
      </w:r>
      <w:r>
        <w:rPr>
          <w:b/>
          <w:bCs/>
        </w:rPr>
        <w:t>May</w:t>
      </w:r>
      <w:r w:rsidRPr="00555168">
        <w:rPr>
          <w:b/>
          <w:bCs/>
        </w:rPr>
        <w:t xml:space="preserve"> 2020</w:t>
      </w:r>
    </w:p>
    <w:p w:rsidR="00F80DA7" w:rsidP="00F80DA7">
      <w:pPr>
        <w:rPr>
          <w:b/>
          <w:bCs/>
        </w:rPr>
      </w:pPr>
      <w:r w:rsidRPr="00555168">
        <w:rPr>
          <w:b/>
          <w:bCs/>
        </w:rPr>
        <w:t>Submission to the DCMS Committee</w:t>
      </w:r>
      <w:r w:rsidRPr="00555168">
        <w:rPr>
          <w:b/>
          <w:bCs/>
        </w:rPr>
        <w:t xml:space="preserve"> </w:t>
      </w:r>
      <w:r>
        <w:rPr>
          <w:b/>
          <w:bCs/>
        </w:rPr>
        <w:t xml:space="preserve">- </w:t>
      </w:r>
      <w:r w:rsidRPr="00555168">
        <w:rPr>
          <w:b/>
          <w:bCs/>
        </w:rPr>
        <w:t>Impact of COVID-19 on DCMS sectors</w:t>
      </w:r>
    </w:p>
    <w:p w:rsidR="00D9463A" w:rsidP="00F80DA7">
      <w:pPr>
        <w:rPr>
          <w:b/>
          <w:bCs/>
        </w:rPr>
      </w:pPr>
      <w:r>
        <w:rPr>
          <w:b/>
          <w:bCs/>
        </w:rPr>
        <w:t>Introduction</w:t>
      </w:r>
    </w:p>
    <w:p w:rsidR="00D9463A" w:rsidRPr="00D9463A" w:rsidP="00D9463A">
      <w:r w:rsidRPr="00D9463A">
        <w:t xml:space="preserve">North Tyneside </w:t>
      </w:r>
      <w:r>
        <w:t xml:space="preserve">is located </w:t>
      </w:r>
      <w:r w:rsidRPr="00D9463A">
        <w:t>on the North East coast of England</w:t>
      </w:r>
      <w:r>
        <w:t xml:space="preserve"> and</w:t>
      </w:r>
      <w:r w:rsidRPr="00D9463A">
        <w:t xml:space="preserve"> is bounded by Newcastle upon Tyne</w:t>
      </w:r>
      <w:r>
        <w:t xml:space="preserve"> to the west</w:t>
      </w:r>
      <w:r>
        <w:t>;</w:t>
      </w:r>
      <w:r>
        <w:t xml:space="preserve"> </w:t>
      </w:r>
      <w:r w:rsidRPr="00D9463A">
        <w:t>the North Sea</w:t>
      </w:r>
      <w:r>
        <w:t xml:space="preserve"> to the east</w:t>
      </w:r>
      <w:r>
        <w:t>;</w:t>
      </w:r>
      <w:r w:rsidRPr="00D9463A">
        <w:t xml:space="preserve"> the River Tyne to the south</w:t>
      </w:r>
      <w:r>
        <w:t>;</w:t>
      </w:r>
      <w:r w:rsidRPr="00D9463A">
        <w:t xml:space="preserve"> and Northumberland to the north.  It has an area of 82 square kilometres.  </w:t>
      </w:r>
    </w:p>
    <w:p w:rsidR="00D9463A" w:rsidRPr="00D9463A" w:rsidP="00D9463A">
      <w:r w:rsidRPr="00D9463A">
        <w:t xml:space="preserve">North Tyneside has an attractive coastline with award-winning beaches at Tynemouth, Whitley Bay and Cullercoats attracting </w:t>
      </w:r>
      <w:r>
        <w:t xml:space="preserve">both </w:t>
      </w:r>
      <w:r w:rsidRPr="00D9463A">
        <w:t>residents</w:t>
      </w:r>
      <w:r w:rsidRPr="00D9463A">
        <w:t xml:space="preserve"> and visitors</w:t>
      </w:r>
      <w:r>
        <w:t xml:space="preserve">.  Tourism and the leisure sector </w:t>
      </w:r>
      <w:r w:rsidRPr="00D9463A">
        <w:t>contribut</w:t>
      </w:r>
      <w:r>
        <w:t>e significantly</w:t>
      </w:r>
      <w:r w:rsidRPr="00D9463A">
        <w:t xml:space="preserve"> to the local economy.  </w:t>
      </w:r>
      <w:r>
        <w:t xml:space="preserve">In addition, </w:t>
      </w:r>
      <w:r w:rsidRPr="00D9463A">
        <w:t>award winning parks such as Northumberland Park, Wallsend Parks, Lakeside Killingworth, Rising Sun Country Park, Marden Quarry and Benton Quarry off</w:t>
      </w:r>
      <w:r w:rsidRPr="00D9463A">
        <w:t>er attractive green spaces</w:t>
      </w:r>
      <w:r>
        <w:t xml:space="preserve"> across the borough</w:t>
      </w:r>
      <w:r w:rsidRPr="00D9463A">
        <w:t>.  North Tyneside has many heritage assets including local registered building</w:t>
      </w:r>
      <w:r>
        <w:t>s</w:t>
      </w:r>
      <w:r w:rsidRPr="00D9463A">
        <w:t>, listed buildings, ancient moments and conservations areas.  Hadrian’s Wall</w:t>
      </w:r>
      <w:r>
        <w:t>,</w:t>
      </w:r>
      <w:r w:rsidRPr="00D9463A">
        <w:t xml:space="preserve"> </w:t>
      </w:r>
      <w:r>
        <w:t xml:space="preserve">which ends </w:t>
      </w:r>
      <w:r w:rsidRPr="00D9463A">
        <w:t xml:space="preserve">at </w:t>
      </w:r>
      <w:r>
        <w:t xml:space="preserve">Segedunum Roman Fort in </w:t>
      </w:r>
      <w:r w:rsidRPr="00D9463A">
        <w:t>Wallsend</w:t>
      </w:r>
      <w:r>
        <w:t>,</w:t>
      </w:r>
      <w:r w:rsidRPr="00D9463A">
        <w:t xml:space="preserve"> is par</w:t>
      </w:r>
      <w:r w:rsidRPr="00D9463A">
        <w:t xml:space="preserve">t of the </w:t>
      </w:r>
      <w:r>
        <w:t xml:space="preserve">Frontiers of the </w:t>
      </w:r>
      <w:r w:rsidRPr="00D9463A">
        <w:t xml:space="preserve">Roman Empire World Heritage Site.  </w:t>
      </w:r>
    </w:p>
    <w:p w:rsidR="00D9463A" w:rsidRPr="00D9463A" w:rsidP="00D9463A">
      <w:r w:rsidRPr="00D9463A">
        <w:t xml:space="preserve">North Tyneside has a population of 205,985 (ONS 2018 mid-year population estimate) and the population is projected to grow by 3% overall by 2030 with the over-60s having the largest increase of </w:t>
      </w:r>
      <w:r w:rsidRPr="00D9463A">
        <w:t xml:space="preserve">29%. </w:t>
      </w:r>
    </w:p>
    <w:tbl>
      <w:tblPr>
        <w:tblW w:w="0" w:type="auto"/>
        <w:tblInd w:w="-5" w:type="dxa"/>
        <w:tblCellMar>
          <w:left w:w="0" w:type="dxa"/>
          <w:right w:w="0" w:type="dxa"/>
        </w:tblCellMar>
        <w:tblLook w:val="04A0"/>
      </w:tblPr>
      <w:tblGrid>
        <w:gridCol w:w="3827"/>
        <w:gridCol w:w="1276"/>
        <w:gridCol w:w="1701"/>
        <w:gridCol w:w="1674"/>
      </w:tblGrid>
      <w:tr w:rsidTr="00D9463A">
        <w:tblPrEx>
          <w:tblW w:w="0" w:type="auto"/>
          <w:tblInd w:w="-5" w:type="dxa"/>
          <w:tblCellMar>
            <w:left w:w="0" w:type="dxa"/>
            <w:right w:w="0" w:type="dxa"/>
          </w:tblCellMar>
          <w:tblLook w:val="04A0"/>
        </w:tblPrEx>
        <w:tc>
          <w:tcPr>
            <w:tcW w:w="382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D9463A" w:rsidRPr="00D9463A" w:rsidP="00D9463A">
            <w:r w:rsidRPr="00D9463A">
              <w:t>Working Age Groups</w:t>
            </w:r>
          </w:p>
        </w:tc>
        <w:tc>
          <w:tcPr>
            <w:tcW w:w="127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D9463A" w:rsidRPr="00D9463A" w:rsidP="00D9463A">
            <w:r w:rsidRPr="00D9463A">
              <w:t>Female</w:t>
            </w:r>
          </w:p>
        </w:tc>
        <w:tc>
          <w:tcPr>
            <w:tcW w:w="170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D9463A" w:rsidRPr="00D9463A" w:rsidP="00D9463A">
            <w:r w:rsidRPr="00D9463A">
              <w:t>Male</w:t>
            </w:r>
          </w:p>
        </w:tc>
        <w:tc>
          <w:tcPr>
            <w:tcW w:w="167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D9463A" w:rsidRPr="00D9463A" w:rsidP="00D9463A">
            <w:r w:rsidRPr="00D9463A">
              <w:t>Total Population</w:t>
            </w:r>
          </w:p>
        </w:tc>
      </w:tr>
      <w:tr w:rsidTr="00D9463A">
        <w:tblPrEx>
          <w:tblW w:w="0" w:type="auto"/>
          <w:tblInd w:w="-5" w:type="dxa"/>
          <w:tblCellMar>
            <w:left w:w="0" w:type="dxa"/>
            <w:right w:w="0" w:type="dxa"/>
          </w:tblCellMar>
          <w:tblLook w:val="04A0"/>
        </w:tblPrEx>
        <w:tc>
          <w:tcPr>
            <w:tcW w:w="382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9463A" w:rsidRPr="00D9463A" w:rsidP="00D9463A">
            <w:r w:rsidRPr="00D9463A">
              <w:t>0-15 (Children)</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D9463A" w:rsidRPr="00D9463A" w:rsidP="00D9463A">
            <w:r w:rsidRPr="00D9463A">
              <w:t>17,931</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D9463A" w:rsidRPr="00D9463A" w:rsidP="00D9463A">
            <w:r w:rsidRPr="00D9463A">
              <w:t>19,221</w:t>
            </w:r>
          </w:p>
        </w:tc>
        <w:tc>
          <w:tcPr>
            <w:tcW w:w="1674" w:type="dxa"/>
            <w:tcBorders>
              <w:top w:val="nil"/>
              <w:left w:val="nil"/>
              <w:bottom w:val="single" w:sz="8" w:space="0" w:color="auto"/>
              <w:right w:val="single" w:sz="8" w:space="0" w:color="auto"/>
            </w:tcBorders>
            <w:tcMar>
              <w:top w:w="0" w:type="dxa"/>
              <w:left w:w="108" w:type="dxa"/>
              <w:bottom w:w="0" w:type="dxa"/>
              <w:right w:w="108" w:type="dxa"/>
            </w:tcMar>
            <w:hideMark/>
          </w:tcPr>
          <w:p w:rsidR="00D9463A" w:rsidRPr="00D9463A" w:rsidP="00D9463A">
            <w:r w:rsidRPr="00D9463A">
              <w:t>37,152</w:t>
            </w:r>
          </w:p>
        </w:tc>
      </w:tr>
      <w:tr w:rsidTr="00D9463A">
        <w:tblPrEx>
          <w:tblW w:w="0" w:type="auto"/>
          <w:tblInd w:w="-5" w:type="dxa"/>
          <w:tblCellMar>
            <w:left w:w="0" w:type="dxa"/>
            <w:right w:w="0" w:type="dxa"/>
          </w:tblCellMar>
          <w:tblLook w:val="04A0"/>
        </w:tblPrEx>
        <w:tc>
          <w:tcPr>
            <w:tcW w:w="382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9463A" w:rsidRPr="00D9463A" w:rsidP="00D9463A">
            <w:r w:rsidRPr="00D9463A">
              <w:t>16-64 (Working Age Population)</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D9463A" w:rsidRPr="00D9463A" w:rsidP="00D9463A">
            <w:r w:rsidRPr="00D9463A">
              <w:t>65,500</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D9463A" w:rsidRPr="00D9463A" w:rsidP="00D9463A">
            <w:r w:rsidRPr="00D9463A">
              <w:t>62,168</w:t>
            </w:r>
          </w:p>
        </w:tc>
        <w:tc>
          <w:tcPr>
            <w:tcW w:w="1674" w:type="dxa"/>
            <w:tcBorders>
              <w:top w:val="nil"/>
              <w:left w:val="nil"/>
              <w:bottom w:val="single" w:sz="8" w:space="0" w:color="auto"/>
              <w:right w:val="single" w:sz="8" w:space="0" w:color="auto"/>
            </w:tcBorders>
            <w:tcMar>
              <w:top w:w="0" w:type="dxa"/>
              <w:left w:w="108" w:type="dxa"/>
              <w:bottom w:w="0" w:type="dxa"/>
              <w:right w:w="108" w:type="dxa"/>
            </w:tcMar>
            <w:hideMark/>
          </w:tcPr>
          <w:p w:rsidR="00D9463A" w:rsidRPr="00D9463A" w:rsidP="00D9463A">
            <w:r w:rsidRPr="00D9463A">
              <w:t>127,668</w:t>
            </w:r>
          </w:p>
        </w:tc>
      </w:tr>
      <w:tr w:rsidTr="00D9463A">
        <w:tblPrEx>
          <w:tblW w:w="0" w:type="auto"/>
          <w:tblInd w:w="-5" w:type="dxa"/>
          <w:tblCellMar>
            <w:left w:w="0" w:type="dxa"/>
            <w:right w:w="0" w:type="dxa"/>
          </w:tblCellMar>
          <w:tblLook w:val="04A0"/>
        </w:tblPrEx>
        <w:tc>
          <w:tcPr>
            <w:tcW w:w="382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9463A" w:rsidRPr="00D9463A" w:rsidP="00D9463A">
            <w:r w:rsidRPr="00D9463A">
              <w:t>65+ (Retired)</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D9463A" w:rsidRPr="00D9463A" w:rsidP="00D9463A">
            <w:r w:rsidRPr="00D9463A">
              <w:t>22,942</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D9463A" w:rsidRPr="00D9463A" w:rsidP="00D9463A">
            <w:r w:rsidRPr="00D9463A">
              <w:t>18,223</w:t>
            </w:r>
          </w:p>
        </w:tc>
        <w:tc>
          <w:tcPr>
            <w:tcW w:w="1674" w:type="dxa"/>
            <w:tcBorders>
              <w:top w:val="nil"/>
              <w:left w:val="nil"/>
              <w:bottom w:val="single" w:sz="8" w:space="0" w:color="auto"/>
              <w:right w:val="single" w:sz="8" w:space="0" w:color="auto"/>
            </w:tcBorders>
            <w:tcMar>
              <w:top w:w="0" w:type="dxa"/>
              <w:left w:w="108" w:type="dxa"/>
              <w:bottom w:w="0" w:type="dxa"/>
              <w:right w:w="108" w:type="dxa"/>
            </w:tcMar>
            <w:hideMark/>
          </w:tcPr>
          <w:p w:rsidR="00D9463A" w:rsidRPr="00D9463A" w:rsidP="00D9463A">
            <w:r w:rsidRPr="00D9463A">
              <w:t>41,165</w:t>
            </w:r>
          </w:p>
        </w:tc>
      </w:tr>
    </w:tbl>
    <w:p w:rsidR="00D9463A" w:rsidP="00D9463A"/>
    <w:p w:rsidR="00D9463A" w:rsidRPr="00D9463A" w:rsidP="00D9463A">
      <w:r w:rsidRPr="00D9463A">
        <w:t xml:space="preserve">There are approximately 95,970 households across the borough.  </w:t>
      </w:r>
    </w:p>
    <w:p w:rsidR="00D9463A" w:rsidP="00D9463A">
      <w:r w:rsidRPr="00D9463A">
        <w:t>Deprivation is a significant issue in North Tyneside.  21.15% of residents live in areas considered to be among the most deprived in England with associated issues of poor health, and particip</w:t>
      </w:r>
      <w:r w:rsidRPr="00D9463A">
        <w:t xml:space="preserve">ation and attainment in education post 16 years old.  There is a gap of 11 years on average in life expectancy between residents living in the most deprived areas of the borough compared to residents living in the least deprived areas.  </w:t>
      </w:r>
    </w:p>
    <w:p w:rsidR="00D9463A" w:rsidRPr="00D9463A" w:rsidP="00D9463A">
      <w:r>
        <w:t>In relation to the</w:t>
      </w:r>
      <w:r>
        <w:t xml:space="preserve"> DCMS sectors the Council’s Cultural Services </w:t>
      </w:r>
      <w:r>
        <w:t>manage</w:t>
      </w:r>
      <w:r>
        <w:t xml:space="preserve"> library, arts, heritage, museum, tourism and events provision.  The Sport and Leisure se</w:t>
      </w:r>
      <w:r>
        <w:t>rvice</w:t>
      </w:r>
      <w:r>
        <w:t xml:space="preserve"> covers indoor and outdoor sports facilities and the Active North Tyneside programme.  Both se</w:t>
      </w:r>
      <w:r>
        <w:t>rvice</w:t>
      </w:r>
      <w:r>
        <w:t>s have sign</w:t>
      </w:r>
      <w:r>
        <w:t xml:space="preserve">ificant </w:t>
      </w:r>
      <w:r>
        <w:t xml:space="preserve">local and </w:t>
      </w:r>
      <w:r>
        <w:t xml:space="preserve">regional partnerships and the Council </w:t>
      </w:r>
      <w:r>
        <w:t>as a whole is</w:t>
      </w:r>
      <w:r>
        <w:t xml:space="preserve"> </w:t>
      </w:r>
      <w:r>
        <w:t>part of the North of Tyne Combined Authority</w:t>
      </w:r>
      <w:r>
        <w:t>, alongside Newcastle and Northumberland.</w:t>
      </w:r>
    </w:p>
    <w:p w:rsidR="00D9463A" w:rsidRPr="00BC0BFC" w:rsidP="00F80DA7">
      <w:pPr>
        <w:rPr>
          <w:b/>
          <w:bCs/>
        </w:rPr>
      </w:pPr>
      <w:r>
        <w:rPr>
          <w:b/>
          <w:bCs/>
        </w:rPr>
        <w:t xml:space="preserve">In response to the specific questions raised by the Committee, in relation to the impact of </w:t>
      </w:r>
      <w:r>
        <w:rPr>
          <w:b/>
          <w:bCs/>
        </w:rPr>
        <w:t>COVID-19 upon the sector, we would make the following observations.</w:t>
      </w:r>
    </w:p>
    <w:p w:rsidR="00F80DA7" w:rsidRPr="00775DDC" w:rsidP="00F80DA7">
      <w:pPr>
        <w:rPr>
          <w:b/>
          <w:bCs/>
        </w:rPr>
      </w:pPr>
      <w:r w:rsidRPr="00F80DA7">
        <w:t xml:space="preserve">• </w:t>
      </w:r>
      <w:r w:rsidRPr="00775DDC">
        <w:rPr>
          <w:b/>
          <w:bCs/>
        </w:rPr>
        <w:t>What has been the immediate impact of Covid-19 on the sector?</w:t>
      </w:r>
    </w:p>
    <w:p w:rsidR="00F80DA7" w:rsidP="00F80DA7">
      <w:r>
        <w:t xml:space="preserve">The immediate impact of Covid-19 has been a dramatic reduction in activity across the sector with the closure of libraries, </w:t>
      </w:r>
      <w:r>
        <w:t xml:space="preserve">sports facilities, </w:t>
      </w:r>
      <w:r>
        <w:t xml:space="preserve">voluntary sport clubs, community sport and physical activity programmes, </w:t>
      </w:r>
      <w:r>
        <w:t>theatres, museums, tourism attractions and the wider leisure and nightlife infrastructure that supports cultural and community activity.</w:t>
      </w:r>
    </w:p>
    <w:p w:rsidR="00F80DA7" w:rsidP="00F80DA7">
      <w:r>
        <w:t>Events have been cancelled,</w:t>
      </w:r>
      <w:r>
        <w:t xml:space="preserve"> re-scheduled and postponed with the consequent loss of income for artists and performers, as well as the impact of the loss of secondary spend upon the wider local economy.</w:t>
      </w:r>
    </w:p>
    <w:p w:rsidR="00F80DA7" w:rsidP="00F80DA7">
      <w:r>
        <w:t xml:space="preserve">Design and print </w:t>
      </w:r>
      <w:r>
        <w:t>has</w:t>
      </w:r>
      <w:r>
        <w:t xml:space="preserve"> suffered due to lack of demand for product and the inability </w:t>
      </w:r>
      <w:r>
        <w:t>of small businesses to work within social distancing guidelines.</w:t>
      </w:r>
    </w:p>
    <w:p w:rsidR="00F37208" w:rsidP="00F80DA7">
      <w:r>
        <w:t>In more deprived communities’ access to the People’s Network computers and social activity in libraries, as well as engagement with local sports facilities</w:t>
      </w:r>
      <w:r>
        <w:t xml:space="preserve"> and c</w:t>
      </w:r>
      <w:r>
        <w:t>l</w:t>
      </w:r>
      <w:r>
        <w:t>ubs</w:t>
      </w:r>
      <w:r>
        <w:t xml:space="preserve">, </w:t>
      </w:r>
      <w:r>
        <w:t xml:space="preserve">would normally </w:t>
      </w:r>
      <w:r>
        <w:t>have a ke</w:t>
      </w:r>
      <w:r>
        <w:t xml:space="preserve">y role </w:t>
      </w:r>
      <w:r>
        <w:t xml:space="preserve">to play </w:t>
      </w:r>
      <w:r>
        <w:t xml:space="preserve">in breaking social isolation, encouraging inter-generational activity and supporting community cohesion.  </w:t>
      </w:r>
    </w:p>
    <w:p w:rsidR="00F37208" w:rsidP="00F80DA7">
      <w:r>
        <w:t xml:space="preserve">Visits to the Borough’s libraries and sports facilities alone amount to </w:t>
      </w:r>
      <w:r>
        <w:t xml:space="preserve">over </w:t>
      </w:r>
      <w:r>
        <w:t>3 million visits per annum, demonstrating their huge popu</w:t>
      </w:r>
      <w:r>
        <w:t xml:space="preserve">larity and social significance for the area. </w:t>
      </w:r>
    </w:p>
    <w:p w:rsidR="005B71A9" w:rsidP="00F80DA7">
      <w:r>
        <w:t>This has not been possible under the current circumstances, leading to the danger of increased social isolation, loneliness and wider mental health issues.</w:t>
      </w:r>
      <w:r>
        <w:t xml:space="preserve">  </w:t>
      </w:r>
      <w:r>
        <w:t>While these are potential dangers there has been no o</w:t>
      </w:r>
      <w:r>
        <w:t xml:space="preserve">pportunity yet to undertake any detailed evaluation of impact and this may not be possible until social distancing measures are relaxed. </w:t>
      </w:r>
    </w:p>
    <w:p w:rsidR="00F37208" w:rsidP="00F80DA7">
      <w:r>
        <w:t>As a day visitor destination for tourists North Tyneside attracts in the region of 6m visitors a year</w:t>
      </w:r>
      <w:r>
        <w:t xml:space="preserve"> with an estimated spend of £240m</w:t>
      </w:r>
      <w:r>
        <w:t>,</w:t>
      </w:r>
      <w:r>
        <w:t xml:space="preserve"> supporting nearly 4,000 jobs in the local economy.  The annual Mouth of the Tyne Festival alone, cancelled this year due to the pandemic, attracts </w:t>
      </w:r>
      <w:r>
        <w:t>up to 10</w:t>
      </w:r>
      <w:r>
        <w:t>0,000 visitors and generates an estimated £2m additional spend int</w:t>
      </w:r>
      <w:r>
        <w:t>o the local economy over one weekend in July.</w:t>
      </w:r>
    </w:p>
    <w:p w:rsidR="00775DDC" w:rsidP="00F80DA7">
      <w:r>
        <w:t>Performance activity in the arts sector at small scale venues and at touring theatres, such as Playhouse Whitley Bay, has ceased with staff being furloughed and programmes being re-scheduled, initially into the</w:t>
      </w:r>
      <w:r>
        <w:t xml:space="preserve"> autumn.  </w:t>
      </w:r>
      <w:r>
        <w:t xml:space="preserve">Museum programmes and visits have similarly been suspended with plans for investment and redevelopment on hold.  </w:t>
      </w:r>
      <w:r>
        <w:t>Organisations are ticking over with a skeleton staff.</w:t>
      </w:r>
    </w:p>
    <w:p w:rsidR="0073538C" w:rsidP="00F80DA7">
      <w:r>
        <w:t>Voluntary arts and craft activity, often the mainstay of local community facili</w:t>
      </w:r>
      <w:r>
        <w:t xml:space="preserve">ties, has ceased.  </w:t>
      </w:r>
      <w:r>
        <w:t>For</w:t>
      </w:r>
      <w:r>
        <w:t xml:space="preserve"> many</w:t>
      </w:r>
      <w:r>
        <w:t xml:space="preserve"> individual artists, freelancers and seasonal staff within the sports and tourism sectors work has effectively ceased entirely.  </w:t>
      </w:r>
    </w:p>
    <w:p w:rsidR="00775DDC" w:rsidP="00F80DA7">
      <w:r>
        <w:t xml:space="preserve">Voluntary </w:t>
      </w:r>
      <w:r>
        <w:t xml:space="preserve">and charitable </w:t>
      </w:r>
      <w:r>
        <w:t xml:space="preserve">sports clubs which are the backbone of local community provision have </w:t>
      </w:r>
      <w:r>
        <w:t>clos</w:t>
      </w:r>
      <w:r>
        <w:t xml:space="preserve">ed. In many </w:t>
      </w:r>
      <w:r>
        <w:t>instances</w:t>
      </w:r>
      <w:r>
        <w:t xml:space="preserve"> income into these clubs from match fees, subscriptions, facility hire and secondary spend has stopped but expenditure on such things as rent, staffing and grounds maintenance has remained.</w:t>
      </w:r>
    </w:p>
    <w:p w:rsidR="003E1D2B" w:rsidP="00F80DA7">
      <w:r>
        <w:t>All community sport and physical activity pro</w:t>
      </w:r>
      <w:r>
        <w:t>grammes designed to encourage the inactive to become more active have ceased.</w:t>
      </w:r>
    </w:p>
    <w:p w:rsidR="00F20A17" w:rsidRPr="00357EC5" w:rsidP="00F80DA7">
      <w:r>
        <w:t>There is also a significant impact on the private sector sports provision</w:t>
      </w:r>
      <w:r>
        <w:t>.</w:t>
      </w:r>
      <w:r>
        <w:t xml:space="preserve"> </w:t>
      </w:r>
      <w:r>
        <w:t>M</w:t>
      </w:r>
      <w:r>
        <w:t xml:space="preserve">any smaller gyms </w:t>
      </w:r>
      <w:r>
        <w:t>and  sports</w:t>
      </w:r>
      <w:r>
        <w:t xml:space="preserve"> facilities may struggle to recover from an extended period of lockdown or</w:t>
      </w:r>
      <w:r>
        <w:t xml:space="preserve"> continued social distancing.</w:t>
      </w:r>
    </w:p>
    <w:p w:rsidR="00F80DA7" w:rsidRPr="00E0462F" w:rsidP="00F80DA7">
      <w:pPr>
        <w:rPr>
          <w:b/>
          <w:bCs/>
        </w:rPr>
      </w:pPr>
      <w:r w:rsidRPr="00E0462F">
        <w:rPr>
          <w:b/>
          <w:bCs/>
        </w:rPr>
        <w:t>• How effectively has the support provided by DCMS, other Government departments and arms-length bodies addressed the sector’s needs?</w:t>
      </w:r>
    </w:p>
    <w:p w:rsidR="00AC76BA" w:rsidP="00F80DA7">
      <w:r>
        <w:t>Larger organisations with a base of support through the local authority such as Playhouse Wh</w:t>
      </w:r>
      <w:r>
        <w:t>itley Bay, Tyne and Wear Archives and Museums and Arts Council England National Partner Organisations (NPOs), such as Helix Arts, have the capacity to survive in the short term with a reduced programme offer.</w:t>
      </w:r>
    </w:p>
    <w:p w:rsidR="00AC76BA" w:rsidP="00F80DA7">
      <w:r>
        <w:t xml:space="preserve">It is impossible to assess yet, giving </w:t>
      </w:r>
      <w:r>
        <w:t>t</w:t>
      </w:r>
      <w:r>
        <w:t>he time</w:t>
      </w:r>
      <w:r>
        <w:t xml:space="preserve">scale for applications, what impact the Arts Council England support will have on the sector beyond NPOs.  However, it is expected that demand will exceed the supply of support available and that </w:t>
      </w:r>
      <w:r>
        <w:t xml:space="preserve">many </w:t>
      </w:r>
      <w:r>
        <w:t>small arts companies and freelance artists will struggl</w:t>
      </w:r>
      <w:r>
        <w:t xml:space="preserve">e through the present crisis. </w:t>
      </w:r>
    </w:p>
    <w:p w:rsidR="00E0462F" w:rsidP="00F80DA7">
      <w:r>
        <w:t xml:space="preserve">Notwithstanding existing pressures upon the local authority budget, it is anticipated that Council run sports facilities </w:t>
      </w:r>
      <w:r>
        <w:t xml:space="preserve">and activities as well as </w:t>
      </w:r>
      <w:r>
        <w:t>library provision will continue beyond the current crisis.</w:t>
      </w:r>
    </w:p>
    <w:p w:rsidR="00E0462F" w:rsidP="00F80DA7">
      <w:r>
        <w:t xml:space="preserve">The small business </w:t>
      </w:r>
      <w:r>
        <w:t xml:space="preserve">and tourism sector </w:t>
      </w:r>
      <w:r>
        <w:t>has</w:t>
      </w:r>
      <w:r>
        <w:t xml:space="preserve"> engaged with government support programmes and worked with the local authority business support team to ensure bridging support through the crisis. However, the resilience of the sector, which relies significantly upon the summer sea</w:t>
      </w:r>
      <w:r>
        <w:t>son will not be known until social distancing is relaxed and some semblance of normality can be resumed.</w:t>
      </w:r>
    </w:p>
    <w:p w:rsidR="0031344B" w:rsidRPr="00F80DA7" w:rsidP="00F80DA7">
      <w:r>
        <w:t xml:space="preserve">It is anticipated that many amateur and voluntary sports clubs will also struggle through this crisis.  </w:t>
      </w:r>
      <w:r>
        <w:t>Whilst the Sport England Community Emergency fu</w:t>
      </w:r>
      <w:r>
        <w:t xml:space="preserve">nd is helpful there is some concern about the </w:t>
      </w:r>
      <w:r>
        <w:t>long term</w:t>
      </w:r>
      <w:r>
        <w:t xml:space="preserve"> future of these organisations. </w:t>
      </w:r>
    </w:p>
    <w:p w:rsidR="00F80DA7" w:rsidRPr="007F0B7F" w:rsidP="00F80DA7">
      <w:pPr>
        <w:rPr>
          <w:b/>
          <w:bCs/>
        </w:rPr>
      </w:pPr>
      <w:r w:rsidRPr="007F0B7F">
        <w:rPr>
          <w:b/>
          <w:bCs/>
        </w:rPr>
        <w:t>• What will the likely long-term impacts of Covid-19 be on the sector, and what support is needed to deal with those?</w:t>
      </w:r>
    </w:p>
    <w:p w:rsidR="00E0462F" w:rsidP="00F80DA7">
      <w:r>
        <w:t>Long term impacts are</w:t>
      </w:r>
      <w:r>
        <w:t>,</w:t>
      </w:r>
      <w:r>
        <w:t xml:space="preserve"> in many respects</w:t>
      </w:r>
      <w:r>
        <w:t xml:space="preserve">, </w:t>
      </w:r>
      <w:r>
        <w:t>speculati</w:t>
      </w:r>
      <w:r>
        <w:t xml:space="preserve">on </w:t>
      </w:r>
      <w:r>
        <w:t>at the moment</w:t>
      </w:r>
      <w:r>
        <w:t>.  To some extent they will depend upon the speed at which social distancing is relaxed and the extent to which Covid-19 has imbued significant behavioural change with audiences and customers.</w:t>
      </w:r>
    </w:p>
    <w:p w:rsidR="007F0B7F" w:rsidP="00F80DA7">
      <w:r>
        <w:t>It is likely that business models which rely si</w:t>
      </w:r>
      <w:r>
        <w:t>gnificantly upon volume of numbers to generate income will have to be revised in order to accommodate greater social distancing.  This could impact upon attendances at sports facilities</w:t>
      </w:r>
      <w:r>
        <w:t xml:space="preserve"> and sport clubs</w:t>
      </w:r>
      <w:r>
        <w:t xml:space="preserve">, theatres, museums, outdoor events and festivals and, </w:t>
      </w:r>
      <w:r>
        <w:t>to a lesser extent, libraries.</w:t>
      </w:r>
    </w:p>
    <w:p w:rsidR="007F0B7F" w:rsidP="00F80DA7">
      <w:r>
        <w:t xml:space="preserve">The relentless drive for income generation and away from public subsidy, may require reconsideration both in terms of attendance numbers and pricing in certain areas.   </w:t>
      </w:r>
      <w:r>
        <w:t>This is likely to place significant strain upon local au</w:t>
      </w:r>
      <w:r>
        <w:t>thority run and voluntary sector providers.</w:t>
      </w:r>
    </w:p>
    <w:p w:rsidR="00864B5E" w:rsidP="00F80DA7">
      <w:r>
        <w:t>The cessation of programmes that aim to increase physical activity in the areas of greatest need and lowest activity may lead to longer term health problems and an increase in health inequality.</w:t>
      </w:r>
    </w:p>
    <w:p w:rsidR="00960517" w:rsidRPr="00F80DA7" w:rsidP="00F80DA7">
      <w:r>
        <w:t xml:space="preserve">In the </w:t>
      </w:r>
      <w:r>
        <w:t>private sector the reliance on footfall generated by events led tourism strategies will have to be revised.  Similarly, the capacity for larger private sector bodies to act as sponsors of events or philanthropic contributors to the arts is likely to be aff</w:t>
      </w:r>
      <w:r>
        <w:t>ected for a period.</w:t>
      </w:r>
    </w:p>
    <w:p w:rsidR="00F80DA7" w:rsidRPr="002F329B" w:rsidP="00F80DA7">
      <w:pPr>
        <w:rPr>
          <w:b/>
          <w:bCs/>
        </w:rPr>
      </w:pPr>
      <w:r w:rsidRPr="002F329B">
        <w:rPr>
          <w:b/>
          <w:bCs/>
        </w:rPr>
        <w:t>• What lessons can be learnt from how DCMS, arms-length bodies and the sector have dealt with Covid-19?</w:t>
      </w:r>
    </w:p>
    <w:p w:rsidR="002F329B" w:rsidP="00F80DA7">
      <w:r>
        <w:t>It is evident that the core assets which have some degree of state support through national government, local authorities or arms le</w:t>
      </w:r>
      <w:r>
        <w:t>ngth bodies such as ACE have a greater degree of protection than those operating in the private and voluntary sector, especially small providers and freelance individuals.</w:t>
      </w:r>
    </w:p>
    <w:p w:rsidR="003E1D2B" w:rsidP="00F80DA7">
      <w:r>
        <w:t xml:space="preserve">While support for the former has been relatively quick and appears to be effective, </w:t>
      </w:r>
      <w:r>
        <w:t xml:space="preserve">the same is less true for the latter whose reliance on footfall, box office, gate receipts etc on a regular basis is far greater.  It is not quite Premier League vs </w:t>
      </w:r>
      <w:r>
        <w:t>EFL</w:t>
      </w:r>
      <w:r>
        <w:t xml:space="preserve"> but it is something like that.</w:t>
      </w:r>
    </w:p>
    <w:p w:rsidR="003E1D2B" w:rsidP="00F80DA7">
      <w:r>
        <w:t xml:space="preserve">Again, some lessons will only be clear further down the line when it is evident what shape the sector is in following the crisis.   However, </w:t>
      </w:r>
      <w:r>
        <w:t>it is clear that in</w:t>
      </w:r>
      <w:r>
        <w:t xml:space="preserve"> a sector that is predominantly risk based, in that the business can only function if the public</w:t>
      </w:r>
      <w:r>
        <w:t xml:space="preserve"> turn up, </w:t>
      </w:r>
      <w:r>
        <w:t>careful management of the transition to normality will be vital.</w:t>
      </w:r>
    </w:p>
    <w:p w:rsidR="00F80DA7" w:rsidRPr="00555168" w:rsidP="00F80DA7">
      <w:pPr>
        <w:rPr>
          <w:b/>
          <w:bCs/>
        </w:rPr>
      </w:pPr>
      <w:r w:rsidRPr="00555168">
        <w:rPr>
          <w:b/>
          <w:bCs/>
        </w:rPr>
        <w:t>• How might the sector evolve after Covid-19, and how can DCMS support such innovation to deal with future challenges?</w:t>
      </w:r>
    </w:p>
    <w:p w:rsidR="00474B65" w:rsidP="00F80DA7">
      <w:r>
        <w:t>Digital content and finding innovative ways to reach audiences</w:t>
      </w:r>
      <w:r>
        <w:t xml:space="preserve"> and customers has been a feature of the crisis which is likely to stay.  From online performances and exhibitions, to keep fit and health programmes, to bounce and rhyme time sessions at local libraries, the sector has responded with creativity and imagin</w:t>
      </w:r>
      <w:r>
        <w:t>ation to the need to reach communities in new ways.</w:t>
      </w:r>
      <w:r>
        <w:t xml:space="preserve">  </w:t>
      </w:r>
      <w:r>
        <w:t>Investment in strengthening the digital network, to ensure that such access is stable and accessible in both urban and rural settings, would be a huge step forward.</w:t>
      </w:r>
    </w:p>
    <w:p w:rsidR="00474B65" w:rsidP="00F80DA7">
      <w:r>
        <w:t>The turn to cultural and creative acti</w:t>
      </w:r>
      <w:r>
        <w:t xml:space="preserve">vity </w:t>
      </w:r>
      <w:r>
        <w:t>as a means to</w:t>
      </w:r>
      <w:r>
        <w:t xml:space="preserve"> aid people isolated through the crisis has emphasised the importance of cultural activity for health and wellbeing.  The importance of sport and physical activity in this area has, quite rightly, long been acknowledged.  The significance</w:t>
      </w:r>
      <w:r>
        <w:t xml:space="preserve"> of culture for public health has </w:t>
      </w:r>
      <w:r>
        <w:t xml:space="preserve">however, </w:t>
      </w:r>
      <w:r>
        <w:t xml:space="preserve">been </w:t>
      </w:r>
      <w:r>
        <w:t>under resourced</w:t>
      </w:r>
      <w:r>
        <w:t>, and the investment in preventative work in this field needs to be re-addressed.</w:t>
      </w:r>
    </w:p>
    <w:p w:rsidR="00F20A17" w:rsidP="00F80DA7">
      <w:r>
        <w:t xml:space="preserve">Re-visiting the recommendations of the </w:t>
      </w:r>
      <w:r>
        <w:t>All Party</w:t>
      </w:r>
      <w:r>
        <w:t xml:space="preserve"> Parliamentary Group (APPG) on Arts, Health and Wellbeing Inqui</w:t>
      </w:r>
      <w:r>
        <w:t xml:space="preserve">ry Report, </w:t>
      </w:r>
      <w:r w:rsidRPr="00555168">
        <w:rPr>
          <w:i/>
          <w:iCs/>
        </w:rPr>
        <w:t>Creative Health</w:t>
      </w:r>
      <w:r>
        <w:t xml:space="preserve"> (2017), would be a good starting point.  </w:t>
      </w:r>
    </w:p>
    <w:p w:rsidR="0031344B">
      <w:r>
        <w:t>The anecdotal increase in cycling and walking during this period should be built upon and seen as an opportunity to increase and promote the network of safe cycling and walking routes.</w:t>
      </w:r>
      <w:bookmarkStart w:id="0" w:name="_GoBack"/>
      <w:bookmarkEnd w:id="0"/>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