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90552E" w:rsidRPr="00764BE9" w:rsidP="005933E6">
      <w:pPr>
        <w:rPr>
          <w:rFonts w:ascii="Verdana" w:eastAsia="Times New Roman" w:hAnsi="Verdana" w:cs="Times New Roman"/>
          <w:b/>
          <w:bCs/>
          <w:color w:val="201F1E"/>
          <w:sz w:val="28"/>
          <w:szCs w:val="28"/>
          <w:lang w:eastAsia="en-GB"/>
        </w:rPr>
      </w:pPr>
      <w:bookmarkStart w:id="0" w:name="_GoBack"/>
      <w:bookmarkEnd w:id="0"/>
      <w:r w:rsidRPr="00764BE9">
        <w:rPr>
          <w:rFonts w:ascii="Verdana" w:eastAsia="Times New Roman" w:hAnsi="Verdana" w:cs="Times New Roman"/>
          <w:b/>
          <w:bCs/>
          <w:color w:val="201F1E"/>
          <w:sz w:val="28"/>
          <w:szCs w:val="28"/>
          <w:lang w:eastAsia="en-GB"/>
        </w:rPr>
        <w:t xml:space="preserve">Dr </w:t>
      </w:r>
      <w:r w:rsidRPr="00764BE9">
        <w:rPr>
          <w:rFonts w:ascii="Verdana" w:eastAsia="Times New Roman" w:hAnsi="Verdana" w:cs="Times New Roman"/>
          <w:b/>
          <w:bCs/>
          <w:color w:val="201F1E"/>
          <w:sz w:val="28"/>
          <w:szCs w:val="28"/>
          <w:lang w:eastAsia="en-GB"/>
        </w:rPr>
        <w:t>Peace A. Medie</w:t>
      </w:r>
      <w:r w:rsidRPr="00764BE9">
        <w:rPr>
          <w:rFonts w:ascii="Verdana" w:eastAsia="Times New Roman" w:hAnsi="Verdana" w:cs="Times New Roman"/>
          <w:b/>
          <w:bCs/>
          <w:color w:val="201F1E"/>
          <w:sz w:val="28"/>
          <w:szCs w:val="28"/>
          <w:lang w:eastAsia="en-GB"/>
        </w:rPr>
        <w:t xml:space="preserve">, </w:t>
      </w:r>
      <w:r w:rsidRPr="00764BE9">
        <w:rPr>
          <w:rFonts w:ascii="Verdana" w:eastAsia="Times New Roman" w:hAnsi="Verdana" w:cs="Times New Roman"/>
          <w:b/>
          <w:bCs/>
          <w:color w:val="201F1E"/>
          <w:sz w:val="28"/>
          <w:szCs w:val="28"/>
          <w:lang w:eastAsia="en-GB"/>
        </w:rPr>
        <w:t xml:space="preserve">Senior Lecturer in Gender and International Politics, </w:t>
      </w:r>
      <w:r w:rsidRPr="00764BE9">
        <w:rPr>
          <w:rFonts w:ascii="Verdana" w:eastAsia="Times New Roman" w:hAnsi="Verdana" w:cs="Times New Roman"/>
          <w:b/>
          <w:bCs/>
          <w:color w:val="201F1E"/>
          <w:sz w:val="28"/>
          <w:szCs w:val="28"/>
          <w:lang w:eastAsia="en-GB"/>
        </w:rPr>
        <w:t>School of Sociology, Politics and International Studies, University of Bristol</w:t>
      </w:r>
      <w:r>
        <w:rPr>
          <w:rFonts w:ascii="Verdana" w:eastAsia="Times New Roman" w:hAnsi="Verdana" w:cs="Times New Roman"/>
          <w:b/>
          <w:bCs/>
          <w:color w:val="201F1E"/>
          <w:sz w:val="28"/>
          <w:szCs w:val="28"/>
          <w:lang w:eastAsia="en-GB"/>
        </w:rPr>
        <w:t xml:space="preserve"> – Written evidence (ZAF005</w:t>
      </w:r>
      <w:r>
        <w:rPr>
          <w:rFonts w:ascii="Verdana" w:eastAsia="Times New Roman" w:hAnsi="Verdana" w:cs="Times New Roman"/>
          <w:b/>
          <w:bCs/>
          <w:color w:val="201F1E"/>
          <w:sz w:val="28"/>
          <w:szCs w:val="28"/>
          <w:lang w:eastAsia="en-GB"/>
        </w:rPr>
        <w:t>2)</w:t>
      </w:r>
    </w:p>
    <w:p w:rsidR="00063847" w:rsidRPr="00764BE9" w:rsidP="005933E6">
      <w:pPr>
        <w:rPr>
          <w:rFonts w:ascii="Verdana" w:eastAsia="Times New Roman" w:hAnsi="Verdana" w:cs="Times New Roman"/>
          <w:color w:val="201F1E"/>
          <w:highlight w:val="yellow"/>
          <w:lang w:eastAsia="en-GB"/>
        </w:rPr>
      </w:pPr>
    </w:p>
    <w:p w:rsidR="00A3071F" w:rsidRPr="00764BE9" w:rsidP="00575CE8">
      <w:pPr>
        <w:rPr>
          <w:rFonts w:ascii="Verdana" w:eastAsia="Times New Roman" w:hAnsi="Verdana" w:cs="Times New Roman"/>
          <w:color w:val="201F1E"/>
          <w:lang w:eastAsia="en-GB"/>
        </w:rPr>
      </w:pP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Submission to the House of Lords International Relations and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Defence Committee, 4</w:t>
      </w:r>
      <w:r w:rsidRPr="00764BE9">
        <w:rPr>
          <w:rFonts w:ascii="Verdana" w:eastAsia="Times New Roman" w:hAnsi="Verdana" w:cs="Times New Roman"/>
          <w:color w:val="201F1E"/>
          <w:vertAlign w:val="superscript"/>
          <w:lang w:eastAsia="en-GB"/>
        </w:rPr>
        <w:t>th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May 2020</w:t>
      </w:r>
    </w:p>
    <w:p w:rsidR="00A3071F" w:rsidRPr="00764BE9" w:rsidP="00575CE8">
      <w:pPr>
        <w:rPr>
          <w:rFonts w:ascii="Verdana" w:eastAsia="Times New Roman" w:hAnsi="Verdana" w:cs="Times New Roman"/>
          <w:b/>
          <w:bCs/>
          <w:color w:val="201F1E"/>
          <w:lang w:eastAsia="en-GB"/>
        </w:rPr>
      </w:pPr>
    </w:p>
    <w:p w:rsidR="00A3071F" w:rsidRPr="00764BE9" w:rsidP="00575CE8">
      <w:pPr>
        <w:rPr>
          <w:rFonts w:ascii="Verdana" w:eastAsia="Times New Roman" w:hAnsi="Verdana" w:cs="Times New Roman"/>
          <w:b/>
          <w:bCs/>
          <w:color w:val="201F1E"/>
          <w:lang w:eastAsia="en-GB"/>
        </w:rPr>
      </w:pPr>
      <w:r w:rsidRPr="00764BE9">
        <w:rPr>
          <w:rFonts w:ascii="Verdana" w:eastAsia="Times New Roman" w:hAnsi="Verdana" w:cs="Times New Roman"/>
          <w:b/>
          <w:bCs/>
          <w:color w:val="201F1E"/>
          <w:lang w:eastAsia="en-GB"/>
        </w:rPr>
        <w:t>WOMEN AND CONFLICT IN SUB-SAHARAN AFRICA</w:t>
      </w:r>
    </w:p>
    <w:p w:rsidR="001053E3" w:rsidRPr="00764BE9" w:rsidP="00575CE8">
      <w:pPr>
        <w:rPr>
          <w:rFonts w:ascii="Verdana" w:eastAsia="Times New Roman" w:hAnsi="Verdana" w:cs="Times New Roman"/>
          <w:color w:val="201F1E"/>
          <w:lang w:eastAsia="en-GB"/>
        </w:rPr>
      </w:pPr>
    </w:p>
    <w:p w:rsidR="003E0562" w:rsidRPr="00764BE9" w:rsidP="00D42FA3">
      <w:pPr>
        <w:jc w:val="both"/>
        <w:rPr>
          <w:rFonts w:ascii="Verdana" w:eastAsia="Times New Roman" w:hAnsi="Verdana" w:cs="Times New Roman"/>
          <w:b/>
          <w:bCs/>
          <w:color w:val="201F1E"/>
          <w:bdr w:val="nil"/>
          <w:lang w:eastAsia="en-GB"/>
        </w:rPr>
      </w:pPr>
    </w:p>
    <w:p w:rsidR="005933E6" w:rsidRPr="00764BE9" w:rsidP="00D42FA3">
      <w:pPr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  <w:r w:rsidRPr="00764BE9">
        <w:rPr>
          <w:rFonts w:ascii="Verdana" w:eastAsia="Times New Roman" w:hAnsi="Verdana" w:cs="Times New Roman"/>
          <w:b/>
          <w:bCs/>
          <w:color w:val="201F1E"/>
          <w:bdr w:val="nil"/>
          <w:lang w:eastAsia="en-GB"/>
        </w:rPr>
        <w:t>What roles do women play in conflict and in combatting it in Sub-Saharan Africa?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b/>
          <w:bCs/>
          <w:color w:val="201F1E"/>
          <w:bdr w:val="nil"/>
          <w:lang w:eastAsia="en-GB"/>
        </w:rPr>
        <w:t>Please give examples.</w:t>
      </w:r>
    </w:p>
    <w:p w:rsidR="00D42FA3" w:rsidRPr="00764BE9" w:rsidP="00285926">
      <w:pPr>
        <w:ind w:left="720"/>
        <w:jc w:val="both"/>
        <w:rPr>
          <w:rFonts w:ascii="Verdana" w:eastAsia="Times New Roman" w:hAnsi="Verdana" w:cs="Times New Roman"/>
          <w:color w:val="201F1E"/>
          <w:highlight w:val="yellow"/>
          <w:bdr w:val="nil"/>
          <w:lang w:eastAsia="en-GB"/>
        </w:rPr>
      </w:pPr>
    </w:p>
    <w:p w:rsidR="0043125E" w:rsidRPr="00764BE9" w:rsidP="00556BBF">
      <w:pPr>
        <w:ind w:left="720"/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1.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While the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re are often differences within and across conflicts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, w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omen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have participated in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armed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conflict in a variety of ways and have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also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been key actors in combating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this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conflict in sub-Saharan Africa.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Women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and girls participate in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combat and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also play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support roles in conflicts.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Although in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the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minority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and typically not occupying leadership positions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,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women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form part of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national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armed forces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and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in countries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such as the Democratic Republic of Congo (DRC) have participated in combat.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Women and girls have also been combatants within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non-state armed groups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in several conflicts, including in northern Uganda, Sierra Leone, Liberia,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and the DRC.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A few of them have held leadership positions within these armed groups.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In Nigeria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and neighbouring countries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in which it has launched attacks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, Boko Haram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has deployed girls and women as suicide bombers.</w:t>
      </w:r>
      <w:r>
        <w:rPr>
          <w:rStyle w:val="FootnoteReference"/>
          <w:rFonts w:ascii="Verdana" w:eastAsia="Times New Roman" w:hAnsi="Verdana" w:cs="Times New Roman"/>
          <w:color w:val="201F1E"/>
          <w:bdr w:val="nil"/>
          <w:lang w:eastAsia="en-GB"/>
        </w:rPr>
        <w:footnoteReference w:id="2"/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Some of these attacks have been carried out by girls who were kidnapped by the group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and in many cases involved coercion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.</w:t>
      </w:r>
      <w:r>
        <w:rPr>
          <w:rStyle w:val="FootnoteReference"/>
          <w:rFonts w:ascii="Verdana" w:eastAsia="Times New Roman" w:hAnsi="Verdana" w:cs="Times New Roman"/>
          <w:color w:val="201F1E"/>
          <w:bdr w:val="nil"/>
          <w:lang w:eastAsia="en-GB"/>
        </w:rPr>
        <w:footnoteReference w:id="3"/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W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omen and girls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also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perform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support roles within non-state armed groups.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These su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pport roles include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cooking, cleaning, farming, and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serving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as porters.</w:t>
      </w:r>
      <w:r>
        <w:rPr>
          <w:rStyle w:val="FootnoteReference"/>
          <w:rFonts w:ascii="Verdana" w:eastAsia="Times New Roman" w:hAnsi="Verdana" w:cs="Times New Roman"/>
          <w:color w:val="201F1E"/>
          <w:bdr w:val="nil"/>
          <w:lang w:eastAsia="en-GB"/>
        </w:rPr>
        <w:footnoteReference w:id="4"/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Some women and girls are abducted and forcibly conscripted into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non-state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armed groups while others join for reasons that range from ideology to survival.</w:t>
      </w:r>
      <w:r>
        <w:rPr>
          <w:rStyle w:val="FootnoteReference"/>
          <w:rFonts w:ascii="Verdana" w:eastAsia="Times New Roman" w:hAnsi="Verdana" w:cs="Times New Roman"/>
          <w:color w:val="201F1E"/>
          <w:bdr w:val="nil"/>
          <w:lang w:eastAsia="en-GB"/>
        </w:rPr>
        <w:footnoteReference w:id="5"/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Violence, including sexual violence, against women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and girls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in non-state armed groups has been widespread, although some high-ranking female fighters have not been subjected to this violence.</w:t>
      </w:r>
      <w:r>
        <w:rPr>
          <w:rStyle w:val="FootnoteReference"/>
          <w:rFonts w:ascii="Verdana" w:eastAsia="Times New Roman" w:hAnsi="Verdana" w:cs="Times New Roman"/>
          <w:color w:val="201F1E"/>
          <w:bdr w:val="nil"/>
          <w:lang w:eastAsia="en-GB"/>
        </w:rPr>
        <w:footnoteReference w:id="6"/>
      </w:r>
    </w:p>
    <w:p w:rsidR="00285926" w:rsidRPr="00764BE9" w:rsidP="00285926">
      <w:pPr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</w:p>
    <w:p w:rsidR="00DE4EE2" w:rsidRPr="00764BE9" w:rsidP="00413B46">
      <w:pPr>
        <w:ind w:left="720"/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2.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W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omen are also key actors in combating conflict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in sub-Saharan Africa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. At the sub-national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, national, and international levels, women have advocated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for and worked towards the prevention and resolution of conflicts.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They have employed a variety of strategies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in their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efforts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, including protest marches,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sit-ins, strikes, and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mediation.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Women mobilized to demand an end to conflicts in C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ô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te d’Ivoire, Liberia, Sierra Leone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, and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in other countries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in the region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. Some of this advocacy is ongoing in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countries such as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South Sudan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and the DRC.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One of the most notable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efforts was launched by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the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women’s movement in Liberia,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the Women of Liberia Mass Action for Peace,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in response to the country’s civil war, which began in 1989. Women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mobilized across religious and ethnic lines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and employed a varie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ty of strategies, including protest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marches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,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to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pressure warring factors to the peace table and to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demand that they sign and implement the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2003 Comprehensive Peace Agreement. Women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also facilitated the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country’s Disarmament, Demobilization, and Reintegrati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on process.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Some of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the activism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by women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has been transnational. For example,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The Mano River Women Union Peace Network (MARWOPNET)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, which was created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in 2000 by peace activists from Guinea, Liberia, and Sierra Leone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,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pressured the E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conomic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C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ommunity of West African States (ECOWAS)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to find solutions to the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conflicts in the Mano River countries. Women have continued to advocate for peace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transnationally through organizations such as the Women in Peacebuilding Network (WIPNET). Women’s activism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in sub-Saharan Africa has contributed to their inclusion in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some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peace processes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. However, they continue to be excluded from many peace processes and are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therefore underrepresented in peace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negotiations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.</w:t>
      </w:r>
      <w:r>
        <w:rPr>
          <w:rStyle w:val="FootnoteReference"/>
          <w:rFonts w:ascii="Verdana" w:eastAsia="Times New Roman" w:hAnsi="Verdana" w:cs="Times New Roman"/>
          <w:color w:val="201F1E"/>
          <w:bdr w:val="nil"/>
          <w:lang w:eastAsia="en-GB"/>
        </w:rPr>
        <w:footnoteReference w:id="7"/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Th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eir exclusion undermines the quality and durabili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ty of peace t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hat is established in the aftermath of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armed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conflict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.</w:t>
      </w:r>
      <w:r>
        <w:rPr>
          <w:rStyle w:val="FootnoteReference"/>
          <w:rFonts w:ascii="Verdana" w:eastAsia="Times New Roman" w:hAnsi="Verdana" w:cs="Times New Roman"/>
          <w:color w:val="201F1E"/>
          <w:bdr w:val="nil"/>
          <w:lang w:eastAsia="en-GB"/>
        </w:rPr>
        <w:footnoteReference w:id="8"/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</w:p>
    <w:p w:rsidR="00DE4EE2" w:rsidRPr="00764BE9" w:rsidP="00DE4EE2">
      <w:pPr>
        <w:pStyle w:val="ListParagraph"/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</w:p>
    <w:p w:rsidR="002D2D74" w:rsidRPr="00764BE9" w:rsidP="00573A90">
      <w:pPr>
        <w:pStyle w:val="ListParagraph"/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3.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Another way in which women combat conflict in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sub-Saharan Africa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is by serving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in peacekeeping missions as military, police, and civilian personnel.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For example, women from the South African National Defence Force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(SANDF)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have served as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military personnel in several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peaceke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eping missions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in the region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, including in Burundi, the DRC,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and Sudan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.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While the SANDF has been a leader in contributing female personnel to peacekeeping missions, women remain highly underrepresented in most missions, making up only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4.7 percent of military personnel and 10.8 percent of police personnel in UN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peacekeeping missions in 2019.</w:t>
      </w:r>
      <w:r>
        <w:rPr>
          <w:rStyle w:val="FootnoteReference"/>
          <w:rFonts w:ascii="Verdana" w:eastAsia="Times New Roman" w:hAnsi="Verdana" w:cs="Times New Roman"/>
          <w:color w:val="201F1E"/>
          <w:bdr w:val="nil"/>
          <w:lang w:eastAsia="en-GB"/>
        </w:rPr>
        <w:footnoteReference w:id="9"/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</w:p>
    <w:p w:rsidR="00573A90" w:rsidRPr="00764BE9" w:rsidP="00573A90">
      <w:pPr>
        <w:pStyle w:val="ListParagraph"/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</w:p>
    <w:p w:rsidR="0090552E" w:rsidRPr="00764BE9" w:rsidP="003743AD">
      <w:pPr>
        <w:jc w:val="both"/>
        <w:rPr>
          <w:rFonts w:ascii="Verdana" w:eastAsia="Times New Roman" w:hAnsi="Verdana" w:cs="Times New Roman"/>
          <w:color w:val="201F1E"/>
          <w:lang w:eastAsia="en-GB"/>
        </w:rPr>
      </w:pPr>
    </w:p>
    <w:p w:rsidR="00575CE8" w:rsidRPr="00764BE9" w:rsidP="00D42FA3">
      <w:pPr>
        <w:jc w:val="both"/>
        <w:rPr>
          <w:rFonts w:ascii="Verdana" w:eastAsia="Times New Roman" w:hAnsi="Verdana" w:cs="Times New Roman"/>
          <w:color w:val="201F1E"/>
          <w:lang w:eastAsia="en-GB"/>
        </w:rPr>
      </w:pPr>
      <w:r w:rsidRPr="00764BE9">
        <w:rPr>
          <w:rFonts w:ascii="Verdana" w:eastAsia="Times New Roman" w:hAnsi="Verdana" w:cs="Times New Roman"/>
          <w:b/>
          <w:bCs/>
          <w:color w:val="201F1E"/>
          <w:bdr w:val="nil"/>
          <w:lang w:eastAsia="en-GB"/>
        </w:rPr>
        <w:t>How effectively do the United Nations and the African Union work to support women and girls in Sub-Saharan Africa?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</w:p>
    <w:p w:rsidR="00D42FA3" w:rsidRPr="00764BE9" w:rsidP="00FA1B12">
      <w:pPr>
        <w:ind w:left="720"/>
        <w:jc w:val="both"/>
        <w:rPr>
          <w:rFonts w:ascii="Verdana" w:eastAsia="Times New Roman" w:hAnsi="Verdana" w:cs="Times New Roman"/>
          <w:color w:val="201F1E"/>
          <w:lang w:eastAsia="en-GB"/>
        </w:rPr>
      </w:pPr>
    </w:p>
    <w:p w:rsidR="004853A6" w:rsidRPr="00764BE9" w:rsidP="008F7E1F">
      <w:pPr>
        <w:ind w:left="720"/>
        <w:jc w:val="both"/>
        <w:rPr>
          <w:rFonts w:ascii="Verdana" w:eastAsia="Times New Roman" w:hAnsi="Verdana" w:cs="Times New Roman"/>
          <w:color w:val="201F1E"/>
          <w:lang w:eastAsia="en-GB"/>
        </w:rPr>
      </w:pPr>
      <w:r w:rsidRPr="00764BE9">
        <w:rPr>
          <w:rFonts w:ascii="Verdana" w:eastAsia="Times New Roman" w:hAnsi="Verdana" w:cs="Times New Roman"/>
          <w:color w:val="201F1E"/>
          <w:lang w:eastAsia="en-GB"/>
        </w:rPr>
        <w:t>4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.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The experiences of women and girls vary within and across conflict-affected countries in sub-Saharan Africa. However, certain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political, social, and economic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problems are prevalent within this context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and affect many women and girls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. They include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sexual an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d physical violence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and the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lack of access to justice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.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Furthermore, h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igh levels of poverty, partly caused by conflict, make it difficult for many to access basic needs, including food, shelter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, and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healthcare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,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and thus to realize their social and economic rights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. 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These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issues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cannot be divorced from the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social norms that support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gender inequalities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in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most societies. Women’s activism has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drawn attention to these issues and placed them on the agenda of the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Unit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ed Nations (UN) and the African Union (AU). Both organizations have developed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instruments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that urge state and non-state actors to address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gender-based violence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and other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problems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that conf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ront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women and girls in conflict-affected countries.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They have suppo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rted states in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harmonizing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international instruments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with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national laws and policies and in implementing them. The UN has also implemented programs to advance women’s rights across conflict-affected countries.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While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some of these initiatives have led to im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provements in women’s and girls’ lives, many continue to face major barriers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to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realizing their rights. </w:t>
      </w:r>
    </w:p>
    <w:p w:rsidR="008F0138" w:rsidRPr="00764BE9" w:rsidP="004853A6">
      <w:pPr>
        <w:jc w:val="both"/>
        <w:rPr>
          <w:rFonts w:ascii="Verdana" w:eastAsia="Times New Roman" w:hAnsi="Verdana" w:cs="Times New Roman"/>
          <w:color w:val="201F1E"/>
          <w:lang w:eastAsia="en-GB"/>
        </w:rPr>
      </w:pPr>
    </w:p>
    <w:p w:rsidR="001965C4" w:rsidRPr="00764BE9" w:rsidP="0030036C">
      <w:pPr>
        <w:ind w:left="720"/>
        <w:jc w:val="both"/>
        <w:rPr>
          <w:rFonts w:ascii="Verdana" w:eastAsia="Times New Roman" w:hAnsi="Verdana" w:cs="Times New Roman"/>
          <w:color w:val="201F1E"/>
          <w:lang w:eastAsia="en-GB"/>
        </w:rPr>
      </w:pPr>
      <w:r w:rsidRPr="00764BE9">
        <w:rPr>
          <w:rFonts w:ascii="Verdana" w:eastAsia="Times New Roman" w:hAnsi="Verdana" w:cs="Times New Roman"/>
          <w:color w:val="201F1E"/>
          <w:lang w:eastAsia="en-GB"/>
        </w:rPr>
        <w:t>5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.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T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he UN and the AU have produced progressive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policies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that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address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a range of challenges that women and girls face in conflict-affected countries.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The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UN’s Women, Peace, and Security (WPS) agenda has been a major development in this area.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The four pillars of the agenda are: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‘1) The role of women in conflict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prevention, 2) their participation in peacebuilding, 3) the protection of their rights during and after conflict, and 4) their specific needs during repatriation, resettlement and for rehabilitation, reintegration and post-conflict reconstruction.’</w:t>
      </w:r>
      <w:r>
        <w:rPr>
          <w:rStyle w:val="FootnoteReference"/>
          <w:rFonts w:ascii="Verdana" w:eastAsia="Times New Roman" w:hAnsi="Verdana" w:cs="Times New Roman"/>
          <w:color w:val="201F1E"/>
          <w:lang w:eastAsia="en-GB"/>
        </w:rPr>
        <w:footnoteReference w:id="10"/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Women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’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s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rights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a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ctivists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from African countries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played a key role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in placing issues that eventually constituted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the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WPS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framework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onto the Security Council’s agenda.</w:t>
      </w:r>
      <w:r>
        <w:rPr>
          <w:rStyle w:val="FootnoteReference"/>
          <w:rFonts w:ascii="Verdana" w:eastAsia="Times New Roman" w:hAnsi="Verdana" w:cs="Times New Roman"/>
          <w:color w:val="201F1E"/>
          <w:lang w:eastAsia="en-GB"/>
        </w:rPr>
        <w:footnoteReference w:id="11"/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The Security Council has adopted ten WPS resolutions, beginning with Resolution 1325 (2000).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A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host of other international policy documents have been developed by UN agencies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since the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early 2000s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to address women’s political, social, and economic rights in conflict-affected countries. Similarly, the AU has adopted instruments such as the Maputo Pro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tocol and the 2009 Gender Policy that urge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states to implement measures to advance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women’s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rights. These developments in the UN and AU have contributed to legal and policy changes at the domestic level, with post-conflict countries leading in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the adoption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of women’s rights reforms.</w:t>
      </w:r>
      <w:r>
        <w:rPr>
          <w:rStyle w:val="FootnoteReference"/>
          <w:rFonts w:ascii="Verdana" w:eastAsia="Times New Roman" w:hAnsi="Verdana" w:cs="Times New Roman"/>
          <w:color w:val="201F1E"/>
          <w:lang w:eastAsia="en-GB"/>
        </w:rPr>
        <w:footnoteReference w:id="12"/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The UN and the AU have also supported states in policy implementation. </w:t>
      </w:r>
    </w:p>
    <w:p w:rsidR="00793F25" w:rsidRPr="00764BE9" w:rsidP="00FA1B12">
      <w:pPr>
        <w:jc w:val="both"/>
        <w:rPr>
          <w:rFonts w:ascii="Verdana" w:eastAsia="Times New Roman" w:hAnsi="Verdana" w:cs="Times New Roman"/>
          <w:color w:val="201F1E"/>
          <w:lang w:eastAsia="en-GB"/>
        </w:rPr>
      </w:pPr>
    </w:p>
    <w:p w:rsidR="00FA1B12" w:rsidRPr="00764BE9" w:rsidP="00753523">
      <w:pPr>
        <w:ind w:left="720"/>
        <w:jc w:val="both"/>
        <w:rPr>
          <w:rFonts w:ascii="Verdana" w:eastAsia="Times New Roman" w:hAnsi="Verdana" w:cs="Times New Roman"/>
          <w:color w:val="201F1E"/>
          <w:lang w:eastAsia="en-GB"/>
        </w:rPr>
      </w:pP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6.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T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he UN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has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implemented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a range of programs to enhance security and rights for women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and girls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in conflict-affected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countries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.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These programs span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the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political, social, and economic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spheres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and have sometimes been implemented in collaboration with civil society organizations.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The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y include programs to raise awareness of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gender-based violence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and to provide access to justice and h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ealthcare. For example, a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major initiative that the UN has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promoted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in post-conflict countries is the establishment of specialized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criminal justice sector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mechanisms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to address gender-based violence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.</w:t>
      </w:r>
      <w:r>
        <w:rPr>
          <w:rStyle w:val="FootnoteReference"/>
          <w:rFonts w:ascii="Verdana" w:eastAsia="Times New Roman" w:hAnsi="Verdana" w:cs="Times New Roman"/>
          <w:color w:val="201F1E"/>
          <w:lang w:eastAsia="en-GB"/>
        </w:rPr>
        <w:footnoteReference w:id="13"/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These include specialized courts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and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police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units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,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which have been established in many countries, including Rwanda, C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ô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te d’Ivoire, and South Sudan. </w:t>
      </w:r>
    </w:p>
    <w:p w:rsidR="00FA1B12" w:rsidRPr="00764BE9" w:rsidP="00FA1B12">
      <w:pPr>
        <w:ind w:left="720"/>
        <w:jc w:val="both"/>
        <w:rPr>
          <w:rFonts w:ascii="Verdana" w:eastAsia="Times New Roman" w:hAnsi="Verdana" w:cs="Times New Roman"/>
          <w:color w:val="201F1E"/>
          <w:lang w:eastAsia="en-GB"/>
        </w:rPr>
      </w:pPr>
    </w:p>
    <w:p w:rsidR="007D1BDB" w:rsidRPr="00764BE9" w:rsidP="000D3C80">
      <w:pPr>
        <w:ind w:left="720"/>
        <w:jc w:val="both"/>
        <w:rPr>
          <w:rFonts w:ascii="Verdana" w:eastAsia="Times New Roman" w:hAnsi="Verdana" w:cs="Times New Roman"/>
          <w:color w:val="201F1E"/>
          <w:lang w:eastAsia="en-GB"/>
        </w:rPr>
      </w:pP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7.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These specialized mechanisms and other related initiatives are major developments in the area of women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, peace, and security and constitute support to women and girls in conflict-affected countries. For example, s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pecialized police units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have removed some of the barriers to justice for survivors of sexual violence.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The UN has lauded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the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achievements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of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Rwanda’s One-Stop Centre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, a specialized unit in which trained police officers work with healthcare providers to provide a comprehensive service to survivors of sexual and other forms of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gender-based violence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.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In Liberia,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the creation of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the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Women and Children Protection Section,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a specialized police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,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unit led to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some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improvement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s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in police performance.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Nonetheless,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the country’s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specialized units were often poorly equipped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,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limiting the effectiveness of the police.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Consequently,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some barrier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s to formal justice persist for many survivors of sexual and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physical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violence.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Similarly, while social and economic programs have aided many, levels of poverty remain high in conflict-affected countries, preventing girls and women from fully enjoying many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 social and economic rights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.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This is partly because much of the UN’s work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 xml:space="preserve">on women’s economic rights </w:t>
      </w:r>
      <w:r w:rsidRPr="00764BE9">
        <w:rPr>
          <w:rFonts w:ascii="Verdana" w:eastAsia="Times New Roman" w:hAnsi="Verdana" w:cs="Times New Roman"/>
          <w:color w:val="201F1E"/>
          <w:lang w:eastAsia="en-GB"/>
        </w:rPr>
        <w:t>has ‘centred around short-term and temporary initiatives that fail to generate long-term impact’.</w:t>
      </w:r>
      <w:r>
        <w:rPr>
          <w:rStyle w:val="FootnoteReference"/>
          <w:rFonts w:ascii="Verdana" w:eastAsia="Times New Roman" w:hAnsi="Verdana" w:cs="Times New Roman"/>
          <w:color w:val="201F1E"/>
          <w:lang w:eastAsia="en-GB"/>
        </w:rPr>
        <w:footnoteReference w:id="14"/>
      </w:r>
    </w:p>
    <w:p w:rsidR="00575CE8" w:rsidRPr="00764BE9" w:rsidP="0023659D">
      <w:pPr>
        <w:jc w:val="both"/>
        <w:rPr>
          <w:rFonts w:ascii="Verdana" w:eastAsia="Times New Roman" w:hAnsi="Verdana" w:cs="Times New Roman"/>
          <w:color w:val="201F1E"/>
          <w:lang w:eastAsia="en-GB"/>
        </w:rPr>
      </w:pPr>
    </w:p>
    <w:p w:rsidR="009C706D" w:rsidRPr="00764BE9" w:rsidP="00E826AB">
      <w:pPr>
        <w:jc w:val="both"/>
        <w:rPr>
          <w:rFonts w:ascii="Verdana" w:eastAsia="Times New Roman" w:hAnsi="Verdana" w:cs="Times New Roman"/>
          <w:b/>
          <w:bCs/>
          <w:color w:val="201F1E"/>
          <w:bdr w:val="nil"/>
          <w:lang w:eastAsia="en-GB"/>
        </w:rPr>
      </w:pPr>
    </w:p>
    <w:p w:rsidR="005933E6" w:rsidRPr="00764BE9" w:rsidP="00E826AB">
      <w:pPr>
        <w:jc w:val="both"/>
        <w:rPr>
          <w:rFonts w:ascii="Verdana" w:eastAsia="Times New Roman" w:hAnsi="Verdana" w:cs="Times New Roman"/>
          <w:b/>
          <w:bCs/>
          <w:color w:val="201F1E"/>
          <w:lang w:eastAsia="en-GB"/>
        </w:rPr>
      </w:pPr>
      <w:r w:rsidRPr="00764BE9">
        <w:rPr>
          <w:rFonts w:ascii="Verdana" w:eastAsia="Times New Roman" w:hAnsi="Verdana" w:cs="Times New Roman"/>
          <w:b/>
          <w:bCs/>
          <w:color w:val="201F1E"/>
          <w:bdr w:val="nil"/>
          <w:lang w:eastAsia="en-GB"/>
        </w:rPr>
        <w:t xml:space="preserve">How would you assess international efforts to </w:t>
      </w:r>
      <w:r w:rsidRPr="00764BE9">
        <w:rPr>
          <w:rFonts w:ascii="Verdana" w:eastAsia="Times New Roman" w:hAnsi="Verdana" w:cs="Times New Roman"/>
          <w:b/>
          <w:bCs/>
          <w:color w:val="201F1E"/>
          <w:bdr w:val="nil"/>
          <w:lang w:eastAsia="en-GB"/>
        </w:rPr>
        <w:t>prevent sexual violence in conflict?</w:t>
      </w:r>
    </w:p>
    <w:p w:rsidR="00106FEE" w:rsidRPr="00764BE9" w:rsidP="005F5CF7">
      <w:pPr>
        <w:pStyle w:val="ListParagraph"/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</w:p>
    <w:p w:rsidR="004F4CBD" w:rsidRPr="00764BE9" w:rsidP="004F4CBD">
      <w:pPr>
        <w:pStyle w:val="ListParagraph"/>
        <w:jc w:val="both"/>
        <w:rPr>
          <w:rFonts w:ascii="Verdana" w:eastAsia="Times New Roman" w:hAnsi="Verdana" w:cs="Times New Roman"/>
          <w:color w:val="201F1E"/>
          <w:highlight w:val="yellow"/>
          <w:bdr w:val="nil"/>
          <w:lang w:eastAsia="en-GB"/>
        </w:rPr>
      </w:pP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8.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Conflict-related sexual violence (CRSV) ‘refers to rape, sexual slavery, forced prostitution, forced pregnancy, forced abortion, enforced sterilization, forced marriage and any other form of sexual violence of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comparable gravity perpetrated against women, men, girls or boys that is directly or indirectly linked to a conflict’.</w:t>
      </w:r>
      <w:r>
        <w:rPr>
          <w:rStyle w:val="FootnoteReference"/>
          <w:rFonts w:ascii="Verdana" w:eastAsia="Times New Roman" w:hAnsi="Verdana" w:cs="Times New Roman"/>
          <w:color w:val="201F1E"/>
          <w:bdr w:val="nil"/>
          <w:lang w:eastAsia="en-GB"/>
        </w:rPr>
        <w:footnoteReference w:id="15"/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There has been growing international attention to CRSV,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particularly to preventing sexual violence in conflict,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with the UN’s WPS framew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ork at the core of international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efforts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.  The UK’s Preventing Sexual Violence in Conflict Initiative is also an important part of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international efforts to prevent sexual violence in conflict. It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prioritizes the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challenging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of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harmful attitudes towards sur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vivors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and victims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of sexual violence; improving access to healthcare, justice, and livelihood programs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;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and improving the response of security forces and peacekeeping missions to sexual violence in conflict. </w:t>
      </w:r>
    </w:p>
    <w:p w:rsidR="005F5CF7" w:rsidRPr="00764BE9" w:rsidP="00E044C3">
      <w:pPr>
        <w:pStyle w:val="ListParagraph"/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</w:p>
    <w:p w:rsidR="0041590F" w:rsidRPr="00764BE9" w:rsidP="004F4CBD">
      <w:pPr>
        <w:ind w:left="720"/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9. The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re are indications that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some of these measures have led to changes in conflict-affected countries.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For example, the UN’s inclusion of C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ô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te d’Ivoire in the Secretary General’s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conflict-related sexual violence report in 2012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led to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reform of the country’s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armed forces and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of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other areas of the security sector.</w:t>
      </w:r>
      <w:r>
        <w:rPr>
          <w:rStyle w:val="FootnoteReference"/>
          <w:rFonts w:ascii="Verdana" w:eastAsia="Times New Roman" w:hAnsi="Verdana" w:cs="Times New Roman"/>
          <w:color w:val="201F1E"/>
          <w:bdr w:val="nil"/>
          <w:lang w:eastAsia="en-GB"/>
        </w:rPr>
        <w:footnoteReference w:id="16"/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In Liberia,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community members concluded that the participation of female peacekeepers in the United Nations Mission in Liberia enhanced physical safety and security.</w:t>
      </w:r>
      <w:r>
        <w:rPr>
          <w:rStyle w:val="FootnoteReference"/>
          <w:rFonts w:ascii="Verdana" w:eastAsia="Times New Roman" w:hAnsi="Verdana" w:cs="Times New Roman"/>
          <w:color w:val="201F1E"/>
          <w:bdr w:val="nil"/>
          <w:lang w:eastAsia="en-GB"/>
        </w:rPr>
        <w:footnoteReference w:id="17"/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However, m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ore research is needed to assess how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international efforts have contributed to preventing sexual violence in various conflict settings.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</w:p>
    <w:p w:rsidR="007A4FCF" w:rsidRPr="00764BE9" w:rsidP="007A4FCF">
      <w:pPr>
        <w:ind w:left="720"/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</w:p>
    <w:p w:rsidR="007A4FCF" w:rsidRPr="00764BE9" w:rsidP="007A4FCF">
      <w:pPr>
        <w:ind w:left="720"/>
        <w:jc w:val="both"/>
        <w:rPr>
          <w:rFonts w:ascii="Verdana" w:hAnsi="Verdana"/>
        </w:rPr>
      </w:pP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10.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Further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more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, d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espite th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e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progress that has been made,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sexual violence in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armed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conflicts in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sub-Saharan Africa remains widespread. According to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a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report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by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the UN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ecretary-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G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eneral, ‘</w:t>
      </w:r>
      <w:r w:rsidRPr="00764BE9">
        <w:rPr>
          <w:rFonts w:ascii="Verdana" w:hAnsi="Verdana"/>
        </w:rPr>
        <w:t>Trends analysis of incidents in 2018 confirms that sexual violence continues as part of the broader strategy of conflict and that women and girls are significantly a</w:t>
      </w:r>
      <w:r w:rsidRPr="00764BE9">
        <w:rPr>
          <w:rFonts w:ascii="Verdana" w:hAnsi="Verdana"/>
        </w:rPr>
        <w:t>ffected’.</w:t>
      </w:r>
      <w:r>
        <w:rPr>
          <w:rStyle w:val="FootnoteReference"/>
          <w:rFonts w:ascii="Verdana" w:hAnsi="Verdana"/>
        </w:rPr>
        <w:footnoteReference w:id="18"/>
      </w:r>
      <w:r w:rsidRPr="00764BE9">
        <w:rPr>
          <w:rFonts w:ascii="Verdana" w:hAnsi="Verdana"/>
        </w:rPr>
        <w:t xml:space="preserve"> Sub-Saharan African countries </w:t>
      </w:r>
      <w:r w:rsidRPr="00764BE9">
        <w:rPr>
          <w:rFonts w:ascii="Verdana" w:hAnsi="Verdana"/>
        </w:rPr>
        <w:t>covered</w:t>
      </w:r>
      <w:r w:rsidRPr="00764BE9">
        <w:rPr>
          <w:rFonts w:ascii="Verdana" w:hAnsi="Verdana"/>
        </w:rPr>
        <w:t xml:space="preserve"> in the report include Somalia, the Central African Republic, the DRC, Burundi, and South Sudan, </w:t>
      </w:r>
      <w:r w:rsidRPr="00764BE9">
        <w:rPr>
          <w:rFonts w:ascii="Verdana" w:hAnsi="Verdana"/>
        </w:rPr>
        <w:t>and</w:t>
      </w:r>
      <w:r w:rsidRPr="00764BE9">
        <w:rPr>
          <w:rFonts w:ascii="Verdana" w:hAnsi="Verdana"/>
        </w:rPr>
        <w:t xml:space="preserve"> the victims have included very young girls and boys. </w:t>
      </w:r>
      <w:r w:rsidRPr="00764BE9">
        <w:rPr>
          <w:rFonts w:ascii="Verdana" w:hAnsi="Verdana"/>
        </w:rPr>
        <w:t xml:space="preserve">This violence has been perpetrated by non-state armed </w:t>
      </w:r>
      <w:r w:rsidRPr="00764BE9">
        <w:rPr>
          <w:rFonts w:ascii="Verdana" w:hAnsi="Verdana"/>
        </w:rPr>
        <w:t>groups. In Somalia, Sudan</w:t>
      </w:r>
      <w:r w:rsidRPr="00764BE9">
        <w:rPr>
          <w:rFonts w:ascii="Verdana" w:hAnsi="Verdana"/>
        </w:rPr>
        <w:t xml:space="preserve"> (Darfur)</w:t>
      </w:r>
      <w:r w:rsidRPr="00764BE9">
        <w:rPr>
          <w:rFonts w:ascii="Verdana" w:hAnsi="Verdana"/>
        </w:rPr>
        <w:t>, and South Sudan, state agents have been implicated in th</w:t>
      </w:r>
      <w:r w:rsidRPr="00764BE9">
        <w:rPr>
          <w:rFonts w:ascii="Verdana" w:hAnsi="Verdana"/>
        </w:rPr>
        <w:t>e</w:t>
      </w:r>
      <w:r w:rsidRPr="00764BE9">
        <w:rPr>
          <w:rFonts w:ascii="Verdana" w:hAnsi="Verdana"/>
        </w:rPr>
        <w:t xml:space="preserve"> violence</w:t>
      </w:r>
      <w:r w:rsidRPr="00764BE9">
        <w:rPr>
          <w:rFonts w:ascii="Verdana" w:hAnsi="Verdana"/>
        </w:rPr>
        <w:t xml:space="preserve"> and a</w:t>
      </w:r>
      <w:r w:rsidRPr="00764BE9">
        <w:rPr>
          <w:rFonts w:ascii="Verdana" w:hAnsi="Verdana"/>
        </w:rPr>
        <w:t>ccess to formal justice and healthcare remains inaccessible to most victims. Thus, while there has been growing attention to sexual violence in conf</w:t>
      </w:r>
      <w:r w:rsidRPr="00764BE9">
        <w:rPr>
          <w:rFonts w:ascii="Verdana" w:hAnsi="Verdana"/>
        </w:rPr>
        <w:t>lict, many people remain highly vulnerable</w:t>
      </w:r>
      <w:r w:rsidRPr="00764BE9">
        <w:rPr>
          <w:rFonts w:ascii="Verdana" w:hAnsi="Verdana"/>
        </w:rPr>
        <w:t xml:space="preserve"> and are in </w:t>
      </w:r>
      <w:r w:rsidRPr="00764BE9">
        <w:rPr>
          <w:rFonts w:ascii="Verdana" w:hAnsi="Verdana"/>
        </w:rPr>
        <w:t>environments where health and psychosocial services are severely lacking</w:t>
      </w:r>
      <w:r w:rsidRPr="00764BE9">
        <w:rPr>
          <w:rFonts w:ascii="Verdana" w:hAnsi="Verdana"/>
        </w:rPr>
        <w:t>.</w:t>
      </w:r>
      <w:r>
        <w:rPr>
          <w:rStyle w:val="FootnoteReference"/>
          <w:rFonts w:ascii="Verdana" w:hAnsi="Verdana"/>
        </w:rPr>
        <w:footnoteReference w:id="19"/>
      </w:r>
      <w:r w:rsidRPr="00764BE9">
        <w:rPr>
          <w:rFonts w:ascii="Verdana" w:hAnsi="Verdana"/>
        </w:rPr>
        <w:t xml:space="preserve"> </w:t>
      </w:r>
    </w:p>
    <w:p w:rsidR="00106FEE" w:rsidRPr="00764BE9" w:rsidP="007A4FCF">
      <w:pPr>
        <w:ind w:left="720"/>
        <w:jc w:val="both"/>
        <w:rPr>
          <w:rFonts w:ascii="Verdana" w:hAnsi="Verdana"/>
        </w:rPr>
      </w:pPr>
    </w:p>
    <w:p w:rsidR="00AA281F" w:rsidRPr="00764BE9" w:rsidP="007A4FCF">
      <w:pPr>
        <w:ind w:left="720"/>
        <w:jc w:val="both"/>
        <w:rPr>
          <w:rFonts w:ascii="Verdana" w:hAnsi="Verdana"/>
        </w:rPr>
      </w:pPr>
      <w:r w:rsidRPr="00764BE9">
        <w:rPr>
          <w:rFonts w:ascii="Verdana" w:hAnsi="Verdana"/>
        </w:rPr>
        <w:t>11. There are intersecting political, social, and economic reasons for the persistence of this violence. Deficits in the impl</w:t>
      </w:r>
      <w:r w:rsidRPr="00764BE9">
        <w:rPr>
          <w:rFonts w:ascii="Verdana" w:hAnsi="Verdana"/>
        </w:rPr>
        <w:t xml:space="preserve">ementation of </w:t>
      </w:r>
      <w:r w:rsidRPr="00764BE9">
        <w:rPr>
          <w:rFonts w:ascii="Verdana" w:hAnsi="Verdana"/>
        </w:rPr>
        <w:t>initiatives</w:t>
      </w:r>
      <w:r w:rsidRPr="00764BE9">
        <w:rPr>
          <w:rFonts w:ascii="Verdana" w:hAnsi="Verdana"/>
        </w:rPr>
        <w:t xml:space="preserve"> such as the WPS agenda </w:t>
      </w:r>
      <w:r w:rsidRPr="00764BE9">
        <w:rPr>
          <w:rFonts w:ascii="Verdana" w:hAnsi="Verdana"/>
        </w:rPr>
        <w:t xml:space="preserve">also have implications for prevention </w:t>
      </w:r>
      <w:r w:rsidRPr="00764BE9">
        <w:rPr>
          <w:rFonts w:ascii="Verdana" w:hAnsi="Verdana"/>
        </w:rPr>
        <w:t xml:space="preserve">outcomes. </w:t>
      </w:r>
    </w:p>
    <w:p w:rsidR="009C706D" w:rsidRPr="00764BE9" w:rsidP="00E044C3">
      <w:pPr>
        <w:jc w:val="both"/>
        <w:rPr>
          <w:rFonts w:ascii="Verdana" w:hAnsi="Verdana"/>
        </w:rPr>
      </w:pPr>
    </w:p>
    <w:p w:rsidR="009C706D" w:rsidRPr="00764BE9" w:rsidP="00E044C3">
      <w:pPr>
        <w:jc w:val="both"/>
        <w:rPr>
          <w:rFonts w:ascii="Verdana" w:eastAsia="Times New Roman" w:hAnsi="Verdana" w:cs="Times New Roman"/>
          <w:color w:val="201F1E"/>
          <w:lang w:eastAsia="en-GB"/>
        </w:rPr>
      </w:pPr>
    </w:p>
    <w:p w:rsidR="00575CE8" w:rsidRPr="00764BE9" w:rsidP="00E044C3">
      <w:pPr>
        <w:jc w:val="both"/>
        <w:rPr>
          <w:rFonts w:ascii="Verdana" w:eastAsia="Times New Roman" w:hAnsi="Verdana" w:cs="Times New Roman"/>
          <w:b/>
          <w:bCs/>
          <w:color w:val="201F1E"/>
          <w:lang w:eastAsia="en-GB"/>
        </w:rPr>
      </w:pPr>
      <w:r w:rsidRPr="00764BE9">
        <w:rPr>
          <w:rFonts w:ascii="Verdana" w:eastAsia="Times New Roman" w:hAnsi="Verdana" w:cs="Times New Roman"/>
          <w:b/>
          <w:bCs/>
          <w:color w:val="201F1E"/>
          <w:bdr w:val="nil"/>
          <w:lang w:eastAsia="en-GB"/>
        </w:rPr>
        <w:t>To what extent does the UK play a leading role in this agenda? Are there ways in which the UK’s PSVI work could be enhanced? </w:t>
      </w:r>
    </w:p>
    <w:p w:rsidR="0043482A" w:rsidRPr="00764BE9" w:rsidP="003743AD">
      <w:pPr>
        <w:pStyle w:val="ListParagraph"/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</w:p>
    <w:p w:rsidR="00272034" w:rsidRPr="00764BE9" w:rsidP="003743AD">
      <w:pPr>
        <w:pStyle w:val="ListParagraph"/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12.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The U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K’s Pr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eventing Sexual Violence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in Conflict Initiative (PSVI) is an important component of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international effort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to prevent sexual violence in conflict.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It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has contributed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to advancing the UN’s WPS agenda. With the establishment of the PSVI, the UK has become a n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orm entrepreneur in the area of women, peace, and security.</w:t>
      </w:r>
      <w:r>
        <w:rPr>
          <w:rStyle w:val="FootnoteReference"/>
          <w:rFonts w:ascii="Verdana" w:eastAsia="Times New Roman" w:hAnsi="Verdana" w:cs="Times New Roman"/>
          <w:color w:val="201F1E"/>
          <w:bdr w:val="nil"/>
          <w:lang w:eastAsia="en-GB"/>
        </w:rPr>
        <w:footnoteReference w:id="20"/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A comprehensive review of the PSVI has identified some strengths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and gains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, but also point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s to major limitations,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including decreased funding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and staffing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for the initiative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since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mid-2014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.</w:t>
      </w:r>
      <w:r>
        <w:rPr>
          <w:rStyle w:val="FootnoteReference"/>
          <w:rFonts w:ascii="Verdana" w:eastAsia="Times New Roman" w:hAnsi="Verdana" w:cs="Times New Roman"/>
          <w:color w:val="201F1E"/>
          <w:bdr w:val="nil"/>
          <w:lang w:eastAsia="en-GB"/>
        </w:rPr>
        <w:footnoteReference w:id="21"/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The review concludes that the initiative falls short of the government’s stated ambitions.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My </w:t>
      </w:r>
      <w:r w:rsidRPr="00764BE9">
        <w:rPr>
          <w:rFonts w:ascii="Verdana" w:eastAsia="Times New Roman" w:hAnsi="Verdana" w:cs="Times New Roman"/>
          <w:b/>
          <w:bCs/>
          <w:color w:val="201F1E"/>
          <w:bdr w:val="nil"/>
          <w:lang w:eastAsia="en-GB"/>
        </w:rPr>
        <w:t xml:space="preserve">recommendations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to the Inquiry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for enhancing the PSVI are: </w:t>
      </w:r>
    </w:p>
    <w:p w:rsidR="00FF79B7" w:rsidRPr="00764BE9" w:rsidP="00772AEA">
      <w:pPr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</w:p>
    <w:p w:rsidR="00F3343A" w:rsidRPr="00764BE9" w:rsidP="00AB6B57">
      <w:pPr>
        <w:pStyle w:val="ListParagraph"/>
        <w:ind w:left="1440"/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a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Invest in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programs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that have the potential to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generate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long-term impact.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Short-term and temporary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initiatives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are not sufficient to produce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long-lasting changes within societies. The factors that contribute to sexual violence, to the stigmatization of survivors, and to the erection of barriers to justice are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deeply entrenched and require sustained efforts in order to be eroded. </w:t>
      </w:r>
    </w:p>
    <w:p w:rsidR="004F01EC" w:rsidRPr="00764BE9" w:rsidP="00FE51EC">
      <w:pPr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</w:p>
    <w:p w:rsidR="00A2113E" w:rsidRPr="00764BE9" w:rsidP="00E75BFD">
      <w:pPr>
        <w:pStyle w:val="ListParagraph"/>
        <w:ind w:left="1440"/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b.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Address the global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political and economic factors that contribute to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the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perpetration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of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sexual violence and negatively impact the experiences of survivors. PSVI programming overwhelmingly focuses on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actors and processes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at the national and sub-national levels in conflict-affected countries.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While this focus on the domestic level is important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and necessary, it only addresses a part of the problem. R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esearch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has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show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n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that the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conditions and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experiences of women in conflict-affected countries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are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also negatively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impacted by global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structures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and processes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.</w:t>
      </w:r>
      <w:r>
        <w:rPr>
          <w:rStyle w:val="FootnoteReference"/>
          <w:rFonts w:ascii="Verdana" w:eastAsia="Times New Roman" w:hAnsi="Verdana" w:cs="Times New Roman"/>
          <w:color w:val="201F1E"/>
          <w:bdr w:val="nil"/>
          <w:lang w:eastAsia="en-GB"/>
        </w:rPr>
        <w:footnoteReference w:id="22"/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These include macroeconomic policies, global capital accumulation, and trade liberalization.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These global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structures and processes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are linked to the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perpetration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of sexual violence and shape survivors’ access to justice, healthcare, and psychosocial servi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ces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, as well as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their ability to rise out of poverty. Thus,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measures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that exclusively or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mostly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focus on domestic factors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, to the neglect of global factors,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are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not adequately addressing the causes of these problems and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are unlikely to produce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widespread and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sustained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societal changes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in conflict-affected countries.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Therefore, the significance of global structures and processes should inform the PSVI’s mission, approaches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, and programs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. </w:t>
      </w:r>
    </w:p>
    <w:p w:rsidR="004F01EC" w:rsidRPr="00764BE9" w:rsidP="004F01EC">
      <w:pPr>
        <w:pStyle w:val="ListParagraph"/>
        <w:ind w:left="1440"/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</w:p>
    <w:p w:rsidR="0024038E" w:rsidRPr="00764BE9" w:rsidP="004F01EC">
      <w:pPr>
        <w:pStyle w:val="ListParagraph"/>
        <w:ind w:left="1440"/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c.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Invest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time and resources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in conflict prevention.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Attention to conflict prevention would enable the PSVI to address underlying issues such as militarization and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the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arms trade that 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render women and men insecure</w:t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>.</w:t>
      </w:r>
      <w:r>
        <w:rPr>
          <w:rStyle w:val="FootnoteReference"/>
          <w:rFonts w:ascii="Verdana" w:eastAsia="Times New Roman" w:hAnsi="Verdana" w:cs="Times New Roman"/>
          <w:color w:val="201F1E"/>
          <w:bdr w:val="nil"/>
          <w:lang w:eastAsia="en-GB"/>
        </w:rPr>
        <w:footnoteReference w:id="23"/>
      </w:r>
      <w:r w:rsidRPr="00764BE9">
        <w:rPr>
          <w:rFonts w:ascii="Verdana" w:eastAsia="Times New Roman" w:hAnsi="Verdana" w:cs="Times New Roman"/>
          <w:color w:val="201F1E"/>
          <w:bdr w:val="nil"/>
          <w:lang w:eastAsia="en-GB"/>
        </w:rPr>
        <w:t xml:space="preserve"> </w:t>
      </w:r>
    </w:p>
    <w:p w:rsidR="00FF79B7" w:rsidRPr="00764BE9" w:rsidP="003743AD">
      <w:pPr>
        <w:pStyle w:val="ListParagraph"/>
        <w:jc w:val="both"/>
        <w:rPr>
          <w:rFonts w:ascii="Verdana" w:eastAsia="Times New Roman" w:hAnsi="Verdana" w:cs="Times New Roman"/>
          <w:color w:val="201F1E"/>
          <w:bdr w:val="nil"/>
          <w:lang w:eastAsia="en-GB"/>
        </w:rPr>
      </w:pPr>
    </w:p>
    <w:p w:rsidR="00ED499E" w:rsidRPr="00CF462C" w:rsidP="00CF462C">
      <w:pPr>
        <w:jc w:val="right"/>
        <w:rPr>
          <w:rFonts w:ascii="Verdana" w:hAnsi="Verdana" w:cs="Times New Roman"/>
          <w:b/>
          <w:bCs/>
        </w:rPr>
      </w:pPr>
      <w:r w:rsidRPr="00CF462C">
        <w:rPr>
          <w:rFonts w:ascii="Verdana" w:hAnsi="Verdana" w:cs="Times New Roman"/>
          <w:b/>
          <w:bCs/>
        </w:rPr>
        <w:t>4 May 2020</w:t>
      </w:r>
    </w:p>
    <w:sectPr w:rsidSect="00CF64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</w:rPr>
      <w:id w:val="11446951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2113E" w:rsidP="0075352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:rsidR="00A211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</w:rPr>
      <w:id w:val="-725063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2113E" w:rsidP="0075352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A2113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B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8C7ECB" w:rsidP="002D2D74">
      <w:r>
        <w:separator/>
      </w:r>
    </w:p>
  </w:footnote>
  <w:footnote w:type="continuationSeparator" w:id="1">
    <w:p w:rsidR="008C7ECB" w:rsidP="002D2D74">
      <w:r>
        <w:continuationSeparator/>
      </w:r>
    </w:p>
  </w:footnote>
  <w:footnote w:id="2">
    <w:p w:rsidR="00A2113E" w:rsidRPr="00764BE9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Freedom C. Onuoha and Temilola A. George, ‘Boko Haram’s use of </w:t>
      </w:r>
      <w:r w:rsidRPr="00764BE9">
        <w:rPr>
          <w:rFonts w:ascii="Verdana" w:hAnsi="Verdana"/>
          <w:sz w:val="18"/>
          <w:szCs w:val="18"/>
        </w:rPr>
        <w:t>f</w:t>
      </w:r>
      <w:r w:rsidRPr="00764BE9">
        <w:rPr>
          <w:rFonts w:ascii="Verdana" w:hAnsi="Verdana"/>
          <w:sz w:val="18"/>
          <w:szCs w:val="18"/>
        </w:rPr>
        <w:t xml:space="preserve">emale </w:t>
      </w:r>
      <w:r w:rsidRPr="00764BE9">
        <w:rPr>
          <w:rFonts w:ascii="Verdana" w:hAnsi="Verdana"/>
          <w:sz w:val="18"/>
          <w:szCs w:val="18"/>
        </w:rPr>
        <w:t>s</w:t>
      </w:r>
      <w:r w:rsidRPr="00764BE9">
        <w:rPr>
          <w:rFonts w:ascii="Verdana" w:hAnsi="Verdana"/>
          <w:sz w:val="18"/>
          <w:szCs w:val="18"/>
        </w:rPr>
        <w:t xml:space="preserve">uicide </w:t>
      </w:r>
      <w:r w:rsidRPr="00764BE9">
        <w:rPr>
          <w:rFonts w:ascii="Verdana" w:hAnsi="Verdana"/>
          <w:sz w:val="18"/>
          <w:szCs w:val="18"/>
        </w:rPr>
        <w:t>b</w:t>
      </w:r>
      <w:r w:rsidRPr="00764BE9">
        <w:rPr>
          <w:rFonts w:ascii="Verdana" w:hAnsi="Verdana"/>
          <w:sz w:val="18"/>
          <w:szCs w:val="18"/>
        </w:rPr>
        <w:t xml:space="preserve">ombing in Nigeria’ (Al Jazeera Center for Studies, 2015). </w:t>
      </w:r>
    </w:p>
  </w:footnote>
  <w:footnote w:id="3">
    <w:p w:rsidR="00A2113E" w:rsidRPr="00764BE9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Vesna Markovic, ‘Suicide squad: Boko Haram’s use of the female suicide bomber,’ </w:t>
      </w:r>
      <w:r w:rsidRPr="00764BE9">
        <w:rPr>
          <w:rFonts w:ascii="Verdana" w:hAnsi="Verdana"/>
          <w:i/>
          <w:iCs/>
          <w:sz w:val="18"/>
          <w:szCs w:val="18"/>
        </w:rPr>
        <w:t>Women and Criminal Justice</w:t>
      </w:r>
      <w:r w:rsidRPr="00764BE9">
        <w:rPr>
          <w:rFonts w:ascii="Verdana" w:hAnsi="Verdana"/>
          <w:sz w:val="18"/>
          <w:szCs w:val="18"/>
        </w:rPr>
        <w:t xml:space="preserve"> 49, 4</w:t>
      </w:r>
      <w:r w:rsidRPr="00764BE9">
        <w:rPr>
          <w:rFonts w:ascii="Verdana" w:hAnsi="Verdana"/>
          <w:sz w:val="18"/>
          <w:szCs w:val="18"/>
        </w:rPr>
        <w:t>–</w:t>
      </w:r>
      <w:r w:rsidRPr="00764BE9">
        <w:rPr>
          <w:rFonts w:ascii="Verdana" w:hAnsi="Verdana"/>
          <w:sz w:val="18"/>
          <w:szCs w:val="18"/>
        </w:rPr>
        <w:t xml:space="preserve">5 </w:t>
      </w:r>
      <w:r w:rsidRPr="00764BE9">
        <w:rPr>
          <w:rFonts w:ascii="Verdana" w:hAnsi="Verdana"/>
          <w:sz w:val="18"/>
          <w:szCs w:val="18"/>
        </w:rPr>
        <w:t>(2019), pp. 283 – 202.</w:t>
      </w:r>
    </w:p>
  </w:footnote>
  <w:footnote w:id="4">
    <w:p w:rsidR="00A2113E" w:rsidRPr="00764BE9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Oluwatoyin O. Oluwaniyi, ‘Women’s roles and positions in Africa’s wars,’ in Olajumoke Yacob-Haliso and Toyin Falola (eds), </w:t>
      </w:r>
      <w:r w:rsidRPr="00764BE9">
        <w:rPr>
          <w:rFonts w:ascii="Verdana" w:hAnsi="Verdana"/>
          <w:i/>
          <w:iCs/>
          <w:sz w:val="18"/>
          <w:szCs w:val="18"/>
        </w:rPr>
        <w:t>The Palgrave handbook of African women’s studies</w:t>
      </w:r>
      <w:r w:rsidRPr="00764BE9">
        <w:rPr>
          <w:rFonts w:ascii="Verdana" w:hAnsi="Verdana"/>
          <w:sz w:val="18"/>
          <w:szCs w:val="18"/>
        </w:rPr>
        <w:t xml:space="preserve"> (Palgrave Macmillan, 2019).</w:t>
      </w:r>
    </w:p>
  </w:footnote>
  <w:footnote w:id="5">
    <w:p w:rsidR="00A2113E" w:rsidRPr="00764BE9" w:rsidP="001053E3">
      <w:pPr>
        <w:autoSpaceDE w:val="0"/>
        <w:autoSpaceDN w:val="0"/>
        <w:adjustRightInd w:val="0"/>
        <w:rPr>
          <w:rFonts w:ascii="Verdana" w:hAnsi="Verdana" w:cs="Times New Roman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</w:t>
      </w:r>
      <w:r w:rsidRPr="00764BE9">
        <w:rPr>
          <w:rFonts w:ascii="Verdana" w:hAnsi="Verdana" w:cs="Times New Roman"/>
          <w:sz w:val="18"/>
          <w:szCs w:val="18"/>
        </w:rPr>
        <w:t xml:space="preserve">Chris Coulter, Mariam Persson and Mats Utas, ‘Young female fighters in African wars: Conflict and its consequences’ (Policy Dialogue No. 3, The Nordic Africa Institute, 2008). </w:t>
      </w:r>
    </w:p>
  </w:footnote>
  <w:footnote w:id="6">
    <w:p w:rsidR="00A2113E" w:rsidRPr="00764BE9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Coulter, ‘Young female fighters’.</w:t>
      </w:r>
    </w:p>
  </w:footnote>
  <w:footnote w:id="7">
    <w:p w:rsidR="00A2113E" w:rsidRPr="00764BE9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</w:t>
      </w:r>
      <w:r w:rsidRPr="00764BE9">
        <w:rPr>
          <w:rFonts w:ascii="Verdana" w:hAnsi="Verdana"/>
          <w:sz w:val="18"/>
          <w:szCs w:val="18"/>
        </w:rPr>
        <w:t>Council on Foreign Relations, ‘</w:t>
      </w:r>
      <w:r w:rsidRPr="00764BE9">
        <w:rPr>
          <w:rFonts w:ascii="Verdana" w:hAnsi="Verdana"/>
          <w:sz w:val="18"/>
          <w:szCs w:val="18"/>
        </w:rPr>
        <w:t>Women’s pa</w:t>
      </w:r>
      <w:r w:rsidRPr="00764BE9">
        <w:rPr>
          <w:rFonts w:ascii="Verdana" w:hAnsi="Verdana"/>
          <w:sz w:val="18"/>
          <w:szCs w:val="18"/>
        </w:rPr>
        <w:t>rticipation in peace processes</w:t>
      </w:r>
      <w:r w:rsidRPr="00764BE9">
        <w:rPr>
          <w:rFonts w:ascii="Verdana" w:hAnsi="Verdana"/>
          <w:sz w:val="18"/>
          <w:szCs w:val="18"/>
        </w:rPr>
        <w:t>’</w:t>
      </w:r>
      <w:r w:rsidRPr="00764BE9">
        <w:rPr>
          <w:rFonts w:ascii="Verdana" w:hAnsi="Verdana"/>
          <w:sz w:val="18"/>
          <w:szCs w:val="18"/>
        </w:rPr>
        <w:t>,</w:t>
      </w:r>
      <w:r w:rsidRPr="00764BE9">
        <w:rPr>
          <w:rFonts w:ascii="Verdana" w:hAnsi="Verdana"/>
          <w:sz w:val="18"/>
          <w:szCs w:val="18"/>
        </w:rPr>
        <w:t xml:space="preserve"> &lt; https://www.cfr.org/interactive/womens-participation-in-peace-processes&gt; (1 May 2020).</w:t>
      </w:r>
    </w:p>
  </w:footnote>
  <w:footnote w:id="8">
    <w:p w:rsidR="00A2113E" w:rsidRPr="00764BE9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Jana Krause, Werner Krause &amp; Piia Bränfors, ‘Women’s participation in peace negotiations and the durability of peace,’ </w:t>
      </w:r>
      <w:r w:rsidRPr="00764BE9">
        <w:rPr>
          <w:rFonts w:ascii="Verdana" w:hAnsi="Verdana"/>
          <w:i/>
          <w:iCs/>
          <w:sz w:val="18"/>
          <w:szCs w:val="18"/>
        </w:rPr>
        <w:t>Internationa</w:t>
      </w:r>
      <w:r w:rsidRPr="00764BE9">
        <w:rPr>
          <w:rFonts w:ascii="Verdana" w:hAnsi="Verdana"/>
          <w:i/>
          <w:iCs/>
          <w:sz w:val="18"/>
          <w:szCs w:val="18"/>
        </w:rPr>
        <w:t>l Interactions</w:t>
      </w:r>
      <w:r w:rsidRPr="00764BE9">
        <w:rPr>
          <w:rFonts w:ascii="Verdana" w:hAnsi="Verdana"/>
          <w:sz w:val="18"/>
          <w:szCs w:val="18"/>
        </w:rPr>
        <w:t xml:space="preserve"> 44, 6 (2018), pp. 985–1016. </w:t>
      </w:r>
    </w:p>
  </w:footnote>
  <w:footnote w:id="9">
    <w:p w:rsidR="00A2113E" w:rsidRPr="00764BE9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</w:t>
      </w:r>
      <w:r w:rsidRPr="00764BE9">
        <w:rPr>
          <w:rFonts w:ascii="Verdana" w:hAnsi="Verdana"/>
          <w:sz w:val="18"/>
          <w:szCs w:val="18"/>
        </w:rPr>
        <w:t>United Nations Peacekeeping, ‘</w:t>
      </w:r>
      <w:r w:rsidRPr="00764BE9">
        <w:rPr>
          <w:rFonts w:ascii="Verdana" w:hAnsi="Verdana"/>
          <w:sz w:val="18"/>
          <w:szCs w:val="18"/>
        </w:rPr>
        <w:t>Women in peacekeeping</w:t>
      </w:r>
      <w:r w:rsidRPr="00764BE9">
        <w:rPr>
          <w:rFonts w:ascii="Verdana" w:hAnsi="Verdana"/>
          <w:sz w:val="18"/>
          <w:szCs w:val="18"/>
        </w:rPr>
        <w:t>’</w:t>
      </w:r>
      <w:r w:rsidRPr="00764BE9">
        <w:rPr>
          <w:rFonts w:ascii="Verdana" w:hAnsi="Verdana"/>
          <w:sz w:val="18"/>
          <w:szCs w:val="18"/>
        </w:rPr>
        <w:t>,</w:t>
      </w:r>
      <w:r w:rsidRPr="00764BE9">
        <w:rPr>
          <w:rFonts w:ascii="Verdana" w:hAnsi="Verdana"/>
          <w:sz w:val="18"/>
          <w:szCs w:val="18"/>
        </w:rPr>
        <w:t xml:space="preserve"> &lt;https://peacekeeping.un.org/en/women-peacekeeping&gt; (1 May 2020).</w:t>
      </w:r>
    </w:p>
  </w:footnote>
  <w:footnote w:id="10">
    <w:p w:rsidR="00A2113E" w:rsidRPr="00764BE9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Women, peace, and Security, United Nations &lt;https://dppa.un.org/en/women-peace-and-secur</w:t>
      </w:r>
      <w:r w:rsidRPr="00764BE9">
        <w:rPr>
          <w:rFonts w:ascii="Verdana" w:hAnsi="Verdana"/>
          <w:sz w:val="18"/>
          <w:szCs w:val="18"/>
        </w:rPr>
        <w:t>ity&gt; (1 May 2020).</w:t>
      </w:r>
    </w:p>
  </w:footnote>
  <w:footnote w:id="11">
    <w:p w:rsidR="00A2113E" w:rsidRPr="00764BE9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Toni Haastrup, ‘WPS and the African Union’, in Sara E. Davies and Jacqui True (eds), </w:t>
      </w:r>
      <w:r w:rsidRPr="00764BE9">
        <w:rPr>
          <w:rFonts w:ascii="Verdana" w:hAnsi="Verdana"/>
          <w:i/>
          <w:iCs/>
          <w:sz w:val="18"/>
          <w:szCs w:val="18"/>
        </w:rPr>
        <w:t>The Oxford handbook of women, peace, and security</w:t>
      </w:r>
      <w:r w:rsidRPr="00764BE9">
        <w:rPr>
          <w:rFonts w:ascii="Verdana" w:hAnsi="Verdana"/>
          <w:sz w:val="18"/>
          <w:szCs w:val="18"/>
        </w:rPr>
        <w:t xml:space="preserve"> (Oxford University Press, Oxford, 2019).</w:t>
      </w:r>
    </w:p>
  </w:footnote>
  <w:footnote w:id="12">
    <w:p w:rsidR="00A2113E" w:rsidRPr="00764BE9" w:rsidP="00CA4595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Aili Mari Tripp, </w:t>
      </w:r>
      <w:r w:rsidRPr="00764BE9">
        <w:rPr>
          <w:rFonts w:ascii="Verdana" w:hAnsi="Verdana"/>
          <w:i/>
          <w:iCs/>
          <w:sz w:val="18"/>
          <w:szCs w:val="18"/>
        </w:rPr>
        <w:t xml:space="preserve">Women and power in post- </w:t>
      </w:r>
      <w:r w:rsidRPr="00764BE9">
        <w:rPr>
          <w:rFonts w:ascii="Verdana" w:hAnsi="Verdana"/>
          <w:i/>
          <w:iCs/>
          <w:sz w:val="18"/>
          <w:szCs w:val="18"/>
        </w:rPr>
        <w:t>conflict Africa</w:t>
      </w:r>
      <w:r w:rsidRPr="00764BE9">
        <w:rPr>
          <w:rFonts w:ascii="Verdana" w:hAnsi="Verdana"/>
          <w:sz w:val="18"/>
          <w:szCs w:val="18"/>
        </w:rPr>
        <w:t xml:space="preserve"> (Cambridge University Press, New York, NY, 2015).</w:t>
      </w:r>
    </w:p>
  </w:footnote>
  <w:footnote w:id="13">
    <w:p w:rsidR="00A2113E" w:rsidRPr="00764BE9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Peace A. Medie, </w:t>
      </w:r>
      <w:r w:rsidRPr="00764BE9">
        <w:rPr>
          <w:rFonts w:ascii="Verdana" w:hAnsi="Verdana"/>
          <w:i/>
          <w:iCs/>
          <w:sz w:val="18"/>
          <w:szCs w:val="18"/>
        </w:rPr>
        <w:t>Global norms and local action: The campaigns to end violence against women in Africa</w:t>
      </w:r>
      <w:r w:rsidRPr="00764BE9">
        <w:rPr>
          <w:rFonts w:ascii="Verdana" w:hAnsi="Verdana"/>
          <w:sz w:val="18"/>
          <w:szCs w:val="18"/>
        </w:rPr>
        <w:t xml:space="preserve"> (Oxford University Press, Oxford, 2020). </w:t>
      </w:r>
    </w:p>
  </w:footnote>
  <w:footnote w:id="14">
    <w:p w:rsidR="00A2113E" w:rsidRPr="00764BE9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United Nations Security Council, ‘Women and</w:t>
      </w:r>
      <w:r w:rsidRPr="00764BE9">
        <w:rPr>
          <w:rFonts w:ascii="Verdana" w:hAnsi="Verdana"/>
          <w:sz w:val="18"/>
          <w:szCs w:val="18"/>
        </w:rPr>
        <w:t xml:space="preserve"> peace and security report of the Secretary- General’, 9 October 2019 &lt; https://undocs.org/en/S/2019/800&gt; (1 May 2020).</w:t>
      </w:r>
    </w:p>
  </w:footnote>
  <w:footnote w:id="15">
    <w:p w:rsidR="00A2113E" w:rsidRPr="00764BE9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United Nations Security Council, ‘Conflict-related sexual violence: Report of the United Nations Secretary-General’, 29 March 2019 &lt; h</w:t>
      </w:r>
      <w:r w:rsidRPr="00764BE9">
        <w:rPr>
          <w:rFonts w:ascii="Verdana" w:hAnsi="Verdana"/>
          <w:sz w:val="18"/>
          <w:szCs w:val="18"/>
        </w:rPr>
        <w:t>ttps://undocs.org/en/S/2019/280&gt; (1 May 2020).</w:t>
      </w:r>
    </w:p>
  </w:footnote>
  <w:footnote w:id="16">
    <w:p w:rsidR="00A2113E" w:rsidRPr="00764BE9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Medie, </w:t>
      </w:r>
      <w:r w:rsidRPr="00764BE9">
        <w:rPr>
          <w:rFonts w:ascii="Verdana" w:hAnsi="Verdana"/>
          <w:i/>
          <w:iCs/>
          <w:sz w:val="18"/>
          <w:szCs w:val="18"/>
        </w:rPr>
        <w:t>Global norms and local action</w:t>
      </w:r>
      <w:r w:rsidRPr="00764BE9">
        <w:rPr>
          <w:rFonts w:ascii="Verdana" w:hAnsi="Verdana"/>
          <w:sz w:val="18"/>
          <w:szCs w:val="18"/>
        </w:rPr>
        <w:t xml:space="preserve">. </w:t>
      </w:r>
    </w:p>
  </w:footnote>
  <w:footnote w:id="17">
    <w:p w:rsidR="00A2113E" w:rsidRPr="00764BE9" w:rsidP="007A4FCF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United Nations Mission in Liberia, ‘Gender mainstreaming in peacekeeping operations Liberia 2003 – 2009:</w:t>
      </w:r>
    </w:p>
    <w:p w:rsidR="00A2113E" w:rsidRPr="00764BE9" w:rsidP="007A4FCF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Fonts w:ascii="Verdana" w:hAnsi="Verdana"/>
          <w:sz w:val="18"/>
          <w:szCs w:val="18"/>
        </w:rPr>
        <w:t xml:space="preserve">Best practices report’ (United Nations Mission in Liberia, Accra, 2010).  </w:t>
      </w:r>
    </w:p>
  </w:footnote>
  <w:footnote w:id="18">
    <w:p w:rsidR="00A2113E" w:rsidRPr="00764BE9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United Nations Security Council, ‘Conflict-related sexual violence’.</w:t>
      </w:r>
    </w:p>
  </w:footnote>
  <w:footnote w:id="19">
    <w:p w:rsidR="00A2113E" w:rsidRPr="00764BE9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In</w:t>
      </w:r>
      <w:r w:rsidRPr="00764BE9">
        <w:rPr>
          <w:rFonts w:ascii="Verdana" w:hAnsi="Verdana"/>
          <w:sz w:val="18"/>
          <w:szCs w:val="18"/>
        </w:rPr>
        <w:t xml:space="preserve">deed, most civilians rely themselves for protection during conflicts. See Betcy Jose and Peace A. Medie, ‘Understanding why and how civilians resort to self-protection in armed conflicts,’ </w:t>
      </w:r>
      <w:r w:rsidRPr="00764BE9">
        <w:rPr>
          <w:rFonts w:ascii="Verdana" w:hAnsi="Verdana"/>
          <w:i/>
          <w:iCs/>
          <w:sz w:val="18"/>
          <w:szCs w:val="18"/>
        </w:rPr>
        <w:t xml:space="preserve">International Studies Review </w:t>
      </w:r>
      <w:r w:rsidRPr="00764BE9">
        <w:rPr>
          <w:rFonts w:ascii="Verdana" w:hAnsi="Verdana"/>
          <w:sz w:val="18"/>
          <w:szCs w:val="18"/>
        </w:rPr>
        <w:t xml:space="preserve">17, 4 (2015), pp. 515-535. </w:t>
      </w:r>
    </w:p>
  </w:footnote>
  <w:footnote w:id="20">
    <w:p w:rsidR="00A2113E" w:rsidRPr="00764BE9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Toni Haa</w:t>
      </w:r>
      <w:r w:rsidRPr="00764BE9">
        <w:rPr>
          <w:rFonts w:ascii="Verdana" w:hAnsi="Verdana"/>
          <w:sz w:val="18"/>
          <w:szCs w:val="18"/>
        </w:rPr>
        <w:t xml:space="preserve">strup, Katharine A. M. Wright, and Roberta Guerrina, ‘Bringing gender in? EU foreign and security policy after Brexit,’ </w:t>
      </w:r>
      <w:r w:rsidRPr="00764BE9">
        <w:rPr>
          <w:rFonts w:ascii="Verdana" w:hAnsi="Verdana"/>
          <w:i/>
          <w:iCs/>
          <w:sz w:val="18"/>
          <w:szCs w:val="18"/>
        </w:rPr>
        <w:t>Politics and Governance</w:t>
      </w:r>
      <w:r w:rsidRPr="00764BE9">
        <w:rPr>
          <w:rFonts w:ascii="Verdana" w:hAnsi="Verdana"/>
          <w:sz w:val="18"/>
          <w:szCs w:val="18"/>
        </w:rPr>
        <w:t xml:space="preserve"> 7, 3 (2019), pp. 62–71. </w:t>
      </w:r>
    </w:p>
  </w:footnote>
  <w:footnote w:id="21">
    <w:p w:rsidR="00A2113E" w:rsidRPr="00764BE9" w:rsidP="009B7B44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The Independent Commission for Aid Impact, ‘The UK's preventing sexual violence in co</w:t>
      </w:r>
      <w:r w:rsidRPr="00764BE9">
        <w:rPr>
          <w:rFonts w:ascii="Verdana" w:hAnsi="Verdana"/>
          <w:sz w:val="18"/>
          <w:szCs w:val="18"/>
        </w:rPr>
        <w:t>nflict initiative:</w:t>
      </w:r>
    </w:p>
    <w:p w:rsidR="00A2113E" w:rsidRPr="00764BE9" w:rsidP="009B7B44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Fonts w:ascii="Verdana" w:hAnsi="Verdana"/>
          <w:sz w:val="18"/>
          <w:szCs w:val="18"/>
        </w:rPr>
        <w:t xml:space="preserve">Joint review’ January 2020 &lt; https://icai.independent.gov.uk/wp-content/uploads/The-UKs-preventing-sexual-violence-in-conflict-initiative.pdf&gt; (1 May 2020). </w:t>
      </w:r>
    </w:p>
  </w:footnote>
  <w:footnote w:id="22">
    <w:p w:rsidR="00E75BFD" w:rsidRPr="00764BE9" w:rsidP="00E75BFD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Peace A. Medie and Alice J. Kang, ‘Power, knowledge and the politics of gende</w:t>
      </w:r>
      <w:r w:rsidRPr="00764BE9">
        <w:rPr>
          <w:rFonts w:ascii="Verdana" w:hAnsi="Verdana"/>
          <w:sz w:val="18"/>
          <w:szCs w:val="18"/>
        </w:rPr>
        <w:t xml:space="preserve">r in the Global South,’ </w:t>
      </w:r>
      <w:r w:rsidRPr="00764BE9">
        <w:rPr>
          <w:rFonts w:ascii="Verdana" w:hAnsi="Verdana"/>
          <w:i/>
          <w:iCs/>
          <w:sz w:val="18"/>
          <w:szCs w:val="18"/>
        </w:rPr>
        <w:t>European Journal of Politics and Gender</w:t>
      </w:r>
      <w:r w:rsidRPr="00764BE9">
        <w:rPr>
          <w:rFonts w:ascii="Verdana" w:hAnsi="Verdana"/>
          <w:sz w:val="18"/>
          <w:szCs w:val="18"/>
        </w:rPr>
        <w:t xml:space="preserve"> 1, 1-2 (2018), pp. 37–54; Sara Meger, ‘Toward a feminist political economy of wartime sexual violence,’ </w:t>
      </w:r>
      <w:r w:rsidRPr="00764BE9">
        <w:rPr>
          <w:rFonts w:ascii="Verdana" w:hAnsi="Verdana"/>
          <w:i/>
          <w:iCs/>
          <w:sz w:val="18"/>
          <w:szCs w:val="18"/>
        </w:rPr>
        <w:t>International Feminist Journal of Politics</w:t>
      </w:r>
      <w:r w:rsidRPr="00764BE9">
        <w:rPr>
          <w:rFonts w:ascii="Verdana" w:hAnsi="Verdana"/>
          <w:sz w:val="18"/>
          <w:szCs w:val="18"/>
        </w:rPr>
        <w:t xml:space="preserve"> 17, 3 (2015), pp. 416–434; Jacqui True, ‘The </w:t>
      </w:r>
      <w:r w:rsidRPr="00764BE9">
        <w:rPr>
          <w:rFonts w:ascii="Verdana" w:hAnsi="Verdana"/>
          <w:sz w:val="18"/>
          <w:szCs w:val="18"/>
        </w:rPr>
        <w:t xml:space="preserve">political economy of violence against women,’ </w:t>
      </w:r>
      <w:r w:rsidRPr="00764BE9">
        <w:rPr>
          <w:rFonts w:ascii="Verdana" w:hAnsi="Verdana"/>
          <w:i/>
          <w:iCs/>
          <w:sz w:val="18"/>
          <w:szCs w:val="18"/>
        </w:rPr>
        <w:t>The Australian Feminist Law Journal</w:t>
      </w:r>
      <w:r w:rsidRPr="00764BE9">
        <w:rPr>
          <w:rFonts w:ascii="Verdana" w:hAnsi="Verdana"/>
          <w:sz w:val="18"/>
          <w:szCs w:val="18"/>
        </w:rPr>
        <w:t xml:space="preserve"> 32 (2010), pp. 40 – 59. </w:t>
      </w:r>
    </w:p>
  </w:footnote>
  <w:footnote w:id="23">
    <w:p w:rsidR="00807D4C" w:rsidRPr="00764BE9" w:rsidP="00807D4C">
      <w:pPr>
        <w:pStyle w:val="FootnoteText"/>
        <w:rPr>
          <w:rFonts w:ascii="Verdana" w:hAnsi="Verdana"/>
          <w:sz w:val="18"/>
          <w:szCs w:val="18"/>
        </w:rPr>
      </w:pPr>
      <w:r w:rsidRPr="00764BE9">
        <w:rPr>
          <w:rStyle w:val="FootnoteReference"/>
          <w:rFonts w:ascii="Verdana" w:hAnsi="Verdana"/>
          <w:sz w:val="18"/>
          <w:szCs w:val="18"/>
        </w:rPr>
        <w:footnoteRef/>
      </w:r>
      <w:r w:rsidRPr="00764BE9">
        <w:rPr>
          <w:rFonts w:ascii="Verdana" w:hAnsi="Verdana"/>
          <w:sz w:val="18"/>
          <w:szCs w:val="18"/>
        </w:rPr>
        <w:t xml:space="preserve"> </w:t>
      </w:r>
      <w:r w:rsidRPr="00764BE9">
        <w:rPr>
          <w:rFonts w:ascii="Verdana" w:hAnsi="Verdana"/>
          <w:sz w:val="18"/>
          <w:szCs w:val="18"/>
        </w:rPr>
        <w:t xml:space="preserve">For a discussion of the conflation of ‘prevention of sexual violence’ with ‘prevention of conflict’ see, </w:t>
      </w:r>
      <w:r w:rsidRPr="00764BE9">
        <w:rPr>
          <w:rFonts w:ascii="Verdana" w:hAnsi="Verdana"/>
          <w:sz w:val="18"/>
          <w:szCs w:val="18"/>
        </w:rPr>
        <w:t>Soumita Basu and Laura L. Shepherd, ‘Preve</w:t>
      </w:r>
      <w:r w:rsidRPr="00764BE9">
        <w:rPr>
          <w:rFonts w:ascii="Verdana" w:hAnsi="Verdana"/>
          <w:sz w:val="18"/>
          <w:szCs w:val="18"/>
        </w:rPr>
        <w:t xml:space="preserve">ntion in pieces: Representing conflict in the women, peace and security agenda,’ </w:t>
      </w:r>
      <w:r w:rsidRPr="00764BE9">
        <w:rPr>
          <w:rFonts w:ascii="Verdana" w:hAnsi="Verdana"/>
          <w:i/>
          <w:iCs/>
          <w:sz w:val="18"/>
          <w:szCs w:val="18"/>
        </w:rPr>
        <w:t>Global Affairs</w:t>
      </w:r>
      <w:r w:rsidRPr="00764BE9">
        <w:rPr>
          <w:rFonts w:ascii="Verdana" w:hAnsi="Verdana"/>
          <w:sz w:val="18"/>
          <w:szCs w:val="18"/>
        </w:rPr>
        <w:t xml:space="preserve"> 3, 4-5 (2017), pp. 441–453.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B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BE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B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A64B32"/>
    <w:multiLevelType w:val="multilevel"/>
    <w:tmpl w:val="F232E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D502B"/>
    <w:multiLevelType w:val="multilevel"/>
    <w:tmpl w:val="0D3C177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C843E1"/>
    <w:multiLevelType w:val="hybridMultilevel"/>
    <w:tmpl w:val="7214C5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E1B2842"/>
    <w:multiLevelType w:val="hybridMultilevel"/>
    <w:tmpl w:val="2E307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33E6"/>
    <w:pPr>
      <w:spacing w:before="100" w:beforeAutospacing="1" w:after="100" w:afterAutospacing="1"/>
    </w:pPr>
    <w:rPr>
      <w:rFonts w:eastAsia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5933E6"/>
  </w:style>
  <w:style w:type="paragraph" w:styleId="BalloonText">
    <w:name w:val="Balloon Text"/>
    <w:basedOn w:val="Normal"/>
    <w:link w:val="BalloonTextChar"/>
    <w:uiPriority w:val="99"/>
    <w:semiHidden/>
    <w:unhideWhenUsed/>
    <w:rsid w:val="00063847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847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575C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D2D7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2D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2D7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F013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0138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E05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562"/>
  </w:style>
  <w:style w:type="character" w:styleId="PageNumber">
    <w:name w:val="page number"/>
    <w:basedOn w:val="DefaultParagraphFont"/>
    <w:uiPriority w:val="99"/>
    <w:semiHidden/>
    <w:unhideWhenUsed/>
    <w:rsid w:val="003E0562"/>
  </w:style>
  <w:style w:type="character" w:styleId="FollowedHyperlink">
    <w:name w:val="FollowedHyperlink"/>
    <w:basedOn w:val="DefaultParagraphFont"/>
    <w:uiPriority w:val="99"/>
    <w:semiHidden/>
    <w:unhideWhenUsed/>
    <w:rsid w:val="00413B4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4B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4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C5DEE2-9237-42DB-9A75-A55812D1F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