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17A2F" w:rsidRPr="00C17A2F" w:rsidP="00C17A2F">
      <w:pPr>
        <w:ind w:left="360" w:hanging="360"/>
        <w:jc w:val="center"/>
        <w:rPr>
          <w:b/>
          <w:bCs/>
          <w:sz w:val="24"/>
          <w:szCs w:val="24"/>
        </w:rPr>
      </w:pPr>
      <w:r w:rsidRPr="00C17A2F">
        <w:rPr>
          <w:b/>
          <w:bCs/>
          <w:sz w:val="24"/>
          <w:szCs w:val="24"/>
        </w:rPr>
        <w:t>Written evidence by The Investment Association (COV0090)</w:t>
      </w:r>
    </w:p>
    <w:p w:rsidR="004667B4" w:rsidRPr="00A220A0" w:rsidP="00A220A0">
      <w:pPr>
        <w:pStyle w:val="ListParagraph"/>
        <w:numPr>
          <w:ilvl w:val="1"/>
          <w:numId w:val="7"/>
        </w:numPr>
      </w:pPr>
      <w:r w:rsidRPr="00A220A0">
        <w:rPr>
          <w:b/>
        </w:rPr>
        <w:t>The Investment Association</w:t>
      </w:r>
    </w:p>
    <w:p w:rsidR="00A220A0" w:rsidP="00A220A0">
      <w:pPr>
        <w:pStyle w:val="ListParagraph"/>
        <w:ind w:left="360"/>
      </w:pPr>
    </w:p>
    <w:p w:rsidR="00532277" w:rsidP="00A220A0">
      <w:pPr>
        <w:pStyle w:val="ListParagraph"/>
        <w:numPr>
          <w:ilvl w:val="1"/>
          <w:numId w:val="7"/>
        </w:numPr>
        <w:ind w:left="1080"/>
      </w:pPr>
      <w:r>
        <w:t>The Investment Association (IA) represents 250 UK investment managers who manage £7.7 trillion of assets for clients across the world. Investment managers sit at the heart of the UK economy, helping three quarters of households save for their future, throu</w:t>
      </w:r>
      <w:r>
        <w:t xml:space="preserve">gh ISAs and pensions, while investing £1.7 trillion in the economy, including through shares, infrastructure investment and increasingly direct lending to small businesses. </w:t>
      </w:r>
    </w:p>
    <w:p w:rsidR="00A220A0" w:rsidP="00A220A0">
      <w:pPr>
        <w:pStyle w:val="ListParagraph"/>
        <w:ind w:left="1080"/>
      </w:pPr>
    </w:p>
    <w:p w:rsidR="007608E6" w:rsidP="00A220A0">
      <w:pPr>
        <w:pStyle w:val="ListParagraph"/>
        <w:numPr>
          <w:ilvl w:val="1"/>
          <w:numId w:val="7"/>
        </w:numPr>
        <w:ind w:left="1080"/>
      </w:pPr>
      <w:r>
        <w:t>As providers of long-term capital, investment managers redistribute the fruits of</w:t>
      </w:r>
      <w:r>
        <w:t xml:space="preserve"> economic growth, driving up productivity and lifting living standards for all. Contributing 6% of Britain’s net service exports, and employing around 115,000 people, the investment management industry is a vital part of the wider economy and our world-lea</w:t>
      </w:r>
      <w:r>
        <w:t>ding financial ecosystem.</w:t>
      </w:r>
    </w:p>
    <w:p w:rsidR="00A220A0" w:rsidP="00A220A0"/>
    <w:p w:rsidR="004667B4" w:rsidRPr="00A220A0" w:rsidP="00A220A0">
      <w:pPr>
        <w:pStyle w:val="ListParagraph"/>
        <w:numPr>
          <w:ilvl w:val="0"/>
          <w:numId w:val="10"/>
        </w:numPr>
        <w:rPr>
          <w:b/>
        </w:rPr>
      </w:pPr>
      <w:r w:rsidRPr="00A220A0">
        <w:rPr>
          <w:b/>
        </w:rPr>
        <w:t xml:space="preserve">Our response to </w:t>
      </w:r>
      <w:r>
        <w:rPr>
          <w:b/>
        </w:rPr>
        <w:t>COVID</w:t>
      </w:r>
      <w:r w:rsidRPr="00A220A0">
        <w:rPr>
          <w:b/>
        </w:rPr>
        <w:t>-19</w:t>
      </w:r>
    </w:p>
    <w:p w:rsidR="00A220A0" w:rsidRPr="00A220A0" w:rsidP="00A220A0">
      <w:pPr>
        <w:pStyle w:val="ListParagraph"/>
        <w:ind w:left="360"/>
        <w:rPr>
          <w:b/>
        </w:rPr>
      </w:pPr>
    </w:p>
    <w:p w:rsidR="00A220A0" w:rsidP="004667B4">
      <w:pPr>
        <w:pStyle w:val="ListParagraph"/>
        <w:numPr>
          <w:ilvl w:val="1"/>
          <w:numId w:val="10"/>
        </w:numPr>
      </w:pPr>
      <w:r w:rsidRPr="00A220A0">
        <w:t xml:space="preserve">As long-term investors in UK </w:t>
      </w:r>
      <w:r>
        <w:t>listed companies</w:t>
      </w:r>
      <w:r w:rsidRPr="00A220A0">
        <w:t xml:space="preserve">, our members play a key role in their capacity as stewards in supporting and challenging companies to make effective decisions in the long-term interest of </w:t>
      </w:r>
      <w:r w:rsidRPr="00A220A0">
        <w:t>s</w:t>
      </w:r>
      <w:r w:rsidRPr="00A220A0">
        <w:t xml:space="preserve">takeholders and </w:t>
      </w:r>
      <w:r w:rsidRPr="00A220A0">
        <w:t xml:space="preserve">shareholders who are ordinary savers and institutions such as pension funds and charities. </w:t>
      </w:r>
      <w:r w:rsidRPr="00A220A0">
        <w:t xml:space="preserve">The Investment Association has been working with its members to respond to a range of </w:t>
      </w:r>
      <w:r w:rsidRPr="00A220A0">
        <w:t xml:space="preserve">immediate </w:t>
      </w:r>
      <w:r>
        <w:t>company and investor</w:t>
      </w:r>
      <w:r w:rsidRPr="00A220A0">
        <w:t xml:space="preserve"> issues that have emerged as a re</w:t>
      </w:r>
      <w:r w:rsidRPr="00A220A0">
        <w:t xml:space="preserve">sult of </w:t>
      </w:r>
      <w:r>
        <w:t>COVID</w:t>
      </w:r>
      <w:r w:rsidRPr="00A220A0">
        <w:t>-19</w:t>
      </w:r>
      <w:r w:rsidRPr="00A220A0">
        <w:t xml:space="preserve">. </w:t>
      </w:r>
    </w:p>
    <w:p w:rsidR="00A220A0" w:rsidP="00A220A0">
      <w:pPr>
        <w:pStyle w:val="ListParagraph"/>
        <w:ind w:left="1080"/>
      </w:pPr>
    </w:p>
    <w:p w:rsidR="00A220A0" w:rsidP="004667B4">
      <w:pPr>
        <w:pStyle w:val="ListParagraph"/>
        <w:numPr>
          <w:ilvl w:val="1"/>
          <w:numId w:val="10"/>
        </w:numPr>
      </w:pPr>
      <w:r>
        <w:t>These issues,</w:t>
      </w:r>
      <w:r>
        <w:t xml:space="preserve"> </w:t>
      </w:r>
      <w:r>
        <w:t>range from</w:t>
      </w:r>
      <w:r>
        <w:t xml:space="preserve"> how to </w:t>
      </w:r>
      <w:r>
        <w:t>help</w:t>
      </w:r>
      <w:r>
        <w:t xml:space="preserve"> companies to raise the additional capital that they may need to </w:t>
      </w:r>
      <w:r>
        <w:t xml:space="preserve">remain </w:t>
      </w:r>
      <w:r>
        <w:t>solvent</w:t>
      </w:r>
      <w:r>
        <w:t>, to shareholder expectations on the payment of dividends and executive pay</w:t>
      </w:r>
      <w:r>
        <w:t xml:space="preserve">. We discuss these </w:t>
      </w:r>
      <w:r>
        <w:t xml:space="preserve">in a </w:t>
      </w:r>
      <w:r>
        <w:fldChar w:fldCharType="begin"/>
      </w:r>
      <w:r>
        <w:instrText xml:space="preserve"> HYPERLINK "https://www.theia.org/media/press-releases/investors-stand-uk-plc-letter-support-ftse-chairs" </w:instrText>
      </w:r>
      <w:r>
        <w:fldChar w:fldCharType="separate"/>
      </w:r>
      <w:r w:rsidRPr="005A30BD">
        <w:rPr>
          <w:rStyle w:val="Hyperlink"/>
        </w:rPr>
        <w:t>letter</w:t>
      </w:r>
      <w:r>
        <w:fldChar w:fldCharType="end"/>
      </w:r>
      <w:r>
        <w:t xml:space="preserve"> we sent to the Ch</w:t>
      </w:r>
      <w:r>
        <w:t>airs of FTSE 350 companies on 08</w:t>
      </w:r>
      <w:r>
        <w:t xml:space="preserve"> April, expressing the industry’s commitment to supporting British business</w:t>
      </w:r>
      <w:r>
        <w:t xml:space="preserve"> over the long-t</w:t>
      </w:r>
      <w:r>
        <w:t>erm and</w:t>
      </w:r>
      <w:r>
        <w:t xml:space="preserve"> during the extraordinary economic circumstances caused by the pandemic. </w:t>
      </w:r>
    </w:p>
    <w:p w:rsidR="00A220A0" w:rsidP="00A220A0">
      <w:pPr>
        <w:pStyle w:val="ListParagraph"/>
      </w:pPr>
    </w:p>
    <w:p w:rsidR="00A220A0" w:rsidP="004667B4">
      <w:pPr>
        <w:pStyle w:val="ListParagraph"/>
        <w:numPr>
          <w:ilvl w:val="1"/>
          <w:numId w:val="10"/>
        </w:numPr>
      </w:pPr>
      <w:r>
        <w:t xml:space="preserve">This crisis </w:t>
      </w:r>
      <w:r>
        <w:t>has brought</w:t>
      </w:r>
      <w:r>
        <w:t xml:space="preserve"> to the fore key areas of Stewa</w:t>
      </w:r>
      <w:r>
        <w:t xml:space="preserve">rdship and Corporate Governance. We have set these out below. These areas </w:t>
      </w:r>
      <w:r>
        <w:t>will continue to be central themes for UK busi</w:t>
      </w:r>
      <w:r>
        <w:t xml:space="preserve">nesses as we begin to emerge from the pandemic and consider learnings for the future.  </w:t>
      </w:r>
    </w:p>
    <w:p w:rsidR="00A220A0" w:rsidP="00A220A0">
      <w:pPr>
        <w:pStyle w:val="ListParagraph"/>
      </w:pPr>
    </w:p>
    <w:p w:rsidR="004667B4" w:rsidP="004667B4">
      <w:pPr>
        <w:pStyle w:val="ListParagraph"/>
        <w:numPr>
          <w:ilvl w:val="1"/>
          <w:numId w:val="10"/>
        </w:numPr>
      </w:pPr>
      <w:r>
        <w:t>We encourage the BEIS Select Committee to take these issues into consideration in its ongoing inquiries</w:t>
      </w:r>
      <w:r>
        <w:t xml:space="preserve"> and work</w:t>
      </w:r>
      <w:r>
        <w:t xml:space="preserve"> in response to the pandemic. </w:t>
      </w:r>
    </w:p>
    <w:p w:rsidR="00A220A0" w:rsidP="00A220A0">
      <w:pPr>
        <w:pStyle w:val="ListParagraph"/>
      </w:pPr>
    </w:p>
    <w:p w:rsidR="00A220A0" w:rsidP="00A220A0">
      <w:pPr>
        <w:pStyle w:val="ListParagraph"/>
        <w:ind w:left="1080"/>
      </w:pPr>
    </w:p>
    <w:p w:rsidR="00A220A0" w:rsidRPr="00E139B2" w:rsidP="00E139B2">
      <w:pPr>
        <w:rPr>
          <w:b/>
        </w:rPr>
      </w:pPr>
      <w:r w:rsidRPr="00A220A0">
        <w:rPr>
          <w:b/>
        </w:rPr>
        <w:t>Capital raising</w:t>
      </w:r>
    </w:p>
    <w:p w:rsidR="00A220A0" w:rsidP="00A220A0">
      <w:pPr>
        <w:pStyle w:val="ListParagraph"/>
        <w:numPr>
          <w:ilvl w:val="1"/>
          <w:numId w:val="10"/>
        </w:numPr>
      </w:pPr>
      <w:r w:rsidRPr="00A220A0">
        <w:t xml:space="preserve">A </w:t>
      </w:r>
      <w:r w:rsidRPr="00A220A0">
        <w:t>number of companies are likely to need support from their shareholders in the coming weeks and months as they seek additional capital.</w:t>
      </w:r>
    </w:p>
    <w:p w:rsidR="00A220A0" w:rsidP="00A220A0">
      <w:pPr>
        <w:pStyle w:val="ListParagraph"/>
        <w:ind w:left="1080"/>
      </w:pPr>
    </w:p>
    <w:p w:rsidR="004667B4" w:rsidP="00A220A0">
      <w:pPr>
        <w:pStyle w:val="ListParagraph"/>
        <w:numPr>
          <w:ilvl w:val="1"/>
          <w:numId w:val="10"/>
        </w:numPr>
      </w:pPr>
      <w:r w:rsidRPr="00A220A0">
        <w:t>Pre-emption rights are an important cornerstone of UK Company Law</w:t>
      </w:r>
      <w:r>
        <w:t xml:space="preserve">, </w:t>
      </w:r>
      <w:r w:rsidRPr="00841CB0">
        <w:t>,</w:t>
      </w:r>
      <w:r w:rsidRPr="00841CB0">
        <w:t xml:space="preserve"> they require companies to issue any new shares on a</w:t>
      </w:r>
      <w:r w:rsidRPr="00841CB0">
        <w:t xml:space="preserve"> pro-rata basis to existing shareholders, so that those shareholders are not diluted.</w:t>
      </w:r>
      <w:r>
        <w:t xml:space="preserve"> </w:t>
      </w:r>
      <w:r w:rsidRPr="00841CB0">
        <w:t xml:space="preserve">Shareholders normally approve a limited disapplication of pre-emption rights (up to 10% of the company’s issued share capital) to allow companies to issue new shares.  </w:t>
      </w:r>
      <w:r w:rsidRPr="00A220A0">
        <w:t xml:space="preserve"> T</w:t>
      </w:r>
      <w:r w:rsidRPr="00A220A0">
        <w:t xml:space="preserve">he Pre-Emption </w:t>
      </w:r>
      <w:r w:rsidRPr="00A220A0">
        <w:t>Group (</w:t>
      </w:r>
      <w:r w:rsidRPr="00A220A0">
        <w:t xml:space="preserve">a </w:t>
      </w:r>
      <w:r>
        <w:t xml:space="preserve"> representative </w:t>
      </w:r>
      <w:r w:rsidRPr="00A220A0">
        <w:t xml:space="preserve">group </w:t>
      </w:r>
      <w:r w:rsidRPr="00A220A0">
        <w:t>of investors, companies and intermediar</w:t>
      </w:r>
      <w:r>
        <w:t xml:space="preserve">y representatives </w:t>
      </w:r>
      <w:r w:rsidRPr="00A220A0">
        <w:t>who produce and monitor guidelines on the use of pre-emption i</w:t>
      </w:r>
      <w:r>
        <w:t>n</w:t>
      </w:r>
      <w:r w:rsidRPr="00A220A0">
        <w:t xml:space="preserve"> the UK) released </w:t>
      </w:r>
      <w:r>
        <w:fldChar w:fldCharType="begin"/>
      </w:r>
      <w:r>
        <w:instrText xml:space="preserve"> HYPERLINK "https://www.frc.org.uk/news/april-2020/pre-emption-group-expectations-for-issuances-in-th" </w:instrText>
      </w:r>
      <w:r>
        <w:fldChar w:fldCharType="separate"/>
      </w:r>
      <w:r w:rsidRPr="00DC31E9">
        <w:rPr>
          <w:rStyle w:val="Hyperlink"/>
        </w:rPr>
        <w:t>a statement</w:t>
      </w:r>
      <w:r>
        <w:fldChar w:fldCharType="end"/>
      </w:r>
      <w:r w:rsidRPr="00A220A0">
        <w:t xml:space="preserve"> on 1 April recommending that investors consider supporting, on a case-by-case basis, non-pre-emptive issuances of up to 20% of the issued share. This will allow companies to quickly raise capital in an accelera</w:t>
      </w:r>
      <w:r w:rsidRPr="00A220A0">
        <w:t xml:space="preserve">ted ‘bookbuilding process’ without having to </w:t>
      </w:r>
      <w:r>
        <w:t xml:space="preserve">offer </w:t>
      </w:r>
      <w:r w:rsidRPr="00A220A0">
        <w:t>new shares to existing shareholders. The IA has supported this additional flexibility, recognising the need for companies to raise capital at pace, providing companies offer ‘soft-pre-emption’ as far as po</w:t>
      </w:r>
      <w:r w:rsidRPr="00A220A0">
        <w:t xml:space="preserve">ssible, to minimise share dilution. </w:t>
      </w:r>
      <w:r w:rsidRPr="00841CB0">
        <w:t>So far, we have seen 13 companies using this flexibility and raising over £2.3bn of new equity in aggregate.</w:t>
      </w:r>
      <w:r w:rsidRPr="00A220A0">
        <w:t xml:space="preserve"> </w:t>
      </w:r>
    </w:p>
    <w:p w:rsidR="00A220A0" w:rsidP="00A220A0">
      <w:pPr>
        <w:pStyle w:val="ListParagraph"/>
      </w:pPr>
    </w:p>
    <w:p w:rsidR="00A220A0" w:rsidP="00A220A0">
      <w:pPr>
        <w:pStyle w:val="ListParagraph"/>
        <w:numPr>
          <w:ilvl w:val="1"/>
          <w:numId w:val="10"/>
        </w:numPr>
      </w:pPr>
      <w:r w:rsidRPr="00A220A0">
        <w:t xml:space="preserve">The FCA also </w:t>
      </w:r>
      <w:r>
        <w:fldChar w:fldCharType="begin"/>
      </w:r>
      <w:r>
        <w:instrText xml:space="preserve"> HYPERLINK "https://www.fca.org.uk/news/statements/listed-companies-recapitalisation-issuances-coronavirus" </w:instrText>
      </w:r>
      <w:r>
        <w:fldChar w:fldCharType="separate"/>
      </w:r>
      <w:r w:rsidRPr="00DC31E9">
        <w:rPr>
          <w:rStyle w:val="Hyperlink"/>
        </w:rPr>
        <w:t>published</w:t>
      </w:r>
      <w:r>
        <w:fldChar w:fldCharType="end"/>
      </w:r>
      <w:r w:rsidRPr="00A220A0">
        <w:t xml:space="preserve"> a package </w:t>
      </w:r>
      <w:r w:rsidRPr="00A220A0">
        <w:t xml:space="preserve">of measures to help support </w:t>
      </w:r>
      <w:r w:rsidRPr="00A220A0">
        <w:t xml:space="preserve">companies </w:t>
      </w:r>
      <w:r w:rsidRPr="00A220A0">
        <w:t xml:space="preserve">seeking </w:t>
      </w:r>
      <w:r w:rsidRPr="00A220A0">
        <w:t xml:space="preserve">to recapitalise in light of </w:t>
      </w:r>
      <w:r>
        <w:t>COVID</w:t>
      </w:r>
      <w:r w:rsidRPr="00A220A0">
        <w:t>-19</w:t>
      </w:r>
      <w:r w:rsidRPr="00A220A0">
        <w:t xml:space="preserve"> on 8 April, including measures such as the opportunity to publish a prospectus (needed to raise more than 20% if issued share capital) with a clean (unqualified) working capital statement which can include </w:t>
      </w:r>
      <w:r>
        <w:t>COVID</w:t>
      </w:r>
      <w:r w:rsidRPr="00A220A0">
        <w:t>-related assumptions. This enables companies</w:t>
      </w:r>
      <w:r w:rsidRPr="00A220A0">
        <w:t xml:space="preserve"> to raise capital while recognising the market uncertainty as a result of </w:t>
      </w:r>
      <w:r>
        <w:t>COVID</w:t>
      </w:r>
      <w:r w:rsidRPr="00A220A0">
        <w:t>-19</w:t>
      </w:r>
      <w:r w:rsidRPr="00A220A0">
        <w:t xml:space="preserve"> that may impact on their working capital </w:t>
      </w:r>
      <w:r w:rsidRPr="00A220A0">
        <w:t>over the</w:t>
      </w:r>
      <w:r w:rsidRPr="00A220A0">
        <w:t xml:space="preserve"> next 12 months.</w:t>
      </w:r>
    </w:p>
    <w:p w:rsidR="00A220A0" w:rsidP="00A220A0">
      <w:pPr>
        <w:pStyle w:val="ListParagraph"/>
      </w:pPr>
    </w:p>
    <w:p w:rsidR="00A220A0" w:rsidP="00E139B2">
      <w:pPr>
        <w:pStyle w:val="ListParagraph"/>
        <w:numPr>
          <w:ilvl w:val="1"/>
          <w:numId w:val="10"/>
        </w:numPr>
      </w:pPr>
      <w:r w:rsidRPr="00A220A0">
        <w:t xml:space="preserve">The IA has </w:t>
      </w:r>
      <w:r w:rsidRPr="00A220A0">
        <w:t xml:space="preserve">welcomed </w:t>
      </w:r>
      <w:r w:rsidRPr="00A220A0">
        <w:t xml:space="preserve">both these as important measures </w:t>
      </w:r>
      <w:r w:rsidRPr="00A220A0">
        <w:t>to support</w:t>
      </w:r>
      <w:r w:rsidRPr="00A220A0">
        <w:t xml:space="preserve"> companies to raise the additional cash tha</w:t>
      </w:r>
      <w:r w:rsidRPr="00A220A0">
        <w:t>t they need. We will be monitoring how companies use the additional flexibility, recognising the need to maintain shareholder accountability with the need to recapitalise quickly.</w:t>
      </w:r>
      <w:r w:rsidRPr="00A220A0">
        <w:t xml:space="preserve"> </w:t>
      </w:r>
      <w:r w:rsidRPr="00A220A0">
        <w:t xml:space="preserve">We will continue to work with regulators, lawyers and other stakeholders to </w:t>
      </w:r>
      <w:r w:rsidRPr="00A220A0">
        <w:t>consider ways to shorten the timetables, allowing companies to raise the capital they need more efficiently</w:t>
      </w:r>
      <w:r w:rsidRPr="00A220A0">
        <w:t xml:space="preserve">. </w:t>
      </w:r>
    </w:p>
    <w:p w:rsidR="00E139B2" w:rsidP="00E139B2">
      <w:pPr>
        <w:pStyle w:val="ListParagraph"/>
      </w:pPr>
    </w:p>
    <w:p w:rsidR="00E139B2" w:rsidRPr="00A220A0" w:rsidP="00E139B2">
      <w:pPr>
        <w:pStyle w:val="ListParagraph"/>
        <w:ind w:left="1080"/>
      </w:pPr>
    </w:p>
    <w:p w:rsidR="00A220A0" w:rsidP="004667B4">
      <w:r w:rsidRPr="004667B4">
        <w:rPr>
          <w:b/>
        </w:rPr>
        <w:t>Dividends</w:t>
      </w:r>
      <w:r>
        <w:t xml:space="preserve"> </w:t>
      </w:r>
    </w:p>
    <w:p w:rsidR="004667B4" w:rsidP="00E139B2">
      <w:pPr>
        <w:pStyle w:val="ListParagraph"/>
        <w:numPr>
          <w:ilvl w:val="1"/>
          <w:numId w:val="10"/>
        </w:numPr>
      </w:pPr>
      <w:r w:rsidRPr="004667B4">
        <w:t xml:space="preserve">The IA </w:t>
      </w:r>
      <w:r>
        <w:fldChar w:fldCharType="begin"/>
      </w:r>
      <w:r>
        <w:instrText xml:space="preserve"> HYPERLINK "https://www.theia.org/media/press-releases/corporate-governance-covid-19-update" </w:instrText>
      </w:r>
      <w:r>
        <w:fldChar w:fldCharType="separate"/>
      </w:r>
      <w:r w:rsidRPr="00841CB0">
        <w:rPr>
          <w:rStyle w:val="Hyperlink"/>
        </w:rPr>
        <w:t>has asked</w:t>
      </w:r>
      <w:r>
        <w:fldChar w:fldCharType="end"/>
      </w:r>
      <w:r>
        <w:t xml:space="preserve"> that </w:t>
      </w:r>
      <w:r w:rsidRPr="004667B4">
        <w:t>companies shoul</w:t>
      </w:r>
      <w:r w:rsidRPr="004667B4">
        <w:t>d take a prudent approach to current and future dividend payments, understanding the company’s ability to withstand financial stress and ensuring that employees and suppliers can be paid, while not unnecessarily reducing or rebasing the dividend level.</w:t>
      </w:r>
      <w:r>
        <w:t xml:space="preserve"> The</w:t>
      </w:r>
      <w:r>
        <w:t xml:space="preserve"> IA expects boards to be taking decisions on their dividends based on what is best for their business over the long term. </w:t>
      </w:r>
      <w:r>
        <w:t xml:space="preserve"> As d</w:t>
      </w:r>
      <w:r w:rsidRPr="00315C42">
        <w:t>ividends are an important income stream for institutional investors, including pension funds and charities, as w</w:t>
      </w:r>
      <w:r>
        <w:t>ell as ordinary r</w:t>
      </w:r>
      <w:r>
        <w:t>etail savers, we would expect companies to restart as soon as is appropriate and prudent to do so.</w:t>
      </w:r>
      <w:r w:rsidRPr="00315C42">
        <w:t xml:space="preserve"> At this time more than ever this income stream has</w:t>
      </w:r>
      <w:r>
        <w:t xml:space="preserve"> an</w:t>
      </w:r>
      <w:r w:rsidRPr="00315C42">
        <w:t xml:space="preserve"> important impact on the financial resilience of many individuals and wider positive benefits for the ec</w:t>
      </w:r>
      <w:r w:rsidRPr="00315C42">
        <w:t xml:space="preserve">onomy. </w:t>
      </w:r>
      <w:r>
        <w:t xml:space="preserve">  Will be monitoring how companies are distributing dividends over this period.</w:t>
      </w:r>
    </w:p>
    <w:p w:rsidR="00E139B2" w:rsidP="00E139B2">
      <w:pPr>
        <w:pStyle w:val="ListParagraph"/>
        <w:ind w:left="1080"/>
      </w:pPr>
    </w:p>
    <w:p w:rsidR="004667B4" w:rsidRPr="004667B4" w:rsidP="004667B4">
      <w:pPr>
        <w:rPr>
          <w:b/>
        </w:rPr>
      </w:pPr>
      <w:r w:rsidRPr="004667B4">
        <w:rPr>
          <w:b/>
        </w:rPr>
        <w:t>Company reporting and AGMs</w:t>
      </w:r>
    </w:p>
    <w:p w:rsidR="009662DA" w:rsidP="00E139B2">
      <w:pPr>
        <w:pStyle w:val="ListParagraph"/>
        <w:numPr>
          <w:ilvl w:val="1"/>
          <w:numId w:val="10"/>
        </w:numPr>
      </w:pPr>
      <w:r>
        <w:t xml:space="preserve">The Financial Conduct Authority (FCA), Financial Reporting Council (FRC) and Prudential Regulation Authority (PRA) </w:t>
      </w:r>
      <w:r>
        <w:fldChar w:fldCharType="begin"/>
      </w:r>
      <w:r>
        <w:instrText xml:space="preserve"> HYPERLINK "https://www.fca.org.uk/news/statements/joint-statement-fca-frc-pra" </w:instrText>
      </w:r>
      <w:r>
        <w:fldChar w:fldCharType="separate"/>
      </w:r>
      <w:r w:rsidRPr="00841CB0">
        <w:rPr>
          <w:rStyle w:val="Hyperlink"/>
        </w:rPr>
        <w:t>announced</w:t>
      </w:r>
      <w:r>
        <w:fldChar w:fldCharType="end"/>
      </w:r>
      <w:r>
        <w:t xml:space="preserve"> a series of actions which aim to "ensure information continues to flow to investors and support the continued functioning of the UK's capital markets", which the IA has supported</w:t>
      </w:r>
      <w:r>
        <w:t>. T</w:t>
      </w:r>
      <w:r>
        <w:t>his incl</w:t>
      </w:r>
      <w:r>
        <w:t>udes for example allowing companies to delay the publication of their annual reports and accounts by up to 2 months. This is an important measure which allows companies to take the time to make accurate reports to the market, which is the basis on which in</w:t>
      </w:r>
      <w:r>
        <w:t xml:space="preserve">vestors </w:t>
      </w:r>
      <w:r>
        <w:t>make investment</w:t>
      </w:r>
      <w:r>
        <w:t xml:space="preserve"> decisions. </w:t>
      </w:r>
    </w:p>
    <w:p w:rsidR="00841CB0" w:rsidP="00E139B2">
      <w:pPr>
        <w:pStyle w:val="ListParagraph"/>
        <w:numPr>
          <w:ilvl w:val="1"/>
          <w:numId w:val="10"/>
        </w:numPr>
      </w:pPr>
    </w:p>
    <w:p w:rsidR="005D7CC9" w:rsidP="005D7CC9">
      <w:pPr>
        <w:pStyle w:val="ListParagraph"/>
        <w:ind w:left="1080"/>
      </w:pPr>
    </w:p>
    <w:p w:rsidR="002023DF" w:rsidP="002023DF">
      <w:pPr>
        <w:pStyle w:val="ListParagraph"/>
        <w:numPr>
          <w:ilvl w:val="1"/>
          <w:numId w:val="10"/>
        </w:numPr>
      </w:pPr>
      <w:r>
        <w:t xml:space="preserve">This does however have knock on implications for companies holding AGMs which need to be held within 6 months of the financial year end. </w:t>
      </w:r>
      <w:r>
        <w:t>AGMs are important shareholder accountability mechanisms for institutional and retail investors alike. They are a key f</w:t>
      </w:r>
      <w:r>
        <w:t>ocus point for investors where they can put questions to company directors and vote on company resolutions such as the re-election of directors, executive pay arrangements and company report and accounts.</w:t>
      </w:r>
      <w:r>
        <w:t xml:space="preserve"> </w:t>
      </w:r>
      <w:r w:rsidRPr="00976E60">
        <w:t>The AGM is the only time that the Board must be pub</w:t>
      </w:r>
      <w:r w:rsidRPr="00976E60">
        <w:t>lically accountable to all its shareholders. The attendance of the Board to such meetings is a demonstration of their commitment to underst</w:t>
      </w:r>
      <w:r>
        <w:t xml:space="preserve">and the views of shareholders. </w:t>
      </w:r>
    </w:p>
    <w:p w:rsidR="002023DF" w:rsidP="002023DF">
      <w:pPr>
        <w:pStyle w:val="ListParagraph"/>
        <w:ind w:left="1080"/>
      </w:pPr>
    </w:p>
    <w:p w:rsidR="002023DF" w:rsidP="002023DF">
      <w:pPr>
        <w:pStyle w:val="ListParagraph"/>
        <w:numPr>
          <w:ilvl w:val="1"/>
          <w:numId w:val="10"/>
        </w:numPr>
      </w:pPr>
      <w:r>
        <w:t>This year’s AGM season is complicated by the stay at home measures currently in plac</w:t>
      </w:r>
      <w:r>
        <w:t xml:space="preserve">e. Companies have moved to holding closed AGMs, with the minimum quorate to permit a valid AGM. Shareholders are requested to submit proxy votes ahead of the AGM. Some companies have put conference calls or other means of taking shareholder questions. The </w:t>
      </w:r>
      <w:r>
        <w:t>use of a closed meeting allows companies to continue to meet their legal obligations to hold an AGM within six months of their year-end, while adhering to physical distancing measures. The IA have supported the guidance that the Governance Institute has pr</w:t>
      </w:r>
      <w:r>
        <w:t>oduced, which sets out how companies can continue to hold General Meetings under the existing law.  The IA continue to encourage companies to allow retail and institutional investor participation with shareholder events later in the year when government ad</w:t>
      </w:r>
      <w:r>
        <w:t>vice allows.</w:t>
      </w:r>
    </w:p>
    <w:p w:rsidR="002023DF" w:rsidP="002023DF">
      <w:pPr>
        <w:pStyle w:val="ListParagraph"/>
      </w:pPr>
    </w:p>
    <w:p w:rsidR="00E139B2" w:rsidP="002023DF">
      <w:pPr>
        <w:pStyle w:val="ListParagraph"/>
        <w:numPr>
          <w:ilvl w:val="1"/>
          <w:numId w:val="10"/>
        </w:numPr>
      </w:pPr>
      <w:r>
        <w:t>While virtual only AGMs appears to be a practicable solution, there remain uncertainties of their validity under company law. Most companies are also prohibited from holding these by their articles of association. There are a number of operational challeng</w:t>
      </w:r>
      <w:r>
        <w:t>es to ensuring that these can run without glitches that might undermine shareholder participation in the short time period that companies have had to replan for these events whilst ensuring their business continues to function in the current environment. W</w:t>
      </w:r>
      <w:r>
        <w:t xml:space="preserve">hile other markets have had more success in holding these, there is a valid concern over whether there </w:t>
      </w:r>
      <w:r>
        <w:t>is</w:t>
      </w:r>
      <w:r>
        <w:t xml:space="preserve"> sufficient service providers in the UK to support these meetings at scale in the height of the UK AGM season. </w:t>
      </w:r>
    </w:p>
    <w:p w:rsidR="002023DF" w:rsidP="002023DF">
      <w:pPr>
        <w:pStyle w:val="ListParagraph"/>
      </w:pPr>
    </w:p>
    <w:p w:rsidR="002023DF" w:rsidP="002023DF">
      <w:pPr>
        <w:pStyle w:val="ListParagraph"/>
        <w:ind w:left="1080"/>
      </w:pPr>
    </w:p>
    <w:p w:rsidR="00976E60" w:rsidP="00E139B2">
      <w:pPr>
        <w:pStyle w:val="ListParagraph"/>
        <w:numPr>
          <w:ilvl w:val="1"/>
          <w:numId w:val="10"/>
        </w:numPr>
      </w:pPr>
      <w:r>
        <w:t xml:space="preserve">The IA has </w:t>
      </w:r>
      <w:r>
        <w:fldChar w:fldCharType="begin"/>
      </w:r>
      <w:r>
        <w:instrText xml:space="preserve"> HYPERLINK "https://www.ivis.co.uk/media/13561/Virtual-Only-AGMs-IA-position-statement-December-2017.pdf" </w:instrText>
      </w:r>
      <w:r>
        <w:fldChar w:fldCharType="separate"/>
      </w:r>
      <w:r w:rsidRPr="00E139B2">
        <w:t>historically opposed</w:t>
      </w:r>
      <w:r>
        <w:fldChar w:fldCharType="end"/>
      </w:r>
      <w:r>
        <w:t xml:space="preserve"> virtual only- AGMs as removing the tool for shareholders to bring matters to the Boards attention, impairs the ability of investors to hold Boards to ac</w:t>
      </w:r>
      <w:r>
        <w:t>count on behalf of their clients. We maintain that companies should not hold virtual only AGMs in normal circumstances and should facilitate hybrid solutions.</w:t>
      </w:r>
    </w:p>
    <w:p w:rsidR="00E139B2" w:rsidP="00E139B2"/>
    <w:p w:rsidR="00E139B2" w:rsidP="00E139B2">
      <w:pPr>
        <w:pStyle w:val="ListParagraph"/>
        <w:numPr>
          <w:ilvl w:val="1"/>
          <w:numId w:val="10"/>
        </w:numPr>
      </w:pPr>
      <w:r>
        <w:t xml:space="preserve">We </w:t>
      </w:r>
      <w:r>
        <w:t>understand that BEIS will bring forward legislation on the quorum for meetings as well as the</w:t>
      </w:r>
      <w:r>
        <w:t xml:space="preserve"> timing of AGMs shortly</w:t>
      </w:r>
      <w:r>
        <w:t xml:space="preserve">.  </w:t>
      </w:r>
    </w:p>
    <w:p w:rsidR="00E139B2" w:rsidP="00E139B2">
      <w:pPr>
        <w:pStyle w:val="ListParagraph"/>
        <w:ind w:left="1080"/>
      </w:pPr>
    </w:p>
    <w:p w:rsidR="00976E60" w:rsidP="00E139B2">
      <w:pPr>
        <w:pStyle w:val="ListParagraph"/>
        <w:numPr>
          <w:ilvl w:val="1"/>
          <w:numId w:val="10"/>
        </w:numPr>
      </w:pPr>
      <w:r>
        <w:t xml:space="preserve">We will work with our members to understanding learnings from this years’ AGM season and to develop our learnings of best practice for hybrid-AGMs. </w:t>
      </w:r>
    </w:p>
    <w:p w:rsidR="00E139B2" w:rsidRPr="00976E60" w:rsidP="00E139B2"/>
    <w:p w:rsidR="00E139B2" w:rsidP="004667B4">
      <w:r>
        <w:rPr>
          <w:b/>
        </w:rPr>
        <w:t xml:space="preserve">Executive </w:t>
      </w:r>
      <w:r w:rsidRPr="00933BBF">
        <w:rPr>
          <w:b/>
        </w:rPr>
        <w:t>Remuneration</w:t>
      </w:r>
      <w:r>
        <w:t xml:space="preserve"> </w:t>
      </w:r>
    </w:p>
    <w:p w:rsidR="00933BBF" w:rsidP="00E139B2">
      <w:pPr>
        <w:pStyle w:val="ListParagraph"/>
        <w:numPr>
          <w:ilvl w:val="1"/>
          <w:numId w:val="10"/>
        </w:numPr>
      </w:pPr>
      <w:r>
        <w:t xml:space="preserve"> </w:t>
      </w:r>
      <w:r>
        <w:t>Remuneration Committees should carefully consider the</w:t>
      </w:r>
      <w:r>
        <w:t>ir approach to executive pay during this period.</w:t>
      </w:r>
    </w:p>
    <w:p w:rsidR="00DC31E9" w:rsidP="00DC31E9">
      <w:pPr>
        <w:pStyle w:val="ListParagraph"/>
        <w:ind w:left="1080"/>
      </w:pPr>
    </w:p>
    <w:p w:rsidR="00933BBF" w:rsidP="00E139B2">
      <w:pPr>
        <w:pStyle w:val="ListParagraph"/>
        <w:numPr>
          <w:ilvl w:val="1"/>
          <w:numId w:val="10"/>
        </w:numPr>
      </w:pPr>
      <w:r>
        <w:t xml:space="preserve">We have been asked by remuneration committees of listed companies and their advisors to provide shareholder expectations on how committees should be reflecting the impact of </w:t>
      </w:r>
      <w:r>
        <w:t>COVID</w:t>
      </w:r>
      <w:r>
        <w:t>-19</w:t>
      </w:r>
      <w:r>
        <w:t xml:space="preserve"> on executive pay. We ha</w:t>
      </w:r>
      <w:r>
        <w:t xml:space="preserve">ve set out these views in </w:t>
      </w:r>
      <w:r>
        <w:fldChar w:fldCharType="begin"/>
      </w:r>
      <w:r>
        <w:instrText xml:space="preserve"> HYPERLINK "https://www.theia.org/media/press-releases/ia-outlines-shareholder-expectations-executive-pay-light-covid-19" </w:instrText>
      </w:r>
      <w:r>
        <w:fldChar w:fldCharType="separate"/>
      </w:r>
      <w:r w:rsidRPr="00DC31E9">
        <w:rPr>
          <w:rStyle w:val="Hyperlink"/>
        </w:rPr>
        <w:t>FAQ</w:t>
      </w:r>
      <w:r w:rsidRPr="00E139B2">
        <w:t>s</w:t>
      </w:r>
      <w:r>
        <w:fldChar w:fldCharType="end"/>
      </w:r>
      <w:r>
        <w:t xml:space="preserve"> covering: </w:t>
      </w:r>
    </w:p>
    <w:p w:rsidR="00E139B2" w:rsidP="00E139B2">
      <w:pPr>
        <w:pStyle w:val="ListParagraph"/>
        <w:ind w:left="1080"/>
      </w:pPr>
    </w:p>
    <w:p w:rsidR="00933BBF" w:rsidRPr="00E139B2" w:rsidP="00E139B2">
      <w:pPr>
        <w:pStyle w:val="ListParagraph"/>
        <w:numPr>
          <w:ilvl w:val="2"/>
          <w:numId w:val="10"/>
        </w:numPr>
      </w:pPr>
      <w:r w:rsidRPr="00E139B2">
        <w:t>Variable pay and cancelled dividends</w:t>
      </w:r>
    </w:p>
    <w:p w:rsidR="00933BBF" w:rsidRPr="00E139B2" w:rsidP="00E139B2">
      <w:pPr>
        <w:pStyle w:val="ListParagraph"/>
        <w:numPr>
          <w:ilvl w:val="2"/>
          <w:numId w:val="10"/>
        </w:numPr>
      </w:pPr>
      <w:r w:rsidRPr="00E139B2">
        <w:t>Performance conditions for in-flight awards</w:t>
      </w:r>
    </w:p>
    <w:p w:rsidR="00933BBF" w:rsidRPr="00E139B2" w:rsidP="00E139B2">
      <w:pPr>
        <w:pStyle w:val="ListParagraph"/>
        <w:numPr>
          <w:ilvl w:val="2"/>
          <w:numId w:val="10"/>
        </w:numPr>
      </w:pPr>
      <w:r w:rsidRPr="00E139B2">
        <w:t>Avoidin</w:t>
      </w:r>
      <w:r w:rsidRPr="00E139B2">
        <w:t xml:space="preserve">g windfall gains </w:t>
      </w:r>
    </w:p>
    <w:p w:rsidR="00933BBF" w:rsidP="00E139B2">
      <w:pPr>
        <w:pStyle w:val="ListParagraph"/>
        <w:numPr>
          <w:ilvl w:val="2"/>
          <w:numId w:val="10"/>
        </w:numPr>
      </w:pPr>
      <w:r w:rsidRPr="00E139B2">
        <w:t xml:space="preserve">LTIP grants – </w:t>
      </w:r>
      <w:r w:rsidRPr="00E139B2">
        <w:t xml:space="preserve">grant </w:t>
      </w:r>
      <w:r w:rsidRPr="00E139B2">
        <w:t xml:space="preserve">size and </w:t>
      </w:r>
      <w:r w:rsidRPr="00E139B2">
        <w:t xml:space="preserve">performance </w:t>
      </w:r>
      <w:r w:rsidRPr="00E139B2">
        <w:t>conditions</w:t>
      </w:r>
    </w:p>
    <w:p w:rsidR="00E139B2" w:rsidRPr="00E139B2" w:rsidP="00E139B2">
      <w:pPr>
        <w:pStyle w:val="ListParagraph"/>
        <w:ind w:left="2160"/>
      </w:pPr>
    </w:p>
    <w:p w:rsidR="00E139B2" w:rsidP="00E139B2">
      <w:pPr>
        <w:pStyle w:val="ListParagraph"/>
        <w:numPr>
          <w:ilvl w:val="1"/>
          <w:numId w:val="10"/>
        </w:numPr>
      </w:pPr>
      <w:r>
        <w:t xml:space="preserve">Shareholders recognise that Remuneration Committees will need to sensitively balance the need to continue to incentivise executive performance at a time where management teams are being asked to demonstrate significant leadership and resilience and ensure </w:t>
      </w:r>
      <w:r>
        <w:t xml:space="preserve">the executive experience is commensurate with that of shareholders, employees and other stakeholders. </w:t>
      </w:r>
    </w:p>
    <w:p w:rsidR="00E139B2" w:rsidP="00E139B2">
      <w:pPr>
        <w:pStyle w:val="ListParagraph"/>
        <w:ind w:left="1080"/>
      </w:pPr>
    </w:p>
    <w:p w:rsidR="009662DA" w:rsidP="00E139B2">
      <w:pPr>
        <w:pStyle w:val="ListParagraph"/>
        <w:numPr>
          <w:ilvl w:val="1"/>
          <w:numId w:val="10"/>
        </w:numPr>
      </w:pPr>
      <w:r>
        <w:t xml:space="preserve">The impact of </w:t>
      </w:r>
      <w:r>
        <w:t>COVID</w:t>
      </w:r>
      <w:r>
        <w:t>-19</w:t>
      </w:r>
      <w:r>
        <w:t xml:space="preserve"> will be different for each and every company, whilst there are minimum expectations for every company, shareholders expect Remuneration Committees to take account of their individual circumstances particularly considering the impact on their stakeholders.</w:t>
      </w:r>
      <w:r>
        <w:t xml:space="preserve"> We will continue to update our guidance for listed companies as the impact of the </w:t>
      </w:r>
      <w:r>
        <w:t>COVID</w:t>
      </w:r>
      <w:r>
        <w:t>-19</w:t>
      </w:r>
      <w:r>
        <w:t xml:space="preserve"> crisis becomes clearer.</w:t>
      </w:r>
    </w:p>
    <w:p w:rsidR="00933BBF" w:rsidRPr="00933BBF" w:rsidP="00933BBF">
      <w:pPr>
        <w:pStyle w:val="Default"/>
        <w:rPr>
          <w:sz w:val="22"/>
          <w:szCs w:val="22"/>
        </w:rPr>
      </w:pPr>
    </w:p>
    <w:p w:rsidR="00E139B2" w:rsidP="00E139B2">
      <w:pPr>
        <w:pStyle w:val="ListParagraph"/>
        <w:numPr>
          <w:ilvl w:val="0"/>
          <w:numId w:val="10"/>
        </w:numPr>
        <w:rPr>
          <w:b/>
        </w:rPr>
      </w:pPr>
      <w:r w:rsidRPr="00E139B2">
        <w:rPr>
          <w:b/>
        </w:rPr>
        <w:t xml:space="preserve">Longer term impact of </w:t>
      </w:r>
      <w:r>
        <w:rPr>
          <w:b/>
        </w:rPr>
        <w:t>COVID</w:t>
      </w:r>
      <w:r w:rsidRPr="00E139B2">
        <w:rPr>
          <w:b/>
        </w:rPr>
        <w:t xml:space="preserve"> -19</w:t>
      </w:r>
    </w:p>
    <w:p w:rsidR="00E139B2" w:rsidP="00E139B2"/>
    <w:p w:rsidR="00E139B2" w:rsidRPr="00E139B2" w:rsidP="00E139B2">
      <w:pPr>
        <w:pStyle w:val="ListParagraph"/>
        <w:numPr>
          <w:ilvl w:val="1"/>
          <w:numId w:val="10"/>
        </w:numPr>
        <w:rPr>
          <w:b/>
        </w:rPr>
      </w:pPr>
      <w:r>
        <w:t xml:space="preserve">The Committee will no doubt wish to look carefully at the impact of </w:t>
      </w:r>
      <w:r>
        <w:t>COVID</w:t>
      </w:r>
      <w:r>
        <w:t>-19</w:t>
      </w:r>
      <w:r>
        <w:t xml:space="preserve"> on business and the economy a</w:t>
      </w:r>
      <w:r>
        <w:t>nd the learnings that can be adopted to strengthen their resilience in the immediate future and over the long-term as we emerge from this pandemic. All stakeholders’ thinking on this will continue to evolve rapidly as the pandemic and response to it contin</w:t>
      </w:r>
      <w:r>
        <w:t xml:space="preserve">ues. From the perspective of our members, as long-term investors, this crisis has bought to the fore key areas of Stewardship and Corporate Governance that will continue to be central themes for UK businesses as </w:t>
      </w:r>
      <w:r>
        <w:t>we emerge from this crisis</w:t>
      </w:r>
      <w:r>
        <w:t>.</w:t>
      </w:r>
    </w:p>
    <w:p w:rsidR="00E139B2" w:rsidRPr="00E139B2" w:rsidP="00E139B2">
      <w:pPr>
        <w:pStyle w:val="ListParagraph"/>
        <w:ind w:left="1080"/>
        <w:rPr>
          <w:b/>
        </w:rPr>
      </w:pPr>
    </w:p>
    <w:p w:rsidR="00E139B2" w:rsidRPr="00E139B2" w:rsidP="00E139B2">
      <w:pPr>
        <w:pStyle w:val="ListParagraph"/>
        <w:numPr>
          <w:ilvl w:val="1"/>
          <w:numId w:val="10"/>
        </w:numPr>
        <w:rPr>
          <w:b/>
        </w:rPr>
      </w:pPr>
      <w:r>
        <w:t xml:space="preserve"> </w:t>
      </w:r>
      <w:r w:rsidRPr="00976E60">
        <w:t>During this ti</w:t>
      </w:r>
      <w:r w:rsidRPr="00976E60">
        <w:t xml:space="preserve">me our members have continued to engage with companies, supporting them to navigate immediate challenges to the business continuity. </w:t>
      </w:r>
      <w:r>
        <w:t>W</w:t>
      </w:r>
      <w:r>
        <w:t>e would like to highlight some of the following characteristics of our members</w:t>
      </w:r>
      <w:r>
        <w:t>’</w:t>
      </w:r>
      <w:r>
        <w:t xml:space="preserve"> engagement with companies during these tim</w:t>
      </w:r>
      <w:r>
        <w:t xml:space="preserve">es. </w:t>
      </w:r>
    </w:p>
    <w:p w:rsidR="00E139B2" w:rsidRPr="00E139B2" w:rsidP="00E139B2">
      <w:pPr>
        <w:pStyle w:val="ListParagraph"/>
        <w:ind w:left="1080"/>
        <w:rPr>
          <w:b/>
        </w:rPr>
      </w:pPr>
    </w:p>
    <w:p w:rsidR="00E139B2" w:rsidRPr="00E139B2" w:rsidP="00E139B2">
      <w:pPr>
        <w:pStyle w:val="ListParagraph"/>
        <w:numPr>
          <w:ilvl w:val="1"/>
          <w:numId w:val="10"/>
        </w:numPr>
        <w:rPr>
          <w:b/>
        </w:rPr>
      </w:pPr>
      <w:r w:rsidRPr="00B76F94">
        <w:t>As custodians of long-term capital, we favour companies that can demonstrate they are well run and take a long-term view of how they treat their employees, communities, suppliers, pension savers and customers. Our industry’s role is to cut through ec</w:t>
      </w:r>
      <w:r w:rsidRPr="00B76F94">
        <w:t>onomic uncertainty and market volatility, to work with and support good businesses that produce sustainable long-term value for savers and investors.</w:t>
      </w:r>
      <w:r>
        <w:t xml:space="preserve"> </w:t>
      </w:r>
      <w:r w:rsidRPr="002023DF">
        <w:t>In the letter we sent to UK listed companies in April, we set out how we expect companies to be managing t</w:t>
      </w:r>
      <w:r w:rsidRPr="002023DF">
        <w:t>heir key stakeholders over the short-term to ensure that the company can get through the immediate crisis.</w:t>
      </w:r>
    </w:p>
    <w:p w:rsidR="00E139B2" w:rsidRPr="00E139B2" w:rsidP="00E139B2">
      <w:pPr>
        <w:rPr>
          <w:b/>
        </w:rPr>
      </w:pPr>
    </w:p>
    <w:p w:rsidR="00E139B2" w:rsidRPr="00E139B2" w:rsidP="00E139B2">
      <w:pPr>
        <w:pStyle w:val="ListParagraph"/>
        <w:numPr>
          <w:ilvl w:val="1"/>
          <w:numId w:val="10"/>
        </w:numPr>
        <w:rPr>
          <w:b/>
        </w:rPr>
      </w:pPr>
      <w:r>
        <w:t>Our members have long held the belief that t</w:t>
      </w:r>
      <w:r w:rsidRPr="00305402">
        <w:t>he prosperity of companies is built by the people who work in them, the communities they operate in, and</w:t>
      </w:r>
      <w:r w:rsidRPr="00305402">
        <w:t xml:space="preserve"> the customers they serve.</w:t>
      </w:r>
      <w:r>
        <w:t xml:space="preserve"> </w:t>
      </w:r>
      <w:r w:rsidRPr="00305402">
        <w:t xml:space="preserve">Directors have a duty to promote the success of the company for its owners – the shareholders – and are required by law to have regard for the likely long-term </w:t>
      </w:r>
      <w:r w:rsidRPr="00305402">
        <w:t>consequences of decisions, and the interests of employees, suppliers,</w:t>
      </w:r>
      <w:r w:rsidRPr="00305402">
        <w:t xml:space="preserve"> customers and the community.</w:t>
      </w:r>
      <w:r>
        <w:t xml:space="preserve"> </w:t>
      </w:r>
      <w:r w:rsidRPr="00305402">
        <w:t>Companies that are good at managing relationships with these stakeholders and think of the long-term will build a stronger strategy and make better business decisions which will deliver long-term returns for the company</w:t>
      </w:r>
      <w:r>
        <w:t xml:space="preserve"> </w:t>
      </w:r>
      <w:r w:rsidRPr="00305402">
        <w:t>and sh</w:t>
      </w:r>
      <w:r w:rsidRPr="00305402">
        <w:t>areholders.</w:t>
      </w:r>
      <w:r w:rsidRPr="008C2F5D">
        <w:t xml:space="preserve"> In 2018 new </w:t>
      </w:r>
      <w:r>
        <w:t>reporting</w:t>
      </w:r>
      <w:r w:rsidRPr="008C2F5D">
        <w:t xml:space="preserve"> requirements</w:t>
      </w:r>
      <w:r>
        <w:t xml:space="preserve"> were enacted</w:t>
      </w:r>
      <w:r w:rsidRPr="008C2F5D">
        <w:t xml:space="preserve"> for companies to report on how they are fulfilling their </w:t>
      </w:r>
      <w:r>
        <w:t xml:space="preserve">Directors </w:t>
      </w:r>
      <w:r w:rsidRPr="008C2F5D">
        <w:t>dut</w:t>
      </w:r>
      <w:r>
        <w:t>ies</w:t>
      </w:r>
      <w:r w:rsidRPr="008C2F5D">
        <w:t>.</w:t>
      </w:r>
      <w:r>
        <w:t xml:space="preserve"> </w:t>
      </w:r>
      <w:r>
        <w:t xml:space="preserve"> </w:t>
      </w:r>
      <w:r w:rsidRPr="004B31E1">
        <w:t>Companies are required to provide disclosures in their latest Annual Report.</w:t>
      </w:r>
    </w:p>
    <w:p w:rsidR="00E139B2" w:rsidP="00E139B2">
      <w:pPr>
        <w:pStyle w:val="ListParagraph"/>
      </w:pPr>
    </w:p>
    <w:p w:rsidR="00E139B2" w:rsidRPr="00E139B2" w:rsidP="00E139B2">
      <w:pPr>
        <w:pStyle w:val="ListParagraph"/>
        <w:numPr>
          <w:ilvl w:val="1"/>
          <w:numId w:val="10"/>
        </w:numPr>
        <w:rPr>
          <w:b/>
        </w:rPr>
      </w:pPr>
      <w:r>
        <w:t xml:space="preserve">These core components of a </w:t>
      </w:r>
      <w:r>
        <w:t>well-run</w:t>
      </w:r>
      <w:r>
        <w:t xml:space="preserve"> company </w:t>
      </w:r>
      <w:r>
        <w:t xml:space="preserve">have been thrown into sharp relief by the current crisis. Our members continue to engage with </w:t>
      </w:r>
      <w:r>
        <w:t xml:space="preserve">investee </w:t>
      </w:r>
      <w:r>
        <w:t xml:space="preserve">companies they are on how they are </w:t>
      </w:r>
      <w:r>
        <w:t xml:space="preserve">treating their employees, from </w:t>
      </w:r>
      <w:r>
        <w:t xml:space="preserve">promoting the physical and mental health of their workforce </w:t>
      </w:r>
      <w:r>
        <w:t xml:space="preserve">to </w:t>
      </w:r>
      <w:r>
        <w:t>how they are in</w:t>
      </w:r>
      <w:r>
        <w:t>vesting in training and support for them</w:t>
      </w:r>
      <w:r>
        <w:t>. They are also looking closely at how companies are</w:t>
      </w:r>
      <w:r>
        <w:t xml:space="preserve"> engaging with</w:t>
      </w:r>
      <w:r>
        <w:t xml:space="preserve"> other</w:t>
      </w:r>
      <w:r>
        <w:t xml:space="preserve"> key stakeholders, including communities, suppliers and customers to inform their business decision making. </w:t>
      </w:r>
    </w:p>
    <w:p w:rsidR="00E139B2" w:rsidP="00E139B2">
      <w:pPr>
        <w:pStyle w:val="ListParagraph"/>
      </w:pPr>
    </w:p>
    <w:p w:rsidR="00E139B2" w:rsidRPr="00E139B2" w:rsidP="004667B4">
      <w:pPr>
        <w:pStyle w:val="ListParagraph"/>
        <w:numPr>
          <w:ilvl w:val="1"/>
          <w:numId w:val="10"/>
        </w:numPr>
        <w:rPr>
          <w:b/>
        </w:rPr>
      </w:pPr>
      <w:r>
        <w:t xml:space="preserve"> </w:t>
      </w:r>
      <w:r w:rsidRPr="00A76B56">
        <w:t xml:space="preserve">There will be a real opportunity </w:t>
      </w:r>
      <w:r w:rsidRPr="00A76B56">
        <w:t>to identify best practice in terms of those companies that have excelled in these areas.</w:t>
      </w:r>
      <w:r>
        <w:t xml:space="preserve"> Companies</w:t>
      </w:r>
      <w:r>
        <w:t>’</w:t>
      </w:r>
      <w:r>
        <w:t xml:space="preserve"> new reporting requirements will help shareholders to identify </w:t>
      </w:r>
      <w:r>
        <w:t xml:space="preserve">how </w:t>
      </w:r>
      <w:r>
        <w:t>companies</w:t>
      </w:r>
      <w:r>
        <w:t xml:space="preserve"> have fulfilled their Directors Duties through this crisis</w:t>
      </w:r>
      <w:r>
        <w:t xml:space="preserve"> and hold </w:t>
      </w:r>
      <w:r>
        <w:t xml:space="preserve">laggards </w:t>
      </w:r>
      <w:r>
        <w:t>to a</w:t>
      </w:r>
      <w:r>
        <w:t xml:space="preserve">ccount. </w:t>
      </w:r>
    </w:p>
    <w:p w:rsidR="00E139B2" w:rsidP="00E139B2">
      <w:pPr>
        <w:pStyle w:val="ListParagraph"/>
      </w:pPr>
    </w:p>
    <w:p w:rsidR="00E139B2" w:rsidRPr="00E139B2" w:rsidP="004667B4">
      <w:pPr>
        <w:pStyle w:val="ListParagraph"/>
        <w:numPr>
          <w:ilvl w:val="1"/>
          <w:numId w:val="10"/>
        </w:numPr>
        <w:rPr>
          <w:b/>
        </w:rPr>
      </w:pPr>
      <w:r>
        <w:t xml:space="preserve">The crisis has also </w:t>
      </w:r>
      <w:r>
        <w:t xml:space="preserve">highlighted real strengths of the UK’s existing Corporate Governance regime. </w:t>
      </w:r>
      <w:r>
        <w:t>Many of the principles set out in the UK’s Corporate Governance Code including principles on overboarding, succession planning and diversity have bee</w:t>
      </w:r>
      <w:r>
        <w:t xml:space="preserve">n essential to ensure that boards are well equipped to manage their business effectively in this crisis.  </w:t>
      </w:r>
      <w:r>
        <w:t>We intend to look at these attributes of good governance and how they have helped companies respond to the crisis.</w:t>
      </w:r>
    </w:p>
    <w:p w:rsidR="00E139B2" w:rsidP="00E139B2">
      <w:pPr>
        <w:pStyle w:val="ListParagraph"/>
      </w:pPr>
    </w:p>
    <w:p w:rsidR="00E139B2" w:rsidRPr="00E139B2" w:rsidP="004667B4">
      <w:pPr>
        <w:pStyle w:val="ListParagraph"/>
        <w:numPr>
          <w:ilvl w:val="1"/>
          <w:numId w:val="10"/>
        </w:numPr>
        <w:rPr>
          <w:b/>
        </w:rPr>
      </w:pPr>
      <w:r>
        <w:t>Coming out of this crisis, we anti</w:t>
      </w:r>
      <w:r>
        <w:t xml:space="preserve">cipate that there will be an important conversation to be had about </w:t>
      </w:r>
      <w:r>
        <w:t xml:space="preserve">a wide range of sustainability considerations, including how companies are managing environmental social and governance risks and the interplay between these risks and </w:t>
      </w:r>
      <w:r>
        <w:t>outcomes</w:t>
      </w:r>
      <w:r>
        <w:t xml:space="preserve"> </w:t>
      </w:r>
      <w:r>
        <w:t>for</w:t>
      </w:r>
      <w:r>
        <w:t xml:space="preserve"> society</w:t>
      </w:r>
      <w:r>
        <w:t xml:space="preserve">, the environment and the economy. </w:t>
      </w:r>
    </w:p>
    <w:p w:rsidR="00E139B2" w:rsidP="00E139B2">
      <w:pPr>
        <w:pStyle w:val="ListParagraph"/>
      </w:pPr>
    </w:p>
    <w:p w:rsidR="00DB33DC" w:rsidRPr="00C17A2F" w:rsidP="004667B4">
      <w:pPr>
        <w:pStyle w:val="ListParagraph"/>
        <w:numPr>
          <w:ilvl w:val="1"/>
          <w:numId w:val="10"/>
        </w:numPr>
        <w:rPr>
          <w:b/>
        </w:rPr>
      </w:pPr>
      <w:r>
        <w:t>Managing the risks of climate change</w:t>
      </w:r>
      <w:r>
        <w:t xml:space="preserve"> </w:t>
      </w:r>
      <w:r>
        <w:t>will be a key area of focus for investment managers and it will be important to consider how the post-</w:t>
      </w:r>
      <w:r>
        <w:t>COVID</w:t>
      </w:r>
      <w:r>
        <w:t xml:space="preserve"> economic recovery contributes to the UK’s ambitions towards a net zero eco</w:t>
      </w:r>
      <w:r>
        <w:t xml:space="preserve">nomy and meeting the Paris Agreement targets. </w:t>
      </w:r>
      <w:r>
        <w:t xml:space="preserve"> </w:t>
      </w:r>
      <w:r>
        <w:t>These are all areas that investment managers pay keen attention to managing risk on behalf of their clients and in their roles as stewards of the assets they are invested in. The IA will be pleased to particip</w:t>
      </w:r>
      <w:r>
        <w:t xml:space="preserve">ate in this conversation going forward. </w:t>
      </w:r>
    </w:p>
    <w:p w:rsidR="00C17A2F" w:rsidP="00C17A2F">
      <w:pPr>
        <w:rPr>
          <w:b/>
        </w:rPr>
      </w:pPr>
    </w:p>
    <w:p w:rsidR="00C17A2F" w:rsidRPr="00C17A2F" w:rsidP="00C17A2F">
      <w:pPr>
        <w:rPr>
          <w:bCs/>
          <w:i/>
          <w:iCs/>
        </w:rPr>
      </w:pPr>
      <w:r w:rsidRPr="00C17A2F">
        <w:rPr>
          <w:bCs/>
          <w:i/>
          <w:iCs/>
        </w:rPr>
        <w:t>May 2020</w:t>
      </w:r>
      <w:bookmarkStart w:id="0" w:name="_GoBack"/>
      <w:bookmarkEnd w:id="0"/>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kkurat Std Light">
    <w:altName w:val="Calibri"/>
    <w:panose1 w:val="00000000000000000000"/>
    <w:charset w:val="00"/>
    <w:family w:val="swiss"/>
    <w:notTrueType/>
    <w:pitch w:val="variable"/>
    <w:sig w:usb0="800000AF" w:usb1="4000216A" w:usb2="00000008"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1B2437"/>
    <w:multiLevelType w:val="multilevel"/>
    <w:tmpl w:val="25048B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6C262FB"/>
    <w:multiLevelType w:val="multilevel"/>
    <w:tmpl w:val="1004DDB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2F2D1980"/>
    <w:multiLevelType w:val="hybridMultilevel"/>
    <w:tmpl w:val="0B8440B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492A2248"/>
    <w:multiLevelType w:val="multilevel"/>
    <w:tmpl w:val="1004DDB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4A9D2FBD"/>
    <w:multiLevelType w:val="hybridMultilevel"/>
    <w:tmpl w:val="34C0032E"/>
    <w:lvl w:ilvl="0">
      <w:start w:val="1"/>
      <w:numFmt w:val="bullet"/>
      <w:lvlText w:val=""/>
      <w:lvlJc w:val="left"/>
      <w:pPr>
        <w:ind w:left="768" w:hanging="360"/>
      </w:pPr>
      <w:rPr>
        <w:rFonts w:ascii="Symbol" w:hAnsi="Symbol" w:hint="default"/>
      </w:rPr>
    </w:lvl>
    <w:lvl w:ilvl="1" w:tentative="1">
      <w:start w:val="1"/>
      <w:numFmt w:val="bullet"/>
      <w:lvlText w:val="o"/>
      <w:lvlJc w:val="left"/>
      <w:pPr>
        <w:ind w:left="1488" w:hanging="360"/>
      </w:pPr>
      <w:rPr>
        <w:rFonts w:ascii="Courier New" w:hAnsi="Courier New" w:cs="Courier New" w:hint="default"/>
      </w:rPr>
    </w:lvl>
    <w:lvl w:ilvl="2" w:tentative="1">
      <w:start w:val="1"/>
      <w:numFmt w:val="bullet"/>
      <w:lvlText w:val=""/>
      <w:lvlJc w:val="left"/>
      <w:pPr>
        <w:ind w:left="2208" w:hanging="360"/>
      </w:pPr>
      <w:rPr>
        <w:rFonts w:ascii="Wingdings" w:hAnsi="Wingdings" w:hint="default"/>
      </w:rPr>
    </w:lvl>
    <w:lvl w:ilvl="3" w:tentative="1">
      <w:start w:val="1"/>
      <w:numFmt w:val="bullet"/>
      <w:lvlText w:val=""/>
      <w:lvlJc w:val="left"/>
      <w:pPr>
        <w:ind w:left="2928" w:hanging="360"/>
      </w:pPr>
      <w:rPr>
        <w:rFonts w:ascii="Symbol" w:hAnsi="Symbol" w:hint="default"/>
      </w:rPr>
    </w:lvl>
    <w:lvl w:ilvl="4" w:tentative="1">
      <w:start w:val="1"/>
      <w:numFmt w:val="bullet"/>
      <w:lvlText w:val="o"/>
      <w:lvlJc w:val="left"/>
      <w:pPr>
        <w:ind w:left="3648" w:hanging="360"/>
      </w:pPr>
      <w:rPr>
        <w:rFonts w:ascii="Courier New" w:hAnsi="Courier New" w:cs="Courier New" w:hint="default"/>
      </w:rPr>
    </w:lvl>
    <w:lvl w:ilvl="5" w:tentative="1">
      <w:start w:val="1"/>
      <w:numFmt w:val="bullet"/>
      <w:lvlText w:val=""/>
      <w:lvlJc w:val="left"/>
      <w:pPr>
        <w:ind w:left="4368" w:hanging="360"/>
      </w:pPr>
      <w:rPr>
        <w:rFonts w:ascii="Wingdings" w:hAnsi="Wingdings" w:hint="default"/>
      </w:rPr>
    </w:lvl>
    <w:lvl w:ilvl="6" w:tentative="1">
      <w:start w:val="1"/>
      <w:numFmt w:val="bullet"/>
      <w:lvlText w:val=""/>
      <w:lvlJc w:val="left"/>
      <w:pPr>
        <w:ind w:left="5088" w:hanging="360"/>
      </w:pPr>
      <w:rPr>
        <w:rFonts w:ascii="Symbol" w:hAnsi="Symbol" w:hint="default"/>
      </w:rPr>
    </w:lvl>
    <w:lvl w:ilvl="7" w:tentative="1">
      <w:start w:val="1"/>
      <w:numFmt w:val="bullet"/>
      <w:lvlText w:val="o"/>
      <w:lvlJc w:val="left"/>
      <w:pPr>
        <w:ind w:left="5808" w:hanging="360"/>
      </w:pPr>
      <w:rPr>
        <w:rFonts w:ascii="Courier New" w:hAnsi="Courier New" w:cs="Courier New" w:hint="default"/>
      </w:rPr>
    </w:lvl>
    <w:lvl w:ilvl="8" w:tentative="1">
      <w:start w:val="1"/>
      <w:numFmt w:val="bullet"/>
      <w:lvlText w:val=""/>
      <w:lvlJc w:val="left"/>
      <w:pPr>
        <w:ind w:left="6528" w:hanging="360"/>
      </w:pPr>
      <w:rPr>
        <w:rFonts w:ascii="Wingdings" w:hAnsi="Wingdings" w:hint="default"/>
      </w:rPr>
    </w:lvl>
  </w:abstractNum>
  <w:abstractNum w:abstractNumId="5">
    <w:nsid w:val="4B53666C"/>
    <w:multiLevelType w:val="multilevel"/>
    <w:tmpl w:val="4E905CA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4C440A5C"/>
    <w:multiLevelType w:val="multilevel"/>
    <w:tmpl w:val="0212C33A"/>
    <w:lvl w:ilvl="0">
      <w:start w:val="1"/>
      <w:numFmt w:val="decimal"/>
      <w:lvlText w:val="%1"/>
      <w:lvlJc w:val="left"/>
      <w:pPr>
        <w:ind w:left="360" w:hanging="360"/>
      </w:pPr>
      <w:rPr>
        <w:rFonts w:hint="default"/>
      </w:rPr>
    </w:lvl>
    <w:lvl w:ilvl="1">
      <w:start w:val="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66077571"/>
    <w:multiLevelType w:val="hybridMultilevel"/>
    <w:tmpl w:val="8D1AC1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8AB2931"/>
    <w:multiLevelType w:val="hybridMultilevel"/>
    <w:tmpl w:val="FEC0BC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6A366569"/>
    <w:multiLevelType w:val="hybridMultilevel"/>
    <w:tmpl w:val="530C77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A9F2BBC"/>
    <w:multiLevelType w:val="multilevel"/>
    <w:tmpl w:val="3CE0C622"/>
    <w:lvl w:ilvl="0">
      <w:start w:val="2"/>
      <w:numFmt w:val="decimal"/>
      <w:lvlText w:val="%1.0"/>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6EFE5A34"/>
    <w:multiLevelType w:val="multilevel"/>
    <w:tmpl w:val="B7C0E794"/>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
  </w:num>
  <w:num w:numId="2">
    <w:abstractNumId w:val="8"/>
  </w:num>
  <w:num w:numId="3">
    <w:abstractNumId w:val="2"/>
  </w:num>
  <w:num w:numId="4">
    <w:abstractNumId w:val="7"/>
  </w:num>
  <w:num w:numId="5">
    <w:abstractNumId w:val="4"/>
  </w:num>
  <w:num w:numId="6">
    <w:abstractNumId w:val="9"/>
  </w:num>
  <w:num w:numId="7">
    <w:abstractNumId w:val="6"/>
  </w:num>
  <w:num w:numId="8">
    <w:abstractNumId w:val="0"/>
  </w:num>
  <w:num w:numId="9">
    <w:abstractNumId w:val="5"/>
  </w:num>
  <w:num w:numId="10">
    <w:abstractNumId w:val="10"/>
  </w:num>
  <w:num w:numId="11">
    <w:abstractNumId w:val="3"/>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3BBF"/>
    <w:rPr>
      <w:color w:val="0000FF"/>
      <w:u w:val="single"/>
    </w:rPr>
  </w:style>
  <w:style w:type="paragraph" w:styleId="ListParagraph">
    <w:name w:val="List Paragraph"/>
    <w:basedOn w:val="Normal"/>
    <w:uiPriority w:val="34"/>
    <w:qFormat/>
    <w:rsid w:val="00933BBF"/>
    <w:pPr>
      <w:spacing w:after="0" w:line="240" w:lineRule="auto"/>
      <w:ind w:left="720"/>
    </w:pPr>
    <w:rPr>
      <w:rFonts w:ascii="Calibri" w:hAnsi="Calibri" w:cs="Calibri"/>
      <w:lang w:eastAsia="en-GB"/>
    </w:rPr>
  </w:style>
  <w:style w:type="character" w:styleId="FollowedHyperlink">
    <w:name w:val="FollowedHyperlink"/>
    <w:basedOn w:val="DefaultParagraphFont"/>
    <w:uiPriority w:val="99"/>
    <w:semiHidden/>
    <w:unhideWhenUsed/>
    <w:rsid w:val="00933BBF"/>
    <w:rPr>
      <w:color w:val="954F72" w:themeColor="followedHyperlink"/>
      <w:u w:val="single"/>
    </w:rPr>
  </w:style>
  <w:style w:type="paragraph" w:customStyle="1" w:styleId="Default">
    <w:name w:val="Default"/>
    <w:rsid w:val="00933BBF"/>
    <w:pPr>
      <w:autoSpaceDE w:val="0"/>
      <w:autoSpaceDN w:val="0"/>
      <w:adjustRightInd w:val="0"/>
      <w:spacing w:after="0" w:line="240" w:lineRule="auto"/>
    </w:pPr>
    <w:rPr>
      <w:rFonts w:ascii="Calibri" w:hAnsi="Calibri" w:cs="Calibri"/>
      <w:color w:val="000000"/>
      <w:sz w:val="24"/>
      <w:szCs w:val="24"/>
    </w:rPr>
  </w:style>
  <w:style w:type="character" w:customStyle="1" w:styleId="A5">
    <w:name w:val="A5"/>
    <w:uiPriority w:val="99"/>
    <w:rsid w:val="008C2F5D"/>
    <w:rPr>
      <w:rFonts w:cs="Akkurat Std Light"/>
      <w:color w:val="000000"/>
      <w:sz w:val="18"/>
      <w:szCs w:val="18"/>
    </w:rPr>
  </w:style>
  <w:style w:type="character" w:styleId="CommentReference">
    <w:name w:val="annotation reference"/>
    <w:basedOn w:val="DefaultParagraphFont"/>
    <w:uiPriority w:val="99"/>
    <w:semiHidden/>
    <w:unhideWhenUsed/>
    <w:rsid w:val="00532277"/>
    <w:rPr>
      <w:sz w:val="16"/>
      <w:szCs w:val="16"/>
    </w:rPr>
  </w:style>
  <w:style w:type="paragraph" w:styleId="CommentText">
    <w:name w:val="annotation text"/>
    <w:basedOn w:val="Normal"/>
    <w:link w:val="CommentTextChar"/>
    <w:uiPriority w:val="99"/>
    <w:semiHidden/>
    <w:unhideWhenUsed/>
    <w:rsid w:val="00532277"/>
    <w:pPr>
      <w:spacing w:line="240" w:lineRule="auto"/>
    </w:pPr>
    <w:rPr>
      <w:sz w:val="20"/>
      <w:szCs w:val="20"/>
    </w:rPr>
  </w:style>
  <w:style w:type="character" w:customStyle="1" w:styleId="CommentTextChar">
    <w:name w:val="Comment Text Char"/>
    <w:basedOn w:val="DefaultParagraphFont"/>
    <w:link w:val="CommentText"/>
    <w:uiPriority w:val="99"/>
    <w:semiHidden/>
    <w:rsid w:val="00532277"/>
    <w:rPr>
      <w:sz w:val="20"/>
      <w:szCs w:val="20"/>
    </w:rPr>
  </w:style>
  <w:style w:type="paragraph" w:styleId="CommentSubject">
    <w:name w:val="annotation subject"/>
    <w:basedOn w:val="CommentText"/>
    <w:next w:val="CommentText"/>
    <w:link w:val="CommentSubjectChar"/>
    <w:uiPriority w:val="99"/>
    <w:semiHidden/>
    <w:unhideWhenUsed/>
    <w:rsid w:val="00532277"/>
    <w:rPr>
      <w:b/>
      <w:bCs/>
    </w:rPr>
  </w:style>
  <w:style w:type="character" w:customStyle="1" w:styleId="CommentSubjectChar">
    <w:name w:val="Comment Subject Char"/>
    <w:basedOn w:val="CommentTextChar"/>
    <w:link w:val="CommentSubject"/>
    <w:uiPriority w:val="99"/>
    <w:semiHidden/>
    <w:rsid w:val="00532277"/>
    <w:rPr>
      <w:b/>
      <w:bCs/>
      <w:sz w:val="20"/>
      <w:szCs w:val="20"/>
    </w:rPr>
  </w:style>
  <w:style w:type="paragraph" w:styleId="BalloonText">
    <w:name w:val="Balloon Text"/>
    <w:basedOn w:val="Normal"/>
    <w:link w:val="BalloonTextChar"/>
    <w:uiPriority w:val="99"/>
    <w:semiHidden/>
    <w:unhideWhenUsed/>
    <w:rsid w:val="005322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277"/>
    <w:rPr>
      <w:rFonts w:ascii="Segoe UI" w:hAnsi="Segoe UI" w:cs="Segoe UI"/>
      <w:sz w:val="18"/>
      <w:szCs w:val="18"/>
    </w:rPr>
  </w:style>
  <w:style w:type="character" w:customStyle="1" w:styleId="UnresolvedMention1">
    <w:name w:val="Unresolved Mention1"/>
    <w:basedOn w:val="DefaultParagraphFont"/>
    <w:uiPriority w:val="99"/>
    <w:semiHidden/>
    <w:unhideWhenUsed/>
    <w:rsid w:val="00DC3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8" ma:contentTypeDescription="Create a new document." ma:contentTypeScope="" ma:versionID="05668371e81e47df0a1c4011d5d32ef7">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b8447748b2eb2a0cbbb0d339fa42c005"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C78AD-1D62-452B-9033-930457893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ED8E86-4F67-49B8-927F-DC1371FF2ED3}">
  <ds:schemaRefs>
    <ds:schemaRef ds:uri="http://schemas.microsoft.com/sharepoint/v3/contenttype/forms"/>
  </ds:schemaRefs>
</ds:datastoreItem>
</file>

<file path=customXml/itemProps3.xml><?xml version="1.0" encoding="utf-8"?>
<ds:datastoreItem xmlns:ds="http://schemas.openxmlformats.org/officeDocument/2006/customXml" ds:itemID="{B9080A50-56C4-49FF-B8BB-C073D505CBBE}">
  <ds:schemaRefs>
    <ds:schemaRef ds:uri="82ccd615-6f1a-4bf3-bc59-e430298c7372"/>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http://schemas.openxmlformats.org/package/2006/metadata/core-properties"/>
    <ds:schemaRef ds:uri="38c213d5-66ed-49da-86b1-50afd15ab056"/>
    <ds:schemaRef ds:uri="http://www.w3.org/XML/1998/namespace"/>
    <ds:schemaRef ds:uri="http://purl.org/dc/dcmitype/"/>
  </ds:schemaRefs>
</ds:datastoreItem>
</file>

<file path=customXml/itemProps4.xml><?xml version="1.0" encoding="utf-8"?>
<ds:datastoreItem xmlns:ds="http://schemas.openxmlformats.org/officeDocument/2006/customXml" ds:itemID="{ED179546-7434-4120-89CE-627E4F872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