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0F52" w:rsidRPr="000D218A" w:rsidP="000D218A">
      <w:pPr>
        <w:rPr>
          <w:rFonts w:ascii="Verdana" w:hAnsi="Verdana"/>
          <w:b/>
          <w:bCs/>
          <w:sz w:val="28"/>
          <w:szCs w:val="28"/>
        </w:rPr>
      </w:pPr>
      <w:r w:rsidRPr="000D218A">
        <w:rPr>
          <w:rFonts w:ascii="Verdana" w:hAnsi="Verdana"/>
          <w:b/>
          <w:bCs/>
          <w:sz w:val="28"/>
          <w:szCs w:val="28"/>
        </w:rPr>
        <w:t xml:space="preserve">Dr Enrico </w:t>
      </w:r>
      <w:r w:rsidRPr="000D218A">
        <w:rPr>
          <w:rFonts w:ascii="Verdana" w:hAnsi="Verdana"/>
          <w:b/>
          <w:bCs/>
          <w:sz w:val="28"/>
          <w:szCs w:val="28"/>
        </w:rPr>
        <w:t>Vanino</w:t>
      </w:r>
      <w:r w:rsidRPr="000D218A">
        <w:rPr>
          <w:rFonts w:ascii="Verdana" w:hAnsi="Verdana"/>
          <w:b/>
          <w:bCs/>
          <w:sz w:val="28"/>
          <w:szCs w:val="28"/>
        </w:rPr>
        <w:t xml:space="preserve">, Professor Jun Du and Dr Mustapha </w:t>
      </w:r>
      <w:r w:rsidRPr="000D218A">
        <w:rPr>
          <w:rFonts w:ascii="Verdana" w:hAnsi="Verdana"/>
          <w:b/>
          <w:bCs/>
          <w:sz w:val="28"/>
          <w:szCs w:val="28"/>
        </w:rPr>
        <w:t>Douch</w:t>
      </w:r>
      <w:r w:rsidRPr="000D218A">
        <w:rPr>
          <w:rFonts w:ascii="Verdana" w:hAnsi="Verdana"/>
          <w:b/>
          <w:bCs/>
          <w:sz w:val="28"/>
          <w:szCs w:val="28"/>
        </w:rPr>
        <w:t xml:space="preserve"> – Written Evidence (TIG0008)</w:t>
      </w:r>
    </w:p>
    <w:p w:rsidR="00EB4E22" w:rsidP="003816E2">
      <w:pPr>
        <w:jc w:val="both"/>
      </w:pPr>
    </w:p>
    <w:p w:rsidR="00EB4E22" w:rsidRPr="000D218A" w:rsidP="000D218A">
      <w:pPr>
        <w:rPr>
          <w:rFonts w:ascii="Verdana" w:hAnsi="Verdana"/>
          <w:b/>
          <w:sz w:val="22"/>
          <w:szCs w:val="22"/>
        </w:rPr>
      </w:pPr>
      <w:r w:rsidRPr="000D218A">
        <w:rPr>
          <w:rFonts w:ascii="Verdana" w:hAnsi="Verdana"/>
          <w:b/>
          <w:sz w:val="22"/>
          <w:szCs w:val="22"/>
        </w:rPr>
        <w:t>Background</w:t>
      </w:r>
    </w:p>
    <w:p w:rsidR="000A4422" w:rsidRPr="000D218A" w:rsidP="000D218A">
      <w:pPr>
        <w:rPr>
          <w:rFonts w:ascii="Verdana" w:hAnsi="Verdana"/>
          <w:sz w:val="22"/>
          <w:szCs w:val="22"/>
        </w:rPr>
      </w:pPr>
      <w:r w:rsidRPr="000D218A">
        <w:rPr>
          <w:rFonts w:ascii="Verdana" w:hAnsi="Verdana"/>
          <w:sz w:val="22"/>
          <w:szCs w:val="22"/>
        </w:rPr>
        <w:t xml:space="preserve">The conclusion of the UK-EU </w:t>
      </w:r>
      <w:r w:rsidRPr="000D218A">
        <w:rPr>
          <w:rFonts w:ascii="Verdana" w:hAnsi="Verdana"/>
          <w:sz w:val="22"/>
          <w:szCs w:val="22"/>
        </w:rPr>
        <w:t>Trade and Cooperation Agreement (</w:t>
      </w:r>
      <w:r w:rsidRPr="000D218A">
        <w:rPr>
          <w:rFonts w:ascii="Verdana" w:hAnsi="Verdana"/>
          <w:sz w:val="22"/>
          <w:szCs w:val="22"/>
        </w:rPr>
        <w:t>TCA</w:t>
      </w:r>
      <w:r w:rsidRPr="000D218A">
        <w:rPr>
          <w:rFonts w:ascii="Verdana" w:hAnsi="Verdana"/>
          <w:sz w:val="22"/>
          <w:szCs w:val="22"/>
        </w:rPr>
        <w:t>)</w:t>
      </w:r>
      <w:r w:rsidRPr="000D218A">
        <w:rPr>
          <w:rFonts w:ascii="Verdana" w:hAnsi="Verdana"/>
          <w:sz w:val="22"/>
          <w:szCs w:val="22"/>
        </w:rPr>
        <w:t xml:space="preserve"> a</w:t>
      </w:r>
      <w:r w:rsidRPr="000D218A">
        <w:rPr>
          <w:rFonts w:ascii="Verdana" w:hAnsi="Verdana"/>
          <w:sz w:val="22"/>
          <w:szCs w:val="22"/>
        </w:rPr>
        <w:t>t</w:t>
      </w:r>
      <w:r w:rsidRPr="000D218A">
        <w:rPr>
          <w:rFonts w:ascii="Verdana" w:hAnsi="Verdana"/>
          <w:sz w:val="22"/>
          <w:szCs w:val="22"/>
        </w:rPr>
        <w:t xml:space="preserve"> the end of 2020 avoided the imposition of tariffs on goods traded between the EU and the UK</w:t>
      </w:r>
      <w:r w:rsidRPr="000D218A">
        <w:rPr>
          <w:rFonts w:ascii="Verdana" w:hAnsi="Verdana"/>
          <w:sz w:val="22"/>
          <w:szCs w:val="22"/>
        </w:rPr>
        <w:t>.</w:t>
      </w:r>
      <w:r w:rsidRPr="000D218A">
        <w:rPr>
          <w:rFonts w:ascii="Verdana" w:hAnsi="Verdana"/>
          <w:sz w:val="22"/>
          <w:szCs w:val="22"/>
        </w:rPr>
        <w:t xml:space="preserve"> </w:t>
      </w:r>
      <w:r w:rsidRPr="000D218A">
        <w:rPr>
          <w:rFonts w:ascii="Verdana" w:hAnsi="Verdana"/>
          <w:sz w:val="22"/>
          <w:szCs w:val="22"/>
        </w:rPr>
        <w:t>H</w:t>
      </w:r>
      <w:r w:rsidRPr="000D218A">
        <w:rPr>
          <w:rFonts w:ascii="Verdana" w:hAnsi="Verdana"/>
          <w:sz w:val="22"/>
          <w:szCs w:val="22"/>
        </w:rPr>
        <w:t>owever, it has led to the introduction of a series of new n</w:t>
      </w:r>
      <w:r w:rsidRPr="000D218A">
        <w:rPr>
          <w:rFonts w:ascii="Verdana" w:hAnsi="Verdana"/>
          <w:sz w:val="22"/>
          <w:szCs w:val="22"/>
        </w:rPr>
        <w:t xml:space="preserve">on-tariff barriers </w:t>
      </w:r>
      <w:r w:rsidRPr="000D218A">
        <w:rPr>
          <w:rFonts w:ascii="Verdana" w:hAnsi="Verdana"/>
          <w:sz w:val="22"/>
          <w:szCs w:val="22"/>
        </w:rPr>
        <w:t xml:space="preserve">(NTBs) </w:t>
      </w:r>
      <w:r w:rsidRPr="000D218A">
        <w:rPr>
          <w:rFonts w:ascii="Verdana" w:hAnsi="Verdana"/>
          <w:sz w:val="22"/>
          <w:szCs w:val="22"/>
        </w:rPr>
        <w:t xml:space="preserve">to trade, </w:t>
      </w:r>
      <w:r w:rsidRPr="000D218A">
        <w:rPr>
          <w:rFonts w:ascii="Verdana" w:hAnsi="Verdana"/>
          <w:sz w:val="22"/>
          <w:szCs w:val="22"/>
        </w:rPr>
        <w:t xml:space="preserve">especially </w:t>
      </w:r>
      <w:r w:rsidRPr="000D218A">
        <w:rPr>
          <w:rFonts w:ascii="Verdana" w:hAnsi="Verdana"/>
          <w:sz w:val="22"/>
          <w:szCs w:val="22"/>
        </w:rPr>
        <w:t xml:space="preserve">checks and controls on goods crossing the GB-EU border. </w:t>
      </w:r>
      <w:r w:rsidRPr="000D218A">
        <w:rPr>
          <w:rFonts w:ascii="Verdana" w:hAnsi="Verdana"/>
          <w:sz w:val="22"/>
          <w:szCs w:val="22"/>
        </w:rPr>
        <w:t>The EU introduced full import controls from January 2021, while t</w:t>
      </w:r>
      <w:r w:rsidRPr="000D218A">
        <w:rPr>
          <w:rFonts w:ascii="Verdana" w:hAnsi="Verdana"/>
          <w:sz w:val="22"/>
          <w:szCs w:val="22"/>
        </w:rPr>
        <w:t>he UK adopted a phased approach to the introduction of checks and controls on goods impo</w:t>
      </w:r>
      <w:r w:rsidRPr="000D218A">
        <w:rPr>
          <w:rFonts w:ascii="Verdana" w:hAnsi="Verdana"/>
          <w:sz w:val="22"/>
          <w:szCs w:val="22"/>
        </w:rPr>
        <w:t xml:space="preserve">rted from the EU, with several delays and postponements. </w:t>
      </w:r>
      <w:r w:rsidRPr="000D218A">
        <w:rPr>
          <w:rFonts w:ascii="Verdana" w:hAnsi="Verdana"/>
          <w:sz w:val="22"/>
          <w:szCs w:val="22"/>
        </w:rPr>
        <w:t xml:space="preserve">This led </w:t>
      </w:r>
      <w:r w:rsidRPr="000D218A">
        <w:rPr>
          <w:rFonts w:ascii="Verdana" w:hAnsi="Verdana"/>
          <w:sz w:val="22"/>
          <w:szCs w:val="22"/>
        </w:rPr>
        <w:t xml:space="preserve">to an asymmetry between GB exports to the EU and GB imports from the EU, </w:t>
      </w:r>
      <w:r w:rsidRPr="000D218A">
        <w:rPr>
          <w:rFonts w:ascii="Verdana" w:hAnsi="Verdana"/>
          <w:sz w:val="22"/>
          <w:szCs w:val="22"/>
        </w:rPr>
        <w:t xml:space="preserve">causing significant uncertainty among traders regarding the new arrangements under which goods can be traded between </w:t>
      </w:r>
      <w:r w:rsidRPr="000D218A">
        <w:rPr>
          <w:rFonts w:ascii="Verdana" w:hAnsi="Verdana"/>
          <w:sz w:val="22"/>
          <w:szCs w:val="22"/>
        </w:rPr>
        <w:t>the two markets.</w:t>
      </w:r>
      <w:r w:rsidRPr="000D218A">
        <w:rPr>
          <w:rFonts w:ascii="Verdana" w:hAnsi="Verdana"/>
          <w:sz w:val="22"/>
          <w:szCs w:val="22"/>
        </w:rPr>
        <w:t xml:space="preserve"> This is in addition to the already high levels of uncertainty regarding future trade arrangements that firms on both sides of the border had to face since the result of the 2016 referendum, affecting both the decision of firms to enter for</w:t>
      </w:r>
      <w:r w:rsidRPr="000D218A">
        <w:rPr>
          <w:rFonts w:ascii="Verdana" w:hAnsi="Verdana"/>
          <w:sz w:val="22"/>
          <w:szCs w:val="22"/>
        </w:rPr>
        <w:t>eign markets (Crowley et al. 2020), as well as the intensity of trade transactions between the UK and the EU (Douch et al., 202</w:t>
      </w:r>
      <w:r w:rsidRPr="000D218A">
        <w:rPr>
          <w:rFonts w:ascii="Verdana" w:hAnsi="Verdana"/>
          <w:sz w:val="22"/>
          <w:szCs w:val="22"/>
        </w:rPr>
        <w:t>1</w:t>
      </w:r>
      <w:r w:rsidRPr="000D218A">
        <w:rPr>
          <w:rFonts w:ascii="Verdana" w:hAnsi="Verdana"/>
          <w:sz w:val="22"/>
          <w:szCs w:val="22"/>
        </w:rPr>
        <w:t xml:space="preserve">). </w:t>
      </w:r>
      <w:r w:rsidRPr="000D218A">
        <w:rPr>
          <w:rFonts w:ascii="Verdana" w:hAnsi="Verdana"/>
          <w:sz w:val="22"/>
          <w:szCs w:val="22"/>
        </w:rPr>
        <w:t>T</w:t>
      </w:r>
      <w:r w:rsidRPr="000D218A">
        <w:rPr>
          <w:rFonts w:ascii="Verdana" w:hAnsi="Verdana"/>
          <w:sz w:val="22"/>
          <w:szCs w:val="22"/>
        </w:rPr>
        <w:t>his uncertainty has been show</w:t>
      </w:r>
      <w:r w:rsidRPr="000D218A">
        <w:rPr>
          <w:rFonts w:ascii="Verdana" w:hAnsi="Verdana"/>
          <w:sz w:val="22"/>
          <w:szCs w:val="22"/>
        </w:rPr>
        <w:t>n</w:t>
      </w:r>
      <w:r w:rsidRPr="000D218A">
        <w:rPr>
          <w:rFonts w:ascii="Verdana" w:hAnsi="Verdana"/>
          <w:sz w:val="22"/>
          <w:szCs w:val="22"/>
        </w:rPr>
        <w:t xml:space="preserve"> to be starting as early as 2015 general election (Douch et al., 2021). </w:t>
      </w:r>
      <w:r w:rsidRPr="000D218A">
        <w:rPr>
          <w:rFonts w:ascii="Verdana" w:hAnsi="Verdana"/>
          <w:sz w:val="22"/>
          <w:szCs w:val="22"/>
        </w:rPr>
        <w:t xml:space="preserve">However, the negative </w:t>
      </w:r>
      <w:r w:rsidRPr="000D218A">
        <w:rPr>
          <w:rFonts w:ascii="Verdana" w:hAnsi="Verdana"/>
          <w:sz w:val="22"/>
          <w:szCs w:val="22"/>
        </w:rPr>
        <w:t xml:space="preserve">effect of uncertainty on trade in goods have not been homogeneous, badly affecting </w:t>
      </w:r>
      <w:r w:rsidRPr="000D218A">
        <w:rPr>
          <w:rFonts w:ascii="Verdana" w:hAnsi="Verdana"/>
          <w:sz w:val="22"/>
          <w:szCs w:val="22"/>
        </w:rPr>
        <w:t>in particular smaller</w:t>
      </w:r>
      <w:r w:rsidRPr="000D218A">
        <w:rPr>
          <w:rFonts w:ascii="Verdana" w:hAnsi="Verdana"/>
          <w:sz w:val="22"/>
          <w:szCs w:val="22"/>
        </w:rPr>
        <w:t xml:space="preserve"> traders</w:t>
      </w:r>
      <w:r w:rsidRPr="000D218A">
        <w:rPr>
          <w:rFonts w:ascii="Verdana" w:hAnsi="Verdana"/>
          <w:sz w:val="22"/>
          <w:szCs w:val="22"/>
        </w:rPr>
        <w:t xml:space="preserve">, which on average are less productive and lack the resources needed to quickly adjust in response to international shocks. These firms are </w:t>
      </w:r>
      <w:r w:rsidRPr="000D218A">
        <w:rPr>
          <w:rFonts w:ascii="Verdana" w:hAnsi="Verdana"/>
          <w:sz w:val="22"/>
          <w:szCs w:val="22"/>
        </w:rPr>
        <w:t>even</w:t>
      </w:r>
      <w:r w:rsidRPr="000D218A">
        <w:rPr>
          <w:rFonts w:ascii="Verdana" w:hAnsi="Verdana"/>
          <w:sz w:val="22"/>
          <w:szCs w:val="22"/>
        </w:rPr>
        <w:t xml:space="preserve"> </w:t>
      </w:r>
      <w:r w:rsidRPr="000D218A">
        <w:rPr>
          <w:rFonts w:ascii="Verdana" w:hAnsi="Verdana"/>
          <w:sz w:val="22"/>
          <w:szCs w:val="22"/>
        </w:rPr>
        <w:t xml:space="preserve">more exposed to </w:t>
      </w:r>
      <w:r w:rsidRPr="000D218A">
        <w:rPr>
          <w:rFonts w:ascii="Verdana" w:hAnsi="Verdana"/>
          <w:sz w:val="22"/>
          <w:szCs w:val="22"/>
        </w:rPr>
        <w:t xml:space="preserve">Brexit-induced </w:t>
      </w:r>
      <w:r w:rsidRPr="000D218A">
        <w:rPr>
          <w:rFonts w:ascii="Verdana" w:hAnsi="Verdana"/>
          <w:sz w:val="22"/>
          <w:szCs w:val="22"/>
        </w:rPr>
        <w:t xml:space="preserve">trade </w:t>
      </w:r>
      <w:r w:rsidRPr="000D218A">
        <w:rPr>
          <w:rFonts w:ascii="Verdana" w:hAnsi="Verdana"/>
          <w:sz w:val="22"/>
          <w:szCs w:val="22"/>
        </w:rPr>
        <w:t>uncertainty</w:t>
      </w:r>
      <w:r w:rsidRPr="000D218A">
        <w:rPr>
          <w:rFonts w:ascii="Verdana" w:hAnsi="Verdana"/>
          <w:sz w:val="22"/>
          <w:szCs w:val="22"/>
        </w:rPr>
        <w:t>, given their limited basket of traded goods and the</w:t>
      </w:r>
      <w:r w:rsidRPr="000D218A">
        <w:rPr>
          <w:rFonts w:ascii="Verdana" w:hAnsi="Verdana"/>
          <w:sz w:val="22"/>
          <w:szCs w:val="22"/>
        </w:rPr>
        <w:t>ir</w:t>
      </w:r>
      <w:r w:rsidRPr="000D218A">
        <w:rPr>
          <w:rFonts w:ascii="Verdana" w:hAnsi="Verdana"/>
          <w:sz w:val="22"/>
          <w:szCs w:val="22"/>
        </w:rPr>
        <w:t xml:space="preserve"> overreliance on geographically proximate </w:t>
      </w:r>
      <w:r w:rsidRPr="000D218A">
        <w:rPr>
          <w:rFonts w:ascii="Verdana" w:hAnsi="Verdana"/>
          <w:sz w:val="22"/>
          <w:szCs w:val="22"/>
        </w:rPr>
        <w:t xml:space="preserve">EU </w:t>
      </w:r>
      <w:r w:rsidRPr="000D218A">
        <w:rPr>
          <w:rFonts w:ascii="Verdana" w:hAnsi="Verdana"/>
          <w:sz w:val="22"/>
          <w:szCs w:val="22"/>
        </w:rPr>
        <w:t>markets.</w:t>
      </w:r>
      <w:r w:rsidRPr="000D218A">
        <w:rPr>
          <w:rFonts w:ascii="Verdana" w:hAnsi="Verdana"/>
          <w:sz w:val="22"/>
          <w:szCs w:val="22"/>
        </w:rPr>
        <w:t xml:space="preserve"> </w:t>
      </w:r>
    </w:p>
    <w:p w:rsidR="004E2862" w:rsidRPr="000D218A" w:rsidP="000D218A">
      <w:pPr>
        <w:rPr>
          <w:rFonts w:ascii="Verdana" w:hAnsi="Verdana"/>
          <w:sz w:val="22"/>
          <w:szCs w:val="22"/>
        </w:rPr>
      </w:pPr>
    </w:p>
    <w:p w:rsidR="00CD3700" w:rsidRPr="000D218A" w:rsidP="000D218A">
      <w:pPr>
        <w:rPr>
          <w:rFonts w:ascii="Verdana" w:hAnsi="Verdana"/>
          <w:b/>
          <w:sz w:val="22"/>
          <w:szCs w:val="22"/>
        </w:rPr>
      </w:pPr>
      <w:r w:rsidRPr="000D218A">
        <w:rPr>
          <w:rFonts w:ascii="Verdana" w:hAnsi="Verdana"/>
          <w:b/>
          <w:sz w:val="22"/>
          <w:szCs w:val="22"/>
        </w:rPr>
        <w:t>Responses to consultation questions</w:t>
      </w:r>
    </w:p>
    <w:p w:rsidR="004E2862" w:rsidRPr="000D218A" w:rsidP="000D218A">
      <w:pPr>
        <w:rPr>
          <w:rFonts w:ascii="Verdana" w:hAnsi="Verdana"/>
          <w:b/>
          <w:sz w:val="22"/>
          <w:szCs w:val="22"/>
        </w:rPr>
      </w:pPr>
    </w:p>
    <w:p w:rsidR="00EB4E22" w:rsidRPr="000D218A" w:rsidP="000D218A">
      <w:pPr>
        <w:rPr>
          <w:rFonts w:ascii="Verdana" w:hAnsi="Verdana"/>
          <w:sz w:val="22"/>
          <w:szCs w:val="22"/>
        </w:rPr>
      </w:pPr>
      <w:r w:rsidRPr="000D218A">
        <w:rPr>
          <w:rFonts w:ascii="Verdana" w:hAnsi="Verdana"/>
          <w:sz w:val="22"/>
          <w:szCs w:val="22"/>
        </w:rPr>
        <w:t>1. What have been the overall consequences to date of the im</w:t>
      </w:r>
      <w:r w:rsidRPr="000D218A">
        <w:rPr>
          <w:rFonts w:ascii="Verdana" w:hAnsi="Verdana"/>
          <w:sz w:val="22"/>
          <w:szCs w:val="22"/>
        </w:rPr>
        <w:t>plementation of the Trade and Cooperation Agreement and the end of the transition period for GB-EU trade in goods, in the UK’s first year outside the Single Market and Customs Union?</w:t>
      </w:r>
    </w:p>
    <w:p w:rsidR="004E2862" w:rsidRPr="000D218A" w:rsidP="000D218A">
      <w:pPr>
        <w:rPr>
          <w:rFonts w:ascii="Verdana" w:hAnsi="Verdana"/>
          <w:sz w:val="22"/>
          <w:szCs w:val="22"/>
        </w:rPr>
      </w:pPr>
    </w:p>
    <w:p w:rsidR="00C23A6A" w:rsidRPr="000D218A" w:rsidP="000D218A">
      <w:pPr>
        <w:rPr>
          <w:rFonts w:ascii="Verdana" w:hAnsi="Verdana"/>
          <w:i/>
          <w:sz w:val="22"/>
          <w:szCs w:val="22"/>
        </w:rPr>
      </w:pPr>
      <w:r w:rsidRPr="000D218A">
        <w:rPr>
          <w:rFonts w:ascii="Verdana" w:hAnsi="Verdana"/>
          <w:i/>
          <w:sz w:val="22"/>
          <w:szCs w:val="22"/>
        </w:rPr>
        <w:t>Overall effect</w:t>
      </w:r>
    </w:p>
    <w:p w:rsidR="003816E2" w:rsidRPr="000D218A" w:rsidP="000D218A">
      <w:pPr>
        <w:rPr>
          <w:rFonts w:ascii="Verdana" w:hAnsi="Verdana"/>
          <w:sz w:val="22"/>
          <w:szCs w:val="22"/>
        </w:rPr>
      </w:pPr>
      <w:r w:rsidRPr="000D218A">
        <w:rPr>
          <w:rFonts w:ascii="Verdana" w:hAnsi="Verdana"/>
          <w:sz w:val="22"/>
          <w:szCs w:val="22"/>
        </w:rPr>
        <w:t>The implementation of the Trade and Cooperation Agreement for GB-EU trade in goods has finally concluded a period of high uncertainty regarding the new trade arrangements between the EU and the UK. Several studies have shown how trade policy uncertainty co</w:t>
      </w:r>
      <w:r w:rsidRPr="000D218A">
        <w:rPr>
          <w:rFonts w:ascii="Verdana" w:hAnsi="Verdana"/>
          <w:sz w:val="22"/>
          <w:szCs w:val="22"/>
        </w:rPr>
        <w:t xml:space="preserve">uld </w:t>
      </w:r>
      <w:r w:rsidRPr="000D218A">
        <w:rPr>
          <w:rFonts w:ascii="Verdana" w:hAnsi="Verdana"/>
          <w:sz w:val="22"/>
          <w:szCs w:val="22"/>
        </w:rPr>
        <w:t xml:space="preserve">dampen </w:t>
      </w:r>
      <w:r w:rsidRPr="000D218A">
        <w:rPr>
          <w:rFonts w:ascii="Verdana" w:hAnsi="Verdana"/>
          <w:sz w:val="22"/>
          <w:szCs w:val="22"/>
        </w:rPr>
        <w:t>trade</w:t>
      </w:r>
      <w:r w:rsidRPr="000D218A">
        <w:rPr>
          <w:rFonts w:ascii="Verdana" w:hAnsi="Verdana"/>
          <w:sz w:val="22"/>
          <w:szCs w:val="22"/>
        </w:rPr>
        <w:t xml:space="preserve"> flows and the international activities of firms</w:t>
      </w:r>
      <w:r w:rsidRPr="000D218A">
        <w:rPr>
          <w:rFonts w:ascii="Verdana" w:hAnsi="Verdana"/>
          <w:sz w:val="22"/>
          <w:szCs w:val="22"/>
        </w:rPr>
        <w:t xml:space="preserve">, </w:t>
      </w:r>
      <w:r w:rsidRPr="000D218A">
        <w:rPr>
          <w:rFonts w:ascii="Verdana" w:hAnsi="Verdana"/>
          <w:sz w:val="22"/>
          <w:szCs w:val="22"/>
        </w:rPr>
        <w:t>due to the high level of long-term investment required to plan future international transactions</w:t>
      </w:r>
      <w:r w:rsidRPr="000D218A">
        <w:rPr>
          <w:rFonts w:ascii="Verdana" w:hAnsi="Verdana"/>
          <w:sz w:val="22"/>
          <w:szCs w:val="22"/>
        </w:rPr>
        <w:t xml:space="preserve"> and the need to be able to predict future trade regimes </w:t>
      </w:r>
      <w:r w:rsidRPr="000D218A">
        <w:rPr>
          <w:rFonts w:ascii="Verdana" w:hAnsi="Verdana"/>
          <w:sz w:val="22"/>
          <w:szCs w:val="22"/>
        </w:rPr>
        <w:t>(</w:t>
      </w:r>
      <w:r w:rsidRPr="000D218A">
        <w:rPr>
          <w:rFonts w:ascii="Verdana" w:hAnsi="Verdana"/>
          <w:sz w:val="22"/>
          <w:szCs w:val="22"/>
        </w:rPr>
        <w:t>Handley</w:t>
      </w:r>
      <w:r w:rsidRPr="000D218A">
        <w:rPr>
          <w:rFonts w:ascii="Verdana" w:hAnsi="Verdana"/>
          <w:sz w:val="22"/>
          <w:szCs w:val="22"/>
        </w:rPr>
        <w:t xml:space="preserve"> and </w:t>
      </w:r>
      <w:r w:rsidRPr="000D218A">
        <w:rPr>
          <w:rFonts w:ascii="Verdana" w:hAnsi="Verdana"/>
          <w:sz w:val="22"/>
          <w:szCs w:val="22"/>
        </w:rPr>
        <w:t>Lim</w:t>
      </w:r>
      <w:r w:rsidRPr="000D218A">
        <w:rPr>
          <w:rFonts w:ascii="Verdana" w:hAnsi="Verdana"/>
          <w:sz w:val="22"/>
          <w:szCs w:val="22"/>
        </w:rPr>
        <w:t>a</w:t>
      </w:r>
      <w:r w:rsidRPr="000D218A">
        <w:rPr>
          <w:rFonts w:ascii="Verdana" w:hAnsi="Verdana"/>
          <w:sz w:val="22"/>
          <w:szCs w:val="22"/>
        </w:rPr>
        <w:t>o</w:t>
      </w:r>
      <w:r w:rsidRPr="000D218A">
        <w:rPr>
          <w:rFonts w:ascii="Verdana" w:hAnsi="Verdana"/>
          <w:sz w:val="22"/>
          <w:szCs w:val="22"/>
        </w:rPr>
        <w:t>,</w:t>
      </w:r>
      <w:r w:rsidRPr="000D218A">
        <w:rPr>
          <w:rFonts w:ascii="Verdana" w:hAnsi="Verdana"/>
          <w:sz w:val="22"/>
          <w:szCs w:val="22"/>
        </w:rPr>
        <w:t xml:space="preserve"> 2015</w:t>
      </w:r>
      <w:r w:rsidRPr="000D218A">
        <w:rPr>
          <w:rFonts w:ascii="Verdana" w:hAnsi="Verdana"/>
          <w:sz w:val="22"/>
          <w:szCs w:val="22"/>
        </w:rPr>
        <w:t>).</w:t>
      </w:r>
      <w:r w:rsidRPr="000D218A">
        <w:rPr>
          <w:rFonts w:ascii="Verdana" w:hAnsi="Verdana"/>
          <w:sz w:val="22"/>
          <w:szCs w:val="22"/>
        </w:rPr>
        <w:t xml:space="preserve"> </w:t>
      </w:r>
      <w:r w:rsidRPr="000D218A">
        <w:rPr>
          <w:rFonts w:ascii="Verdana" w:hAnsi="Verdana"/>
          <w:sz w:val="22"/>
          <w:szCs w:val="22"/>
        </w:rPr>
        <w:t>This has b</w:t>
      </w:r>
      <w:r w:rsidRPr="000D218A">
        <w:rPr>
          <w:rFonts w:ascii="Verdana" w:hAnsi="Verdana"/>
          <w:sz w:val="22"/>
          <w:szCs w:val="22"/>
        </w:rPr>
        <w:t xml:space="preserve">een shown in the case of Brexit as well, where </w:t>
      </w:r>
      <w:r w:rsidRPr="000D218A">
        <w:rPr>
          <w:rFonts w:ascii="Verdana" w:hAnsi="Verdana"/>
          <w:sz w:val="22"/>
          <w:szCs w:val="22"/>
        </w:rPr>
        <w:t xml:space="preserve">uncertainty </w:t>
      </w:r>
      <w:r w:rsidRPr="000D218A">
        <w:rPr>
          <w:rFonts w:ascii="Verdana" w:hAnsi="Verdana"/>
          <w:sz w:val="22"/>
          <w:szCs w:val="22"/>
        </w:rPr>
        <w:t>regarding the structure of the EU-UK new trade agreement has affected</w:t>
      </w:r>
      <w:r w:rsidRPr="000D218A">
        <w:rPr>
          <w:rFonts w:ascii="Verdana" w:hAnsi="Verdana"/>
          <w:sz w:val="22"/>
          <w:szCs w:val="22"/>
        </w:rPr>
        <w:t xml:space="preserve"> aggregate trade flows </w:t>
      </w:r>
      <w:r w:rsidRPr="000D218A">
        <w:rPr>
          <w:rFonts w:ascii="Verdana" w:hAnsi="Verdana"/>
          <w:sz w:val="22"/>
          <w:szCs w:val="22"/>
        </w:rPr>
        <w:t>and</w:t>
      </w:r>
      <w:r w:rsidRPr="000D218A">
        <w:rPr>
          <w:rFonts w:ascii="Verdana" w:hAnsi="Verdana"/>
          <w:sz w:val="22"/>
          <w:szCs w:val="22"/>
        </w:rPr>
        <w:t xml:space="preserve"> firms' export participation</w:t>
      </w:r>
      <w:r w:rsidRPr="000D218A">
        <w:rPr>
          <w:rFonts w:ascii="Verdana" w:hAnsi="Verdana"/>
          <w:sz w:val="22"/>
          <w:szCs w:val="22"/>
        </w:rPr>
        <w:t xml:space="preserve"> (Graziano et al., 2020; Crowley et al., 2020).</w:t>
      </w:r>
    </w:p>
    <w:p w:rsidR="004E2862" w:rsidRPr="000D218A" w:rsidP="000D218A">
      <w:pPr>
        <w:rPr>
          <w:rFonts w:ascii="Verdana" w:hAnsi="Verdana"/>
          <w:sz w:val="22"/>
          <w:szCs w:val="22"/>
        </w:rPr>
      </w:pPr>
      <w:r w:rsidRPr="000D218A">
        <w:rPr>
          <w:rFonts w:ascii="Verdana" w:hAnsi="Verdana"/>
          <w:sz w:val="22"/>
          <w:szCs w:val="22"/>
        </w:rPr>
        <w:t xml:space="preserve"> </w:t>
      </w:r>
    </w:p>
    <w:p w:rsidR="00540CB6" w:rsidRPr="000D218A" w:rsidP="000D218A">
      <w:pPr>
        <w:rPr>
          <w:rFonts w:ascii="Verdana" w:hAnsi="Verdana"/>
          <w:sz w:val="22"/>
          <w:szCs w:val="22"/>
        </w:rPr>
      </w:pPr>
      <w:r w:rsidRPr="000D218A">
        <w:rPr>
          <w:rFonts w:ascii="Verdana" w:hAnsi="Verdana"/>
          <w:sz w:val="22"/>
          <w:szCs w:val="22"/>
        </w:rPr>
        <w:t xml:space="preserve">Using the UK HM Revenue </w:t>
      </w:r>
      <w:r w:rsidRPr="000D218A">
        <w:rPr>
          <w:rFonts w:ascii="Verdana" w:hAnsi="Verdana"/>
          <w:sz w:val="22"/>
          <w:szCs w:val="22"/>
        </w:rPr>
        <w:t>Customs (HMRC) quarterly trade transaction level data for the population of UK exporters</w:t>
      </w:r>
      <w:r w:rsidRPr="000D218A">
        <w:rPr>
          <w:rFonts w:ascii="Verdana" w:hAnsi="Verdana"/>
          <w:sz w:val="22"/>
          <w:szCs w:val="22"/>
        </w:rPr>
        <w:t>, our research show</w:t>
      </w:r>
      <w:r w:rsidRPr="000D218A">
        <w:rPr>
          <w:rFonts w:ascii="Verdana" w:hAnsi="Verdana"/>
          <w:sz w:val="22"/>
          <w:szCs w:val="22"/>
        </w:rPr>
        <w:t>s</w:t>
      </w:r>
      <w:r w:rsidRPr="000D218A">
        <w:rPr>
          <w:rFonts w:ascii="Verdana" w:hAnsi="Verdana"/>
          <w:sz w:val="22"/>
          <w:szCs w:val="22"/>
        </w:rPr>
        <w:t xml:space="preserve"> how</w:t>
      </w:r>
      <w:r w:rsidRPr="000D218A">
        <w:rPr>
          <w:rFonts w:ascii="Verdana" w:hAnsi="Verdana"/>
          <w:sz w:val="22"/>
          <w:szCs w:val="22"/>
        </w:rPr>
        <w:t xml:space="preserve"> trade policy uncertainty </w:t>
      </w:r>
      <w:r w:rsidRPr="000D218A">
        <w:rPr>
          <w:rFonts w:ascii="Verdana" w:hAnsi="Verdana"/>
          <w:sz w:val="22"/>
          <w:szCs w:val="22"/>
        </w:rPr>
        <w:t>during the Brexit period (2015-201</w:t>
      </w:r>
      <w:r w:rsidRPr="000D218A">
        <w:rPr>
          <w:rFonts w:ascii="Verdana" w:hAnsi="Verdana"/>
          <w:sz w:val="22"/>
          <w:szCs w:val="22"/>
        </w:rPr>
        <w:t>8</w:t>
      </w:r>
      <w:r w:rsidRPr="000D218A">
        <w:rPr>
          <w:rFonts w:ascii="Verdana" w:hAnsi="Verdana"/>
          <w:sz w:val="22"/>
          <w:szCs w:val="22"/>
        </w:rPr>
        <w:t xml:space="preserve">) </w:t>
      </w:r>
      <w:r w:rsidRPr="000D218A">
        <w:rPr>
          <w:rFonts w:ascii="Verdana" w:hAnsi="Verdana"/>
          <w:sz w:val="22"/>
          <w:szCs w:val="22"/>
        </w:rPr>
        <w:t xml:space="preserve">had </w:t>
      </w:r>
      <w:r w:rsidRPr="000D218A">
        <w:rPr>
          <w:rFonts w:ascii="Verdana" w:hAnsi="Verdana"/>
          <w:sz w:val="22"/>
          <w:szCs w:val="22"/>
        </w:rPr>
        <w:t>a</w:t>
      </w:r>
      <w:r w:rsidRPr="000D218A">
        <w:rPr>
          <w:rFonts w:ascii="Verdana" w:hAnsi="Verdana"/>
          <w:sz w:val="22"/>
          <w:szCs w:val="22"/>
        </w:rPr>
        <w:t>n</w:t>
      </w:r>
      <w:r w:rsidRPr="000D218A">
        <w:rPr>
          <w:rFonts w:ascii="Verdana" w:hAnsi="Verdana"/>
          <w:sz w:val="22"/>
          <w:szCs w:val="22"/>
        </w:rPr>
        <w:t xml:space="preserve"> heterogeneous effect </w:t>
      </w:r>
      <w:r w:rsidRPr="000D218A">
        <w:rPr>
          <w:rFonts w:ascii="Verdana" w:hAnsi="Verdana"/>
          <w:sz w:val="22"/>
          <w:szCs w:val="22"/>
        </w:rPr>
        <w:t>on UK exporters of different sizes</w:t>
      </w:r>
      <w:r w:rsidRPr="000D218A">
        <w:rPr>
          <w:rFonts w:ascii="Verdana" w:hAnsi="Verdana"/>
          <w:sz w:val="22"/>
          <w:szCs w:val="22"/>
        </w:rPr>
        <w:t>, negatively affect</w:t>
      </w:r>
      <w:r w:rsidRPr="000D218A">
        <w:rPr>
          <w:rFonts w:ascii="Verdana" w:hAnsi="Verdana"/>
          <w:sz w:val="22"/>
          <w:szCs w:val="22"/>
        </w:rPr>
        <w:t>ing i</w:t>
      </w:r>
      <w:r w:rsidRPr="000D218A">
        <w:rPr>
          <w:rFonts w:ascii="Verdana" w:hAnsi="Verdana"/>
          <w:sz w:val="22"/>
          <w:szCs w:val="22"/>
        </w:rPr>
        <w:t>n particular</w:t>
      </w:r>
      <w:r w:rsidRPr="000D218A">
        <w:rPr>
          <w:rFonts w:ascii="Verdana" w:hAnsi="Verdana"/>
          <w:sz w:val="22"/>
          <w:szCs w:val="22"/>
        </w:rPr>
        <w:t xml:space="preserve"> </w:t>
      </w:r>
      <w:r w:rsidRPr="000D218A">
        <w:rPr>
          <w:rFonts w:ascii="Verdana" w:hAnsi="Verdana"/>
          <w:sz w:val="22"/>
          <w:szCs w:val="22"/>
        </w:rPr>
        <w:t xml:space="preserve">micro exporters, </w:t>
      </w:r>
      <w:r w:rsidRPr="000D218A">
        <w:rPr>
          <w:rFonts w:ascii="Verdana" w:hAnsi="Verdana"/>
          <w:sz w:val="22"/>
          <w:szCs w:val="22"/>
        </w:rPr>
        <w:t>many of which had to cease</w:t>
      </w:r>
      <w:r w:rsidRPr="000D218A">
        <w:rPr>
          <w:rFonts w:ascii="Verdana" w:hAnsi="Verdana"/>
          <w:sz w:val="22"/>
          <w:szCs w:val="22"/>
        </w:rPr>
        <w:t xml:space="preserve"> their exports towards EU markets</w:t>
      </w:r>
      <w:r w:rsidRPr="000D218A">
        <w:rPr>
          <w:rFonts w:ascii="Verdana" w:hAnsi="Verdana"/>
          <w:sz w:val="22"/>
          <w:szCs w:val="22"/>
        </w:rPr>
        <w:t xml:space="preserve"> (Douch </w:t>
      </w:r>
      <w:r w:rsidRPr="000D218A">
        <w:rPr>
          <w:rFonts w:ascii="Verdana" w:hAnsi="Verdana"/>
          <w:sz w:val="22"/>
          <w:szCs w:val="22"/>
        </w:rPr>
        <w:t>et al., 2020)</w:t>
      </w:r>
      <w:r w:rsidRPr="000D218A">
        <w:rPr>
          <w:rFonts w:ascii="Verdana" w:hAnsi="Verdana"/>
          <w:sz w:val="22"/>
          <w:szCs w:val="22"/>
        </w:rPr>
        <w:t xml:space="preserve">. </w:t>
      </w:r>
      <w:r w:rsidRPr="000D218A">
        <w:rPr>
          <w:rFonts w:ascii="Verdana" w:hAnsi="Verdana"/>
          <w:sz w:val="22"/>
          <w:szCs w:val="22"/>
        </w:rPr>
        <w:t>At the same time, uncertainty</w:t>
      </w:r>
      <w:r w:rsidRPr="000D218A">
        <w:rPr>
          <w:rFonts w:ascii="Verdana" w:hAnsi="Verdana"/>
          <w:sz w:val="22"/>
          <w:szCs w:val="22"/>
        </w:rPr>
        <w:t xml:space="preserve"> </w:t>
      </w:r>
      <w:r w:rsidRPr="000D218A">
        <w:rPr>
          <w:rFonts w:ascii="Verdana" w:hAnsi="Verdana"/>
          <w:sz w:val="22"/>
          <w:szCs w:val="22"/>
        </w:rPr>
        <w:t xml:space="preserve">caused </w:t>
      </w:r>
      <w:r w:rsidRPr="000D218A">
        <w:rPr>
          <w:rFonts w:ascii="Verdana" w:hAnsi="Verdana"/>
          <w:sz w:val="22"/>
          <w:szCs w:val="22"/>
        </w:rPr>
        <w:t>trade diversion for small and medium enterprises, significantly reducing exports towards the EU, but a</w:t>
      </w:r>
      <w:r w:rsidRPr="000D218A">
        <w:rPr>
          <w:rFonts w:ascii="Verdana" w:hAnsi="Verdana"/>
          <w:sz w:val="22"/>
          <w:szCs w:val="22"/>
        </w:rPr>
        <w:t xml:space="preserve">t the same time partially replacing these with more exports towards extra-EU markets. On the contrary, larger exporters </w:t>
      </w:r>
      <w:r w:rsidRPr="000D218A">
        <w:rPr>
          <w:rFonts w:ascii="Verdana" w:hAnsi="Verdana"/>
          <w:sz w:val="22"/>
          <w:szCs w:val="22"/>
        </w:rPr>
        <w:t>managed to</w:t>
      </w:r>
      <w:r w:rsidRPr="000D218A">
        <w:rPr>
          <w:rFonts w:ascii="Verdana" w:hAnsi="Verdana"/>
          <w:sz w:val="22"/>
          <w:szCs w:val="22"/>
        </w:rPr>
        <w:t xml:space="preserve"> </w:t>
      </w:r>
      <w:r w:rsidRPr="000D218A">
        <w:rPr>
          <w:rFonts w:ascii="Verdana" w:hAnsi="Verdana"/>
          <w:sz w:val="22"/>
          <w:szCs w:val="22"/>
        </w:rPr>
        <w:t xml:space="preserve">maintain </w:t>
      </w:r>
      <w:r w:rsidRPr="000D218A">
        <w:rPr>
          <w:rFonts w:ascii="Verdana" w:hAnsi="Verdana"/>
          <w:sz w:val="22"/>
          <w:szCs w:val="22"/>
        </w:rPr>
        <w:t>stable trade relationships with EU partners</w:t>
      </w:r>
      <w:r w:rsidRPr="000D218A">
        <w:rPr>
          <w:rFonts w:ascii="Verdana" w:hAnsi="Verdana"/>
          <w:sz w:val="22"/>
          <w:szCs w:val="22"/>
        </w:rPr>
        <w:t>,</w:t>
      </w:r>
      <w:r w:rsidRPr="000D218A">
        <w:rPr>
          <w:rFonts w:ascii="Verdana" w:hAnsi="Verdana"/>
          <w:sz w:val="22"/>
          <w:szCs w:val="22"/>
        </w:rPr>
        <w:t xml:space="preserve"> further exploring extra-EU markets. </w:t>
      </w:r>
      <w:r w:rsidRPr="000D218A">
        <w:rPr>
          <w:rFonts w:ascii="Verdana" w:hAnsi="Verdana"/>
          <w:sz w:val="22"/>
          <w:szCs w:val="22"/>
        </w:rPr>
        <w:t xml:space="preserve">As a consequence, </w:t>
      </w:r>
      <w:r w:rsidRPr="000D218A">
        <w:rPr>
          <w:rFonts w:ascii="Verdana" w:hAnsi="Verdana"/>
          <w:sz w:val="22"/>
          <w:szCs w:val="22"/>
        </w:rPr>
        <w:t>the growth in the</w:t>
      </w:r>
      <w:r w:rsidRPr="000D218A">
        <w:rPr>
          <w:rFonts w:ascii="Verdana" w:hAnsi="Verdana"/>
          <w:sz w:val="22"/>
          <w:szCs w:val="22"/>
        </w:rPr>
        <w:t xml:space="preserve"> number of products exported to EU markets </w:t>
      </w:r>
      <w:r w:rsidRPr="000D218A">
        <w:rPr>
          <w:rFonts w:ascii="Verdana" w:hAnsi="Verdana"/>
          <w:sz w:val="22"/>
          <w:szCs w:val="22"/>
        </w:rPr>
        <w:t>decreased</w:t>
      </w:r>
      <w:r w:rsidRPr="000D218A">
        <w:rPr>
          <w:rFonts w:ascii="Verdana" w:hAnsi="Verdana"/>
          <w:sz w:val="22"/>
          <w:szCs w:val="22"/>
        </w:rPr>
        <w:t xml:space="preserve"> by 2.5% in comparison with extra-EU markets, and the number of </w:t>
      </w:r>
      <w:r w:rsidRPr="000D218A">
        <w:rPr>
          <w:rFonts w:ascii="Verdana" w:hAnsi="Verdana"/>
          <w:sz w:val="22"/>
          <w:szCs w:val="22"/>
        </w:rPr>
        <w:t xml:space="preserve">EU </w:t>
      </w:r>
      <w:r w:rsidRPr="000D218A">
        <w:rPr>
          <w:rFonts w:ascii="Verdana" w:hAnsi="Verdana"/>
          <w:sz w:val="22"/>
          <w:szCs w:val="22"/>
        </w:rPr>
        <w:t>destinations</w:t>
      </w:r>
      <w:r w:rsidRPr="000D218A">
        <w:rPr>
          <w:rFonts w:ascii="Verdana" w:hAnsi="Verdana"/>
          <w:sz w:val="22"/>
          <w:szCs w:val="22"/>
        </w:rPr>
        <w:t xml:space="preserve"> reduced </w:t>
      </w:r>
      <w:r w:rsidRPr="000D218A">
        <w:rPr>
          <w:rFonts w:ascii="Verdana" w:hAnsi="Verdana"/>
          <w:sz w:val="22"/>
          <w:szCs w:val="22"/>
        </w:rPr>
        <w:t>by 2.8%</w:t>
      </w:r>
      <w:r w:rsidRPr="000D218A">
        <w:rPr>
          <w:rFonts w:ascii="Verdana" w:hAnsi="Verdana"/>
          <w:sz w:val="22"/>
          <w:szCs w:val="22"/>
        </w:rPr>
        <w:t xml:space="preserve">, limiting </w:t>
      </w:r>
      <w:r w:rsidRPr="000D218A">
        <w:rPr>
          <w:rFonts w:ascii="Verdana" w:hAnsi="Verdana"/>
          <w:sz w:val="22"/>
          <w:szCs w:val="22"/>
        </w:rPr>
        <w:t xml:space="preserve">as well the </w:t>
      </w:r>
      <w:r w:rsidRPr="000D218A">
        <w:rPr>
          <w:rFonts w:ascii="Verdana" w:hAnsi="Verdana"/>
          <w:sz w:val="22"/>
          <w:szCs w:val="22"/>
        </w:rPr>
        <w:t>introduction of new products</w:t>
      </w:r>
      <w:r w:rsidRPr="000D218A">
        <w:rPr>
          <w:rFonts w:ascii="Verdana" w:hAnsi="Verdana"/>
          <w:sz w:val="22"/>
          <w:szCs w:val="22"/>
        </w:rPr>
        <w:t xml:space="preserve"> to </w:t>
      </w:r>
      <w:r w:rsidRPr="000D218A">
        <w:rPr>
          <w:rFonts w:ascii="Verdana" w:hAnsi="Verdana"/>
          <w:sz w:val="22"/>
          <w:szCs w:val="22"/>
        </w:rPr>
        <w:t xml:space="preserve">new </w:t>
      </w:r>
      <w:r w:rsidRPr="000D218A">
        <w:rPr>
          <w:rFonts w:ascii="Verdana" w:hAnsi="Verdana"/>
          <w:sz w:val="22"/>
          <w:szCs w:val="22"/>
        </w:rPr>
        <w:t xml:space="preserve">EU </w:t>
      </w:r>
      <w:r w:rsidRPr="000D218A">
        <w:rPr>
          <w:rFonts w:ascii="Verdana" w:hAnsi="Verdana"/>
          <w:sz w:val="22"/>
          <w:szCs w:val="22"/>
        </w:rPr>
        <w:t xml:space="preserve">export </w:t>
      </w:r>
      <w:r w:rsidRPr="000D218A">
        <w:rPr>
          <w:rFonts w:ascii="Verdana" w:hAnsi="Verdana"/>
          <w:sz w:val="22"/>
          <w:szCs w:val="22"/>
        </w:rPr>
        <w:t>markets</w:t>
      </w:r>
      <w:r w:rsidRPr="000D218A">
        <w:rPr>
          <w:rFonts w:ascii="Verdana" w:hAnsi="Verdana"/>
          <w:sz w:val="22"/>
          <w:szCs w:val="22"/>
        </w:rPr>
        <w:t xml:space="preserve">. These effects are not homogenous across EU countries. </w:t>
      </w:r>
      <w:r w:rsidRPr="000D218A">
        <w:rPr>
          <w:rFonts w:ascii="Verdana" w:hAnsi="Verdana"/>
          <w:sz w:val="22"/>
          <w:szCs w:val="22"/>
        </w:rPr>
        <w:t xml:space="preserve">Brexit-related policy uncertainty has reduced </w:t>
      </w:r>
      <w:r w:rsidRPr="000D218A">
        <w:rPr>
          <w:rFonts w:ascii="Verdana" w:hAnsi="Verdana"/>
          <w:sz w:val="22"/>
          <w:szCs w:val="22"/>
        </w:rPr>
        <w:t xml:space="preserve">in particular </w:t>
      </w:r>
      <w:r w:rsidRPr="000D218A">
        <w:rPr>
          <w:rFonts w:ascii="Verdana" w:hAnsi="Verdana"/>
          <w:sz w:val="22"/>
          <w:szCs w:val="22"/>
        </w:rPr>
        <w:t>the</w:t>
      </w:r>
      <w:r w:rsidRPr="000D218A">
        <w:rPr>
          <w:rFonts w:ascii="Verdana" w:hAnsi="Verdana"/>
          <w:sz w:val="22"/>
          <w:szCs w:val="22"/>
        </w:rPr>
        <w:t xml:space="preserve"> </w:t>
      </w:r>
      <w:r w:rsidRPr="000D218A">
        <w:rPr>
          <w:rFonts w:ascii="Verdana" w:hAnsi="Verdana"/>
          <w:sz w:val="22"/>
          <w:szCs w:val="22"/>
        </w:rPr>
        <w:t xml:space="preserve">value of UK SMEs </w:t>
      </w:r>
      <w:r w:rsidRPr="000D218A">
        <w:rPr>
          <w:rFonts w:ascii="Verdana" w:hAnsi="Verdana"/>
          <w:sz w:val="22"/>
          <w:szCs w:val="22"/>
        </w:rPr>
        <w:t xml:space="preserve">exports towards specific </w:t>
      </w:r>
      <w:r w:rsidRPr="000D218A">
        <w:rPr>
          <w:rFonts w:ascii="Verdana" w:hAnsi="Verdana"/>
          <w:sz w:val="22"/>
          <w:szCs w:val="22"/>
        </w:rPr>
        <w:t>EU partners, such as France</w:t>
      </w:r>
      <w:r w:rsidRPr="000D218A">
        <w:rPr>
          <w:rFonts w:ascii="Verdana" w:hAnsi="Verdana"/>
          <w:sz w:val="22"/>
          <w:szCs w:val="22"/>
        </w:rPr>
        <w:t xml:space="preserve">, </w:t>
      </w:r>
      <w:r w:rsidRPr="000D218A">
        <w:rPr>
          <w:rFonts w:ascii="Verdana" w:hAnsi="Verdana"/>
          <w:sz w:val="22"/>
          <w:szCs w:val="22"/>
        </w:rPr>
        <w:t>Spain</w:t>
      </w:r>
      <w:r w:rsidRPr="000D218A">
        <w:rPr>
          <w:rFonts w:ascii="Verdana" w:hAnsi="Verdana"/>
          <w:sz w:val="22"/>
          <w:szCs w:val="22"/>
        </w:rPr>
        <w:t xml:space="preserve"> </w:t>
      </w:r>
      <w:r w:rsidRPr="000D218A">
        <w:rPr>
          <w:rFonts w:ascii="Verdana" w:hAnsi="Verdana"/>
          <w:sz w:val="22"/>
          <w:szCs w:val="22"/>
        </w:rPr>
        <w:t>and Portugal, and many Central and Eastern European countri</w:t>
      </w:r>
      <w:r w:rsidRPr="000D218A">
        <w:rPr>
          <w:rFonts w:ascii="Verdana" w:hAnsi="Verdana"/>
          <w:sz w:val="22"/>
          <w:szCs w:val="22"/>
        </w:rPr>
        <w:t>es</w:t>
      </w:r>
      <w:r w:rsidRPr="000D218A">
        <w:rPr>
          <w:rFonts w:ascii="Verdana" w:hAnsi="Verdana"/>
          <w:sz w:val="22"/>
          <w:szCs w:val="22"/>
        </w:rPr>
        <w:t xml:space="preserve"> </w:t>
      </w:r>
      <w:r w:rsidRPr="000D218A">
        <w:rPr>
          <w:rFonts w:ascii="Verdana" w:hAnsi="Verdana"/>
          <w:sz w:val="22"/>
          <w:szCs w:val="22"/>
        </w:rPr>
        <w:t>(Douch and Du and Vanino, 2020)</w:t>
      </w:r>
      <w:r w:rsidRPr="000D218A">
        <w:rPr>
          <w:rFonts w:ascii="Verdana" w:hAnsi="Verdana"/>
          <w:sz w:val="22"/>
          <w:szCs w:val="22"/>
        </w:rPr>
        <w:t>.</w:t>
      </w:r>
      <w:r w:rsidRPr="000D218A">
        <w:rPr>
          <w:rFonts w:ascii="Verdana" w:hAnsi="Verdana"/>
          <w:sz w:val="22"/>
          <w:szCs w:val="22"/>
        </w:rPr>
        <w:t xml:space="preserve"> </w:t>
      </w:r>
      <w:r w:rsidRPr="000D218A">
        <w:rPr>
          <w:rFonts w:ascii="Verdana" w:hAnsi="Verdana"/>
          <w:sz w:val="22"/>
          <w:szCs w:val="22"/>
        </w:rPr>
        <w:t xml:space="preserve">The </w:t>
      </w:r>
      <w:r w:rsidRPr="000D218A">
        <w:rPr>
          <w:rFonts w:ascii="Verdana" w:hAnsi="Verdana"/>
          <w:sz w:val="22"/>
          <w:szCs w:val="22"/>
        </w:rPr>
        <w:t>significant</w:t>
      </w:r>
      <w:r w:rsidRPr="000D218A">
        <w:rPr>
          <w:rFonts w:ascii="Verdana" w:hAnsi="Verdana"/>
          <w:sz w:val="22"/>
          <w:szCs w:val="22"/>
        </w:rPr>
        <w:t xml:space="preserve"> negative impact on smaller exporters </w:t>
      </w:r>
      <w:r w:rsidRPr="000D218A">
        <w:rPr>
          <w:rFonts w:ascii="Verdana" w:hAnsi="Verdana"/>
          <w:sz w:val="22"/>
          <w:szCs w:val="22"/>
        </w:rPr>
        <w:t>is particularly relevant, given that even if smaller exporters account for only a third of the UK total value of exports, they represent more than 95% of the total num</w:t>
      </w:r>
      <w:r w:rsidRPr="000D218A">
        <w:rPr>
          <w:rFonts w:ascii="Verdana" w:hAnsi="Verdana"/>
          <w:sz w:val="22"/>
          <w:szCs w:val="22"/>
        </w:rPr>
        <w:t xml:space="preserve">ber of exporters in the UK, employing about 2.5 million workers </w:t>
      </w:r>
      <w:r w:rsidRPr="000D218A">
        <w:rPr>
          <w:rFonts w:ascii="Verdana" w:hAnsi="Verdana"/>
          <w:sz w:val="22"/>
          <w:szCs w:val="22"/>
        </w:rPr>
        <w:t xml:space="preserve">(HMRC, </w:t>
      </w:r>
      <w:r w:rsidRPr="000D218A">
        <w:rPr>
          <w:rFonts w:ascii="Verdana" w:hAnsi="Verdana"/>
          <w:sz w:val="22"/>
          <w:szCs w:val="22"/>
        </w:rPr>
        <w:t>2020</w:t>
      </w:r>
      <w:r w:rsidRPr="000D218A">
        <w:rPr>
          <w:rFonts w:ascii="Verdana" w:hAnsi="Verdana"/>
          <w:sz w:val="22"/>
          <w:szCs w:val="22"/>
        </w:rPr>
        <w:t>)</w:t>
      </w:r>
      <w:r w:rsidRPr="000D218A">
        <w:rPr>
          <w:rFonts w:ascii="Verdana" w:hAnsi="Verdana"/>
          <w:sz w:val="22"/>
          <w:szCs w:val="22"/>
        </w:rPr>
        <w:t>.</w:t>
      </w:r>
      <w:r w:rsidRPr="000D218A">
        <w:rPr>
          <w:rFonts w:ascii="Verdana" w:hAnsi="Verdana"/>
          <w:sz w:val="22"/>
          <w:szCs w:val="22"/>
        </w:rPr>
        <w:t xml:space="preserve"> </w:t>
      </w:r>
    </w:p>
    <w:p w:rsidR="00B54FD4" w:rsidRPr="000D218A" w:rsidP="000D218A">
      <w:pPr>
        <w:rPr>
          <w:rFonts w:ascii="Verdana" w:hAnsi="Verdana"/>
          <w:sz w:val="22"/>
          <w:szCs w:val="22"/>
        </w:rPr>
      </w:pPr>
    </w:p>
    <w:p w:rsidR="00C23A6A" w:rsidRPr="000D218A" w:rsidP="000D218A">
      <w:pPr>
        <w:rPr>
          <w:rFonts w:ascii="Verdana" w:hAnsi="Verdana"/>
          <w:i/>
          <w:sz w:val="22"/>
          <w:szCs w:val="22"/>
        </w:rPr>
      </w:pPr>
      <w:r w:rsidRPr="000D218A">
        <w:rPr>
          <w:rFonts w:ascii="Verdana" w:hAnsi="Verdana"/>
          <w:i/>
          <w:sz w:val="22"/>
          <w:szCs w:val="22"/>
        </w:rPr>
        <w:t>Traders of different size</w:t>
      </w:r>
    </w:p>
    <w:p w:rsidR="00EB4E22" w:rsidRPr="000D218A" w:rsidP="000D218A">
      <w:pPr>
        <w:rPr>
          <w:rFonts w:ascii="Verdana" w:hAnsi="Verdana"/>
          <w:sz w:val="22"/>
          <w:szCs w:val="22"/>
        </w:rPr>
      </w:pPr>
      <w:r w:rsidRPr="000D218A">
        <w:rPr>
          <w:rFonts w:ascii="Verdana" w:hAnsi="Verdana"/>
          <w:sz w:val="22"/>
          <w:szCs w:val="22"/>
        </w:rPr>
        <w:t xml:space="preserve">These heterogeneous effects </w:t>
      </w:r>
      <w:r w:rsidRPr="000D218A">
        <w:rPr>
          <w:rFonts w:ascii="Verdana" w:hAnsi="Verdana"/>
          <w:sz w:val="22"/>
          <w:szCs w:val="22"/>
        </w:rPr>
        <w:t xml:space="preserve">of the policy uncertainty </w:t>
      </w:r>
      <w:r w:rsidRPr="000D218A">
        <w:rPr>
          <w:rFonts w:ascii="Verdana" w:hAnsi="Verdana"/>
          <w:sz w:val="22"/>
          <w:szCs w:val="22"/>
        </w:rPr>
        <w:t>are</w:t>
      </w:r>
      <w:r w:rsidRPr="000D218A">
        <w:rPr>
          <w:rFonts w:ascii="Verdana" w:hAnsi="Verdana"/>
          <w:sz w:val="22"/>
          <w:szCs w:val="22"/>
        </w:rPr>
        <w:t xml:space="preserve"> </w:t>
      </w:r>
      <w:r w:rsidRPr="000D218A">
        <w:rPr>
          <w:rFonts w:ascii="Verdana" w:hAnsi="Verdana"/>
          <w:sz w:val="22"/>
          <w:szCs w:val="22"/>
        </w:rPr>
        <w:t xml:space="preserve">explained by </w:t>
      </w:r>
      <w:r w:rsidRPr="000D218A">
        <w:rPr>
          <w:rFonts w:ascii="Verdana" w:hAnsi="Verdana"/>
          <w:sz w:val="22"/>
          <w:szCs w:val="22"/>
        </w:rPr>
        <w:t xml:space="preserve">the </w:t>
      </w:r>
      <w:r w:rsidRPr="000D218A">
        <w:rPr>
          <w:rFonts w:ascii="Verdana" w:hAnsi="Verdana"/>
          <w:sz w:val="22"/>
          <w:szCs w:val="22"/>
        </w:rPr>
        <w:t>traders</w:t>
      </w:r>
      <w:r w:rsidRPr="000D218A">
        <w:rPr>
          <w:rFonts w:ascii="Verdana" w:hAnsi="Verdana"/>
          <w:sz w:val="22"/>
          <w:szCs w:val="22"/>
        </w:rPr>
        <w:t xml:space="preserve"> likelihood of exporting</w:t>
      </w:r>
      <w:r w:rsidRPr="000D218A">
        <w:rPr>
          <w:rFonts w:ascii="Verdana" w:hAnsi="Verdana"/>
          <w:sz w:val="22"/>
          <w:szCs w:val="22"/>
        </w:rPr>
        <w:t xml:space="preserve"> </w:t>
      </w:r>
      <w:r w:rsidRPr="000D218A">
        <w:rPr>
          <w:rFonts w:ascii="Verdana" w:hAnsi="Verdana"/>
          <w:sz w:val="22"/>
          <w:szCs w:val="22"/>
        </w:rPr>
        <w:t xml:space="preserve">products that </w:t>
      </w:r>
      <w:r w:rsidRPr="000D218A">
        <w:rPr>
          <w:rFonts w:ascii="Verdana" w:hAnsi="Verdana"/>
          <w:sz w:val="22"/>
          <w:szCs w:val="22"/>
        </w:rPr>
        <w:t>c</w:t>
      </w:r>
      <w:r w:rsidRPr="000D218A">
        <w:rPr>
          <w:rFonts w:ascii="Verdana" w:hAnsi="Verdana"/>
          <w:sz w:val="22"/>
          <w:szCs w:val="22"/>
        </w:rPr>
        <w:t xml:space="preserve">ould </w:t>
      </w:r>
      <w:r w:rsidRPr="000D218A">
        <w:rPr>
          <w:rFonts w:ascii="Verdana" w:hAnsi="Verdana"/>
          <w:sz w:val="22"/>
          <w:szCs w:val="22"/>
        </w:rPr>
        <w:t xml:space="preserve">have </w:t>
      </w:r>
      <w:r w:rsidRPr="000D218A">
        <w:rPr>
          <w:rFonts w:ascii="Verdana" w:hAnsi="Verdana"/>
          <w:sz w:val="22"/>
          <w:szCs w:val="22"/>
        </w:rPr>
        <w:t>face</w:t>
      </w:r>
      <w:r w:rsidRPr="000D218A">
        <w:rPr>
          <w:rFonts w:ascii="Verdana" w:hAnsi="Verdana"/>
          <w:sz w:val="22"/>
          <w:szCs w:val="22"/>
        </w:rPr>
        <w:t>d</w:t>
      </w:r>
      <w:r w:rsidRPr="000D218A">
        <w:rPr>
          <w:rFonts w:ascii="Verdana" w:hAnsi="Verdana"/>
          <w:sz w:val="22"/>
          <w:szCs w:val="22"/>
        </w:rPr>
        <w:t xml:space="preserve"> an increase </w:t>
      </w:r>
      <w:r w:rsidRPr="000D218A">
        <w:rPr>
          <w:rFonts w:ascii="Verdana" w:hAnsi="Verdana"/>
          <w:sz w:val="22"/>
          <w:szCs w:val="22"/>
        </w:rPr>
        <w:t xml:space="preserve">in tariffs under a </w:t>
      </w:r>
      <w:r w:rsidRPr="000D218A">
        <w:rPr>
          <w:rFonts w:ascii="Verdana" w:hAnsi="Verdana"/>
          <w:sz w:val="22"/>
          <w:szCs w:val="22"/>
        </w:rPr>
        <w:t>“</w:t>
      </w:r>
      <w:r w:rsidRPr="000D218A">
        <w:rPr>
          <w:rFonts w:ascii="Verdana" w:hAnsi="Verdana"/>
          <w:sz w:val="22"/>
          <w:szCs w:val="22"/>
        </w:rPr>
        <w:t>no-deal</w:t>
      </w:r>
      <w:r w:rsidRPr="000D218A">
        <w:rPr>
          <w:rFonts w:ascii="Verdana" w:hAnsi="Verdana"/>
          <w:sz w:val="22"/>
          <w:szCs w:val="22"/>
        </w:rPr>
        <w:t>”</w:t>
      </w:r>
      <w:r w:rsidRPr="000D218A">
        <w:rPr>
          <w:rFonts w:ascii="Verdana" w:hAnsi="Verdana"/>
          <w:sz w:val="22"/>
          <w:szCs w:val="22"/>
        </w:rPr>
        <w:t xml:space="preserve"> scenario, moving from a zero tariff to a most-favoured nation (MFN) duty</w:t>
      </w:r>
      <w:r w:rsidRPr="000D218A">
        <w:rPr>
          <w:rFonts w:ascii="Verdana" w:hAnsi="Verdana"/>
          <w:sz w:val="22"/>
          <w:szCs w:val="22"/>
        </w:rPr>
        <w:t xml:space="preserve">. These products include </w:t>
      </w:r>
      <w:r w:rsidRPr="000D218A">
        <w:rPr>
          <w:rFonts w:ascii="Verdana" w:hAnsi="Verdana"/>
          <w:sz w:val="22"/>
          <w:szCs w:val="22"/>
        </w:rPr>
        <w:t xml:space="preserve">in particular </w:t>
      </w:r>
      <w:r w:rsidRPr="000D218A">
        <w:rPr>
          <w:rFonts w:ascii="Verdana" w:hAnsi="Verdana"/>
          <w:sz w:val="22"/>
          <w:szCs w:val="22"/>
        </w:rPr>
        <w:t>agricultural</w:t>
      </w:r>
      <w:r w:rsidRPr="000D218A">
        <w:rPr>
          <w:rFonts w:ascii="Verdana" w:hAnsi="Verdana"/>
          <w:sz w:val="22"/>
          <w:szCs w:val="22"/>
        </w:rPr>
        <w:t xml:space="preserve"> </w:t>
      </w:r>
      <w:r w:rsidRPr="000D218A">
        <w:rPr>
          <w:rFonts w:ascii="Verdana" w:hAnsi="Verdana"/>
          <w:sz w:val="22"/>
          <w:szCs w:val="22"/>
        </w:rPr>
        <w:t>goods</w:t>
      </w:r>
      <w:r w:rsidRPr="000D218A">
        <w:rPr>
          <w:rFonts w:ascii="Verdana" w:hAnsi="Verdana"/>
          <w:sz w:val="22"/>
          <w:szCs w:val="22"/>
        </w:rPr>
        <w:t>, chemicals, textiles and transport equipment. This translates into a larger negative effect of tr</w:t>
      </w:r>
      <w:r w:rsidRPr="000D218A">
        <w:rPr>
          <w:rFonts w:ascii="Verdana" w:hAnsi="Verdana"/>
          <w:sz w:val="22"/>
          <w:szCs w:val="22"/>
        </w:rPr>
        <w:t xml:space="preserve">ade policy uncertainty </w:t>
      </w:r>
      <w:r w:rsidRPr="000D218A">
        <w:rPr>
          <w:rFonts w:ascii="Verdana" w:hAnsi="Verdana"/>
          <w:sz w:val="22"/>
          <w:szCs w:val="22"/>
        </w:rPr>
        <w:t>for</w:t>
      </w:r>
      <w:r w:rsidRPr="000D218A">
        <w:rPr>
          <w:rFonts w:ascii="Verdana" w:hAnsi="Verdana"/>
          <w:sz w:val="22"/>
          <w:szCs w:val="22"/>
        </w:rPr>
        <w:t xml:space="preserve"> micro and small exporters, which clustered most of their limited </w:t>
      </w:r>
      <w:r w:rsidRPr="000D218A">
        <w:rPr>
          <w:rFonts w:ascii="Verdana" w:hAnsi="Verdana"/>
          <w:sz w:val="22"/>
          <w:szCs w:val="22"/>
        </w:rPr>
        <w:t>products</w:t>
      </w:r>
      <w:r w:rsidRPr="000D218A">
        <w:rPr>
          <w:rFonts w:ascii="Verdana" w:hAnsi="Verdana"/>
          <w:sz w:val="22"/>
          <w:szCs w:val="22"/>
        </w:rPr>
        <w:t xml:space="preserve"> baskets in the exports of products potentially facing higher trade barriers. </w:t>
      </w:r>
      <w:r w:rsidRPr="000D218A">
        <w:rPr>
          <w:rFonts w:ascii="Verdana" w:hAnsi="Verdana"/>
          <w:sz w:val="22"/>
          <w:szCs w:val="22"/>
        </w:rPr>
        <w:t>This has led in the post-referendum period to t</w:t>
      </w:r>
      <w:r w:rsidRPr="000D218A">
        <w:rPr>
          <w:rFonts w:ascii="Verdana" w:hAnsi="Verdana"/>
          <w:sz w:val="22"/>
          <w:szCs w:val="22"/>
        </w:rPr>
        <w:t>otal export values growth</w:t>
      </w:r>
      <w:r w:rsidRPr="000D218A">
        <w:rPr>
          <w:rFonts w:ascii="Verdana" w:hAnsi="Verdana"/>
          <w:sz w:val="22"/>
          <w:szCs w:val="22"/>
        </w:rPr>
        <w:t xml:space="preserve"> </w:t>
      </w:r>
      <w:r w:rsidRPr="000D218A">
        <w:rPr>
          <w:rFonts w:ascii="Verdana" w:hAnsi="Verdana"/>
          <w:sz w:val="22"/>
          <w:szCs w:val="22"/>
        </w:rPr>
        <w:t>for m</w:t>
      </w:r>
      <w:r w:rsidRPr="000D218A">
        <w:rPr>
          <w:rFonts w:ascii="Verdana" w:hAnsi="Verdana"/>
          <w:sz w:val="22"/>
          <w:szCs w:val="22"/>
        </w:rPr>
        <w:t xml:space="preserve">icro and small </w:t>
      </w:r>
      <w:r w:rsidRPr="000D218A">
        <w:rPr>
          <w:rFonts w:ascii="Verdana" w:hAnsi="Verdana"/>
          <w:sz w:val="22"/>
          <w:szCs w:val="22"/>
        </w:rPr>
        <w:t>fi</w:t>
      </w:r>
      <w:r w:rsidRPr="000D218A">
        <w:rPr>
          <w:rFonts w:ascii="Verdana" w:hAnsi="Verdana"/>
          <w:sz w:val="22"/>
          <w:szCs w:val="22"/>
        </w:rPr>
        <w:t xml:space="preserve">rms </w:t>
      </w:r>
      <w:r w:rsidRPr="000D218A">
        <w:rPr>
          <w:rFonts w:ascii="Verdana" w:hAnsi="Verdana"/>
          <w:sz w:val="22"/>
          <w:szCs w:val="22"/>
        </w:rPr>
        <w:t>to</w:t>
      </w:r>
      <w:r w:rsidRPr="000D218A">
        <w:rPr>
          <w:rFonts w:ascii="Verdana" w:hAnsi="Verdana"/>
          <w:sz w:val="22"/>
          <w:szCs w:val="22"/>
        </w:rPr>
        <w:t xml:space="preserve"> decrease by 45% and 19% respectively, while medium</w:t>
      </w:r>
      <w:r w:rsidRPr="000D218A">
        <w:rPr>
          <w:rFonts w:ascii="Verdana" w:hAnsi="Verdana"/>
          <w:sz w:val="22"/>
          <w:szCs w:val="22"/>
        </w:rPr>
        <w:t xml:space="preserve"> </w:t>
      </w:r>
      <w:r w:rsidRPr="000D218A">
        <w:rPr>
          <w:rFonts w:ascii="Verdana" w:hAnsi="Verdana"/>
          <w:sz w:val="22"/>
          <w:szCs w:val="22"/>
        </w:rPr>
        <w:t>exporters have experienced a similar pattern but of a smaller magnitude</w:t>
      </w:r>
      <w:r w:rsidRPr="000D218A">
        <w:rPr>
          <w:rFonts w:ascii="Verdana" w:hAnsi="Verdana"/>
          <w:sz w:val="22"/>
          <w:szCs w:val="22"/>
        </w:rPr>
        <w:t xml:space="preserve"> (Douch and Du and Vanino, 2020)</w:t>
      </w:r>
      <w:r w:rsidRPr="000D218A">
        <w:rPr>
          <w:rFonts w:ascii="Verdana" w:hAnsi="Verdana"/>
          <w:sz w:val="22"/>
          <w:szCs w:val="22"/>
        </w:rPr>
        <w:t>.</w:t>
      </w:r>
    </w:p>
    <w:p w:rsidR="00AC07FB" w:rsidRPr="000D218A" w:rsidP="000D218A">
      <w:pPr>
        <w:rPr>
          <w:rFonts w:ascii="Verdana" w:hAnsi="Verdana"/>
          <w:sz w:val="22"/>
          <w:szCs w:val="22"/>
        </w:rPr>
      </w:pPr>
    </w:p>
    <w:p w:rsidR="004E2862" w:rsidRPr="000D218A" w:rsidP="000D218A">
      <w:pPr>
        <w:rPr>
          <w:rFonts w:ascii="Verdana" w:hAnsi="Verdana"/>
          <w:sz w:val="22"/>
          <w:szCs w:val="22"/>
        </w:rPr>
      </w:pPr>
      <w:r w:rsidRPr="000D218A">
        <w:rPr>
          <w:rFonts w:ascii="Verdana" w:hAnsi="Verdana"/>
          <w:sz w:val="22"/>
          <w:szCs w:val="22"/>
        </w:rPr>
        <w:t>Although t</w:t>
      </w:r>
      <w:r w:rsidRPr="000D218A">
        <w:rPr>
          <w:rFonts w:ascii="Verdana" w:hAnsi="Verdana"/>
          <w:sz w:val="22"/>
          <w:szCs w:val="22"/>
        </w:rPr>
        <w:t>he</w:t>
      </w:r>
      <w:r w:rsidRPr="000D218A">
        <w:rPr>
          <w:rFonts w:ascii="Verdana" w:hAnsi="Verdana"/>
          <w:sz w:val="22"/>
          <w:szCs w:val="22"/>
        </w:rPr>
        <w:t xml:space="preserve"> implementation of the TCA has removed </w:t>
      </w:r>
      <w:r w:rsidRPr="000D218A">
        <w:rPr>
          <w:rFonts w:ascii="Verdana" w:hAnsi="Verdana"/>
          <w:sz w:val="22"/>
          <w:szCs w:val="22"/>
        </w:rPr>
        <w:t xml:space="preserve">the ambiguity regarding the imposition of tariff barriers to trade in goods between the EU and the UK, uncertainty regarding the application of non-tariff barriers to trade in goods </w:t>
      </w:r>
      <w:r w:rsidRPr="000D218A">
        <w:rPr>
          <w:rFonts w:ascii="Verdana" w:hAnsi="Verdana"/>
          <w:sz w:val="22"/>
          <w:szCs w:val="22"/>
        </w:rPr>
        <w:t>still remains</w:t>
      </w:r>
      <w:r w:rsidRPr="000D218A">
        <w:rPr>
          <w:rFonts w:ascii="Verdana" w:hAnsi="Verdana"/>
          <w:sz w:val="22"/>
          <w:szCs w:val="22"/>
        </w:rPr>
        <w:t xml:space="preserve"> high</w:t>
      </w:r>
      <w:r w:rsidRPr="000D218A">
        <w:rPr>
          <w:rFonts w:ascii="Verdana" w:hAnsi="Verdana"/>
          <w:sz w:val="22"/>
          <w:szCs w:val="22"/>
        </w:rPr>
        <w:t xml:space="preserve">. This is caused </w:t>
      </w:r>
      <w:r w:rsidRPr="000D218A">
        <w:rPr>
          <w:rFonts w:ascii="Verdana" w:hAnsi="Verdana"/>
          <w:sz w:val="22"/>
          <w:szCs w:val="22"/>
        </w:rPr>
        <w:t xml:space="preserve">in </w:t>
      </w:r>
      <w:r w:rsidRPr="000D218A">
        <w:rPr>
          <w:rFonts w:ascii="Verdana" w:hAnsi="Verdana"/>
          <w:sz w:val="22"/>
          <w:szCs w:val="22"/>
        </w:rPr>
        <w:t xml:space="preserve">particular </w:t>
      </w:r>
      <w:r w:rsidRPr="000D218A">
        <w:rPr>
          <w:rFonts w:ascii="Verdana" w:hAnsi="Verdana"/>
          <w:sz w:val="22"/>
          <w:szCs w:val="22"/>
        </w:rPr>
        <w:t>by</w:t>
      </w:r>
      <w:r w:rsidRPr="000D218A">
        <w:rPr>
          <w:rFonts w:ascii="Verdana" w:hAnsi="Verdana"/>
          <w:sz w:val="22"/>
          <w:szCs w:val="22"/>
        </w:rPr>
        <w:t xml:space="preserve"> the continuous delays </w:t>
      </w:r>
      <w:r w:rsidRPr="000D218A">
        <w:rPr>
          <w:rFonts w:ascii="Verdana" w:hAnsi="Verdana"/>
          <w:sz w:val="22"/>
          <w:szCs w:val="22"/>
        </w:rPr>
        <w:t xml:space="preserve">in the </w:t>
      </w:r>
      <w:r w:rsidRPr="000D218A">
        <w:rPr>
          <w:rFonts w:ascii="Verdana" w:hAnsi="Verdana"/>
          <w:sz w:val="22"/>
          <w:szCs w:val="22"/>
        </w:rPr>
        <w:t>introduction of import controls</w:t>
      </w:r>
      <w:r w:rsidRPr="000D218A">
        <w:rPr>
          <w:rFonts w:ascii="Verdana" w:hAnsi="Verdana"/>
          <w:sz w:val="22"/>
          <w:szCs w:val="22"/>
        </w:rPr>
        <w:t xml:space="preserve"> by the UK Government, and the lack of clarity regarding the </w:t>
      </w:r>
      <w:r w:rsidRPr="000D218A">
        <w:rPr>
          <w:rFonts w:ascii="Verdana" w:hAnsi="Verdana"/>
          <w:sz w:val="22"/>
          <w:szCs w:val="22"/>
        </w:rPr>
        <w:t>customs requirements. Again, this will disproportionally affect smaller exporters, w</w:t>
      </w:r>
      <w:r w:rsidRPr="000D218A">
        <w:rPr>
          <w:rFonts w:ascii="Verdana" w:hAnsi="Verdana"/>
          <w:sz w:val="22"/>
          <w:szCs w:val="22"/>
        </w:rPr>
        <w:t xml:space="preserve">hich lack the </w:t>
      </w:r>
      <w:r w:rsidRPr="000D218A">
        <w:rPr>
          <w:rFonts w:ascii="Verdana" w:hAnsi="Verdana"/>
          <w:sz w:val="22"/>
          <w:szCs w:val="22"/>
        </w:rPr>
        <w:t xml:space="preserve">appropriate </w:t>
      </w:r>
      <w:r w:rsidRPr="000D218A">
        <w:rPr>
          <w:rFonts w:ascii="Verdana" w:hAnsi="Verdana"/>
          <w:sz w:val="22"/>
          <w:szCs w:val="22"/>
        </w:rPr>
        <w:t xml:space="preserve">knowledge and </w:t>
      </w:r>
      <w:r w:rsidRPr="000D218A">
        <w:rPr>
          <w:rFonts w:ascii="Verdana" w:hAnsi="Verdana"/>
          <w:sz w:val="22"/>
          <w:szCs w:val="22"/>
        </w:rPr>
        <w:t>resources needed to</w:t>
      </w:r>
      <w:r w:rsidRPr="000D218A">
        <w:rPr>
          <w:rFonts w:ascii="Verdana" w:hAnsi="Verdana"/>
          <w:sz w:val="22"/>
          <w:szCs w:val="22"/>
        </w:rPr>
        <w:t xml:space="preserve"> handle an inc</w:t>
      </w:r>
      <w:r w:rsidRPr="000D218A">
        <w:rPr>
          <w:rFonts w:ascii="Verdana" w:hAnsi="Verdana"/>
          <w:sz w:val="22"/>
          <w:szCs w:val="22"/>
        </w:rPr>
        <w:t>reasing bureaucratic and administrative burden</w:t>
      </w:r>
      <w:r w:rsidRPr="000D218A">
        <w:rPr>
          <w:rFonts w:ascii="Verdana" w:hAnsi="Verdana"/>
          <w:sz w:val="22"/>
          <w:szCs w:val="22"/>
        </w:rPr>
        <w:t xml:space="preserve"> </w:t>
      </w:r>
      <w:r w:rsidRPr="000D218A">
        <w:rPr>
          <w:rFonts w:ascii="Verdana" w:hAnsi="Verdana"/>
          <w:sz w:val="22"/>
          <w:szCs w:val="22"/>
        </w:rPr>
        <w:t>in dealing with new customs regulations, and therefore might be pushed out of international markets.</w:t>
      </w:r>
      <w:r w:rsidRPr="000D218A">
        <w:rPr>
          <w:rFonts w:ascii="Verdana" w:hAnsi="Verdana"/>
          <w:sz w:val="22"/>
          <w:szCs w:val="22"/>
        </w:rPr>
        <w:t xml:space="preserve"> </w:t>
      </w:r>
    </w:p>
    <w:p w:rsidR="00913BE4" w:rsidRPr="000D218A" w:rsidP="000D218A">
      <w:pPr>
        <w:rPr>
          <w:rFonts w:ascii="Verdana" w:hAnsi="Verdana"/>
          <w:sz w:val="22"/>
          <w:szCs w:val="22"/>
        </w:rPr>
      </w:pPr>
    </w:p>
    <w:p w:rsidR="008F0F52" w:rsidRPr="000D218A" w:rsidP="000D218A">
      <w:pPr>
        <w:rPr>
          <w:rFonts w:ascii="Verdana" w:hAnsi="Verdana"/>
          <w:i/>
          <w:iCs/>
          <w:sz w:val="22"/>
          <w:szCs w:val="22"/>
        </w:rPr>
      </w:pPr>
      <w:r w:rsidRPr="000D218A">
        <w:rPr>
          <w:rFonts w:ascii="Verdana" w:hAnsi="Verdana"/>
          <w:i/>
          <w:iCs/>
          <w:sz w:val="22"/>
          <w:szCs w:val="22"/>
        </w:rPr>
        <w:t>Traders</w:t>
      </w:r>
      <w:r w:rsidRPr="000D218A">
        <w:rPr>
          <w:rFonts w:ascii="Verdana" w:hAnsi="Verdana"/>
          <w:i/>
          <w:iCs/>
          <w:sz w:val="22"/>
          <w:szCs w:val="22"/>
        </w:rPr>
        <w:t xml:space="preserve"> Support</w:t>
      </w:r>
    </w:p>
    <w:p w:rsidR="000528AC" w:rsidRPr="000D218A" w:rsidP="000D218A">
      <w:pPr>
        <w:rPr>
          <w:rFonts w:ascii="Verdana" w:hAnsi="Verdana"/>
          <w:sz w:val="22"/>
          <w:szCs w:val="22"/>
        </w:rPr>
      </w:pPr>
      <w:r w:rsidRPr="000D218A">
        <w:rPr>
          <w:rFonts w:ascii="Verdana" w:hAnsi="Verdana"/>
          <w:sz w:val="22"/>
          <w:szCs w:val="22"/>
        </w:rPr>
        <w:t>Managing supply chain risks, their vulnerabilities and uncertainties is key to mitigate po</w:t>
      </w:r>
      <w:r w:rsidRPr="000D218A">
        <w:rPr>
          <w:rFonts w:ascii="Verdana" w:hAnsi="Verdana"/>
          <w:sz w:val="22"/>
          <w:szCs w:val="22"/>
        </w:rPr>
        <w:t xml:space="preserve">tential long-term effects. This is because additional checks and controls will act as new non-tariff barriers to trade, and it would take time for businesses to plan and respond to the change in the trading environment. </w:t>
      </w:r>
      <w:r w:rsidRPr="000D218A">
        <w:rPr>
          <w:rFonts w:ascii="Verdana" w:hAnsi="Verdana"/>
          <w:sz w:val="22"/>
          <w:szCs w:val="22"/>
        </w:rPr>
        <w:t>Given the heterogeneous effect of un</w:t>
      </w:r>
      <w:r w:rsidRPr="000D218A">
        <w:rPr>
          <w:rFonts w:ascii="Verdana" w:hAnsi="Verdana"/>
          <w:sz w:val="22"/>
          <w:szCs w:val="22"/>
        </w:rPr>
        <w:t xml:space="preserve">certainty on UK </w:t>
      </w:r>
      <w:r w:rsidRPr="000D218A">
        <w:rPr>
          <w:rFonts w:ascii="Verdana" w:hAnsi="Verdana"/>
          <w:sz w:val="22"/>
          <w:szCs w:val="22"/>
        </w:rPr>
        <w:t>traders</w:t>
      </w:r>
      <w:r w:rsidRPr="000D218A">
        <w:rPr>
          <w:rFonts w:ascii="Verdana" w:hAnsi="Verdana"/>
          <w:sz w:val="22"/>
          <w:szCs w:val="22"/>
        </w:rPr>
        <w:t xml:space="preserve"> estimated in our study, </w:t>
      </w:r>
      <w:r w:rsidRPr="000D218A">
        <w:rPr>
          <w:rFonts w:ascii="Verdana" w:hAnsi="Verdana"/>
          <w:sz w:val="22"/>
          <w:szCs w:val="22"/>
        </w:rPr>
        <w:t xml:space="preserve">the UK Government should focus its efforts in trying to support and help </w:t>
      </w:r>
      <w:r w:rsidRPr="000D218A">
        <w:rPr>
          <w:rFonts w:ascii="Verdana" w:hAnsi="Verdana"/>
          <w:sz w:val="22"/>
          <w:szCs w:val="22"/>
        </w:rPr>
        <w:t>in particular smaller</w:t>
      </w:r>
      <w:r w:rsidRPr="000D218A">
        <w:rPr>
          <w:rFonts w:ascii="Verdana" w:hAnsi="Verdana"/>
          <w:sz w:val="22"/>
          <w:szCs w:val="22"/>
        </w:rPr>
        <w:t xml:space="preserve"> exporters and importers. Especially this group of firms are particularly vulnerable to changes in trade policy an</w:t>
      </w:r>
      <w:r w:rsidRPr="000D218A">
        <w:rPr>
          <w:rFonts w:ascii="Verdana" w:hAnsi="Verdana"/>
          <w:sz w:val="22"/>
          <w:szCs w:val="22"/>
        </w:rPr>
        <w:t xml:space="preserve">d arrangements, given their limited resources and the overreliance on mature manufacturing goods and </w:t>
      </w:r>
      <w:r w:rsidRPr="000D218A">
        <w:rPr>
          <w:rFonts w:ascii="Verdana" w:hAnsi="Verdana"/>
          <w:sz w:val="22"/>
          <w:szCs w:val="22"/>
        </w:rPr>
        <w:t>proximate EU markets. This could include targeted training for export support admin workers, government-backed trading credit for SMEs, and expedited and s</w:t>
      </w:r>
      <w:r w:rsidRPr="000D218A">
        <w:rPr>
          <w:rFonts w:ascii="Verdana" w:hAnsi="Verdana"/>
          <w:sz w:val="22"/>
          <w:szCs w:val="22"/>
        </w:rPr>
        <w:t>implified customs procedures for smaller traders</w:t>
      </w:r>
    </w:p>
    <w:p w:rsidR="000528AC" w:rsidRPr="000D218A" w:rsidP="000D218A">
      <w:pPr>
        <w:rPr>
          <w:rFonts w:ascii="Verdana" w:hAnsi="Verdana"/>
          <w:sz w:val="22"/>
          <w:szCs w:val="22"/>
        </w:rPr>
      </w:pPr>
    </w:p>
    <w:p w:rsidR="008F0F52" w:rsidRPr="000D218A" w:rsidP="000D218A">
      <w:pPr>
        <w:rPr>
          <w:rFonts w:ascii="Verdana" w:hAnsi="Verdana"/>
          <w:sz w:val="22"/>
          <w:szCs w:val="22"/>
        </w:rPr>
      </w:pPr>
    </w:p>
    <w:p w:rsidR="00EB4E22" w:rsidRPr="000D218A" w:rsidP="000D218A">
      <w:pPr>
        <w:rPr>
          <w:rFonts w:ascii="Verdana" w:hAnsi="Verdana"/>
          <w:sz w:val="22"/>
          <w:szCs w:val="22"/>
        </w:rPr>
      </w:pPr>
      <w:r w:rsidRPr="000D218A">
        <w:rPr>
          <w:rFonts w:ascii="Verdana" w:hAnsi="Verdana"/>
          <w:sz w:val="22"/>
          <w:szCs w:val="22"/>
        </w:rPr>
        <w:t xml:space="preserve">3. What are the implications of continued ‘asymmetry’ between GB and EU border controls, for example on the competitiveness of GB businesses, on border security, and on customs revenue? Are these </w:t>
      </w:r>
      <w:r w:rsidRPr="000D218A">
        <w:rPr>
          <w:rFonts w:ascii="Verdana" w:hAnsi="Verdana"/>
          <w:sz w:val="22"/>
          <w:szCs w:val="22"/>
        </w:rPr>
        <w:t>asymmetric arrangements sustainable?</w:t>
      </w:r>
    </w:p>
    <w:p w:rsidR="00913BE4" w:rsidRPr="000D218A" w:rsidP="000D218A">
      <w:pPr>
        <w:rPr>
          <w:rFonts w:ascii="Verdana" w:hAnsi="Verdana"/>
          <w:sz w:val="22"/>
          <w:szCs w:val="22"/>
        </w:rPr>
      </w:pPr>
    </w:p>
    <w:p w:rsidR="00913BE4" w:rsidP="000D218A">
      <w:pPr>
        <w:rPr>
          <w:rFonts w:ascii="Verdana" w:hAnsi="Verdana"/>
          <w:sz w:val="22"/>
          <w:szCs w:val="22"/>
        </w:rPr>
      </w:pPr>
      <w:r w:rsidRPr="000D218A">
        <w:rPr>
          <w:rFonts w:ascii="Verdana" w:hAnsi="Verdana"/>
          <w:sz w:val="22"/>
          <w:szCs w:val="22"/>
        </w:rPr>
        <w:t xml:space="preserve">Our previous research on the asymmetric effects </w:t>
      </w:r>
      <w:r w:rsidRPr="000D218A">
        <w:rPr>
          <w:rFonts w:ascii="Verdana" w:hAnsi="Verdana"/>
          <w:sz w:val="22"/>
          <w:szCs w:val="22"/>
        </w:rPr>
        <w:t xml:space="preserve">between UK exports and imports shows that again it is mostly micro firms that suffer from Brexit uncertainty, with effects </w:t>
      </w:r>
      <w:r w:rsidRPr="000D218A">
        <w:rPr>
          <w:rFonts w:ascii="Verdana" w:hAnsi="Verdana"/>
          <w:sz w:val="22"/>
          <w:szCs w:val="22"/>
        </w:rPr>
        <w:t>similar to</w:t>
      </w:r>
      <w:r w:rsidRPr="000D218A">
        <w:rPr>
          <w:rFonts w:ascii="Verdana" w:hAnsi="Verdana"/>
          <w:sz w:val="22"/>
          <w:szCs w:val="22"/>
        </w:rPr>
        <w:t xml:space="preserve"> exports, although l</w:t>
      </w:r>
      <w:r w:rsidRPr="000D218A">
        <w:rPr>
          <w:rFonts w:ascii="Verdana" w:hAnsi="Verdana"/>
          <w:sz w:val="22"/>
          <w:szCs w:val="22"/>
        </w:rPr>
        <w:t>arger</w:t>
      </w:r>
      <w:r w:rsidRPr="000D218A">
        <w:rPr>
          <w:rFonts w:ascii="Verdana" w:hAnsi="Verdana"/>
          <w:sz w:val="22"/>
          <w:szCs w:val="22"/>
        </w:rPr>
        <w:t xml:space="preserve"> in magnitud</w:t>
      </w:r>
      <w:r w:rsidRPr="000D218A">
        <w:rPr>
          <w:rFonts w:ascii="Verdana" w:hAnsi="Verdana"/>
          <w:sz w:val="22"/>
          <w:szCs w:val="22"/>
        </w:rPr>
        <w:t xml:space="preserve">e. </w:t>
      </w:r>
      <w:r w:rsidRPr="000D218A">
        <w:rPr>
          <w:rFonts w:ascii="Verdana" w:hAnsi="Verdana"/>
          <w:sz w:val="22"/>
          <w:szCs w:val="22"/>
        </w:rPr>
        <w:t xml:space="preserve">Smaller firms reduced the overall value of goods imported from the EU, reducing </w:t>
      </w:r>
      <w:r w:rsidRPr="000D218A">
        <w:rPr>
          <w:rFonts w:ascii="Verdana" w:hAnsi="Verdana"/>
          <w:sz w:val="22"/>
          <w:szCs w:val="22"/>
        </w:rPr>
        <w:t>as well the number of intermediate inputs</w:t>
      </w:r>
      <w:r w:rsidRPr="000D218A">
        <w:rPr>
          <w:rFonts w:ascii="Verdana" w:hAnsi="Verdana"/>
          <w:sz w:val="22"/>
          <w:szCs w:val="22"/>
        </w:rPr>
        <w:t xml:space="preserve"> imported, but not reducing the number of EU countries from where they source their inputs. </w:t>
      </w:r>
      <w:r w:rsidRPr="000D218A">
        <w:rPr>
          <w:rFonts w:ascii="Verdana" w:hAnsi="Verdana"/>
          <w:sz w:val="22"/>
          <w:szCs w:val="22"/>
        </w:rPr>
        <w:t>This suggests that smaller firms, export</w:t>
      </w:r>
      <w:r w:rsidRPr="000D218A">
        <w:rPr>
          <w:rFonts w:ascii="Verdana" w:hAnsi="Verdana"/>
          <w:sz w:val="22"/>
          <w:szCs w:val="22"/>
        </w:rPr>
        <w:t xml:space="preserve">ing, importing or both, react more strongly to the mounting uncertainty about the post-Brexit trade regime, presumably because of their vulnerability facing looming risks. While the negative effect has been much stronger for micro and small firms in terms </w:t>
      </w:r>
      <w:r w:rsidRPr="000D218A">
        <w:rPr>
          <w:rFonts w:ascii="Verdana" w:hAnsi="Verdana"/>
          <w:sz w:val="22"/>
          <w:szCs w:val="22"/>
        </w:rPr>
        <w:t>of imports rather than exports, there has been a positive effect in terms of values of imports for large firms. This could have been driven by large firms stockpiling as trade uncertainty increased, while micro and small firms have seen their limited impor</w:t>
      </w:r>
      <w:r w:rsidRPr="000D218A">
        <w:rPr>
          <w:rFonts w:ascii="Verdana" w:hAnsi="Verdana"/>
          <w:sz w:val="22"/>
          <w:szCs w:val="22"/>
        </w:rPr>
        <w:t>t flows based on a few products lines disrupted by the uncertainty about Brexit.</w:t>
      </w:r>
      <w:r w:rsidRPr="000D218A">
        <w:rPr>
          <w:rFonts w:ascii="Verdana" w:hAnsi="Verdana"/>
          <w:sz w:val="22"/>
          <w:szCs w:val="22"/>
        </w:rPr>
        <w:t xml:space="preserve"> Thus, the imposition of border controls on imports from the EU could have potentially an even stronger negative effect on UK firms than the introduction of EU controls on expo</w:t>
      </w:r>
      <w:r w:rsidRPr="000D218A">
        <w:rPr>
          <w:rFonts w:ascii="Verdana" w:hAnsi="Verdana"/>
          <w:sz w:val="22"/>
          <w:szCs w:val="22"/>
        </w:rPr>
        <w:t xml:space="preserve">rts, further disrupting their supply chains in a period of acute supplying shortages. </w:t>
      </w:r>
      <w:r>
        <w:rPr>
          <w:rStyle w:val="EndnoteReference"/>
          <w:rFonts w:ascii="Verdana" w:hAnsi="Verdana"/>
          <w:sz w:val="22"/>
          <w:szCs w:val="22"/>
        </w:rPr>
        <w:endnoteReference w:id="2"/>
      </w:r>
    </w:p>
    <w:p w:rsidR="000D218A" w:rsidP="000D218A">
      <w:pPr>
        <w:rPr>
          <w:rFonts w:ascii="Verdana" w:hAnsi="Verdana"/>
          <w:sz w:val="22"/>
          <w:szCs w:val="22"/>
        </w:rPr>
      </w:pPr>
    </w:p>
    <w:p w:rsidR="000D218A" w:rsidRPr="000D218A" w:rsidP="000D218A">
      <w:pPr>
        <w:rPr>
          <w:rFonts w:ascii="Verdana" w:hAnsi="Verdana"/>
          <w:sz w:val="22"/>
          <w:szCs w:val="22"/>
        </w:rPr>
      </w:pPr>
      <w:r>
        <w:rPr>
          <w:rFonts w:ascii="Verdana" w:hAnsi="Verdana"/>
          <w:sz w:val="22"/>
          <w:szCs w:val="22"/>
        </w:rPr>
        <w:t>29 October 2021</w:t>
      </w:r>
    </w:p>
    <w:p w:rsidR="00441CD4" w:rsidRPr="000D218A" w:rsidP="000D218A">
      <w:pPr>
        <w:rPr>
          <w:rFonts w:ascii="Verdana" w:hAnsi="Verdana"/>
          <w:sz w:val="22"/>
          <w:szCs w:val="22"/>
        </w:rPr>
      </w:pPr>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0D218A" w:rsidP="000D218A">
      <w:r>
        <w:separator/>
      </w:r>
    </w:p>
  </w:endnote>
  <w:endnote w:type="continuationSeparator" w:id="1">
    <w:p w:rsidR="000D218A" w:rsidP="000D218A">
      <w:r>
        <w:continuationSeparator/>
      </w:r>
    </w:p>
  </w:endnote>
  <w:endnote w:id="2">
    <w:p w:rsidR="000D218A" w:rsidRPr="000D218A" w:rsidP="000D218A">
      <w:pPr>
        <w:rPr>
          <w:rFonts w:ascii="Verdana" w:hAnsi="Verdana"/>
          <w:sz w:val="18"/>
          <w:szCs w:val="18"/>
        </w:rPr>
      </w:pPr>
      <w:r>
        <w:rPr>
          <w:rStyle w:val="EndnoteReference"/>
        </w:rPr>
        <w:endnoteRef/>
      </w:r>
      <w:r>
        <w:t xml:space="preserve"> </w:t>
      </w:r>
      <w:r w:rsidRPr="000D218A">
        <w:rPr>
          <w:rFonts w:ascii="Verdana" w:hAnsi="Verdana"/>
          <w:sz w:val="18"/>
          <w:szCs w:val="18"/>
        </w:rPr>
        <w:t xml:space="preserve">Crowley, M.A., Exton, O. and Han, L., 2020, May. The looming threat of tariff hikes: entry into exporting under trade agreement renegotiation. In </w:t>
      </w:r>
      <w:r w:rsidRPr="000D218A">
        <w:rPr>
          <w:rFonts w:ascii="Verdana" w:hAnsi="Verdana"/>
          <w:i/>
          <w:iCs/>
          <w:sz w:val="18"/>
          <w:szCs w:val="18"/>
        </w:rPr>
        <w:t>AEA Papers and Proceedings</w:t>
      </w:r>
      <w:r w:rsidRPr="000D218A">
        <w:rPr>
          <w:rFonts w:ascii="Verdana" w:hAnsi="Verdana"/>
          <w:sz w:val="18"/>
          <w:szCs w:val="18"/>
        </w:rPr>
        <w:t xml:space="preserve"> (Vol. 110, pp. 547-51).</w:t>
      </w:r>
    </w:p>
    <w:p w:rsidR="000D218A" w:rsidRPr="000D218A" w:rsidP="000D218A">
      <w:pPr>
        <w:rPr>
          <w:rFonts w:ascii="Verdana" w:hAnsi="Verdana"/>
          <w:sz w:val="18"/>
          <w:szCs w:val="18"/>
        </w:rPr>
      </w:pPr>
      <w:r w:rsidRPr="000D218A">
        <w:rPr>
          <w:rFonts w:ascii="Verdana" w:hAnsi="Verdana"/>
          <w:sz w:val="18"/>
          <w:szCs w:val="18"/>
        </w:rPr>
        <w:t>Douch</w:t>
      </w:r>
      <w:r w:rsidRPr="000D218A">
        <w:rPr>
          <w:rFonts w:ascii="Verdana" w:hAnsi="Verdana"/>
          <w:sz w:val="18"/>
          <w:szCs w:val="18"/>
        </w:rPr>
        <w:t xml:space="preserve">, M, Du, J and </w:t>
      </w:r>
      <w:r w:rsidRPr="000D218A">
        <w:rPr>
          <w:rFonts w:ascii="Verdana" w:hAnsi="Verdana"/>
          <w:sz w:val="18"/>
          <w:szCs w:val="18"/>
        </w:rPr>
        <w:t>Vanino</w:t>
      </w:r>
      <w:r w:rsidRPr="000D218A">
        <w:rPr>
          <w:rFonts w:ascii="Verdana" w:hAnsi="Verdana"/>
          <w:sz w:val="18"/>
          <w:szCs w:val="18"/>
        </w:rPr>
        <w:t xml:space="preserve"> E, 2020, Defying Gravity, Policy Uncertainty and Trade Diversion, Lloyds Bank Group Centre for Business Prosperity Working Paper.</w:t>
      </w:r>
    </w:p>
    <w:p w:rsidR="000D218A" w:rsidRPr="000D218A" w:rsidP="000D218A">
      <w:pPr>
        <w:rPr>
          <w:rFonts w:ascii="Verdana" w:hAnsi="Verdana"/>
          <w:sz w:val="18"/>
          <w:szCs w:val="18"/>
        </w:rPr>
      </w:pPr>
      <w:r w:rsidRPr="000D218A">
        <w:rPr>
          <w:rFonts w:ascii="Verdana" w:hAnsi="Verdana"/>
          <w:sz w:val="18"/>
          <w:szCs w:val="18"/>
        </w:rPr>
        <w:t>Douch</w:t>
      </w:r>
      <w:r w:rsidRPr="000D218A">
        <w:rPr>
          <w:rFonts w:ascii="Verdana" w:hAnsi="Verdana"/>
          <w:sz w:val="18"/>
          <w:szCs w:val="18"/>
        </w:rPr>
        <w:t xml:space="preserve">, M. and Edwards, T.H., 2021. The bilateral trade effects of announcement shocks: Brexit as a natural field experiment. </w:t>
      </w:r>
      <w:r w:rsidRPr="000D218A">
        <w:rPr>
          <w:rFonts w:ascii="Verdana" w:hAnsi="Verdana"/>
          <w:i/>
          <w:iCs/>
          <w:sz w:val="18"/>
          <w:szCs w:val="18"/>
        </w:rPr>
        <w:t>Journal of Applied Econometrics</w:t>
      </w:r>
      <w:r w:rsidRPr="000D218A">
        <w:rPr>
          <w:rFonts w:ascii="Verdana" w:hAnsi="Verdana"/>
          <w:sz w:val="18"/>
          <w:szCs w:val="18"/>
        </w:rPr>
        <w:t>.</w:t>
      </w:r>
    </w:p>
    <w:p w:rsidR="000D218A" w:rsidRPr="000D218A" w:rsidP="000D218A">
      <w:pPr>
        <w:rPr>
          <w:rFonts w:ascii="Verdana" w:hAnsi="Verdana"/>
          <w:sz w:val="18"/>
          <w:szCs w:val="18"/>
        </w:rPr>
      </w:pPr>
    </w:p>
    <w:p w:rsidR="000D218A" w:rsidRPr="000D218A" w:rsidP="000D218A">
      <w:pPr>
        <w:rPr>
          <w:rFonts w:ascii="Verdana" w:hAnsi="Verdana"/>
          <w:sz w:val="18"/>
          <w:szCs w:val="18"/>
        </w:rPr>
      </w:pPr>
      <w:r w:rsidRPr="000D218A">
        <w:rPr>
          <w:rFonts w:ascii="Verdana" w:hAnsi="Verdana"/>
          <w:sz w:val="18"/>
          <w:szCs w:val="18"/>
        </w:rPr>
        <w:t xml:space="preserve">Graziano, A. G., Handley, K. And </w:t>
      </w:r>
      <w:r w:rsidRPr="000D218A">
        <w:rPr>
          <w:rFonts w:ascii="Verdana" w:hAnsi="Verdana"/>
          <w:sz w:val="18"/>
          <w:szCs w:val="18"/>
        </w:rPr>
        <w:t>Limao</w:t>
      </w:r>
      <w:r w:rsidRPr="000D218A">
        <w:rPr>
          <w:rFonts w:ascii="Verdana" w:hAnsi="Verdana"/>
          <w:sz w:val="18"/>
          <w:szCs w:val="18"/>
        </w:rPr>
        <w:t>, N. (2020). Brexit Uncertainty and Trade Disintegration. The Economic Journal, 131(635): 1150–1185.</w:t>
      </w:r>
    </w:p>
    <w:p w:rsidR="000D218A" w:rsidRPr="000D218A" w:rsidP="000D218A">
      <w:pPr>
        <w:rPr>
          <w:rFonts w:ascii="Verdana" w:hAnsi="Verdana"/>
          <w:sz w:val="18"/>
          <w:szCs w:val="18"/>
        </w:rPr>
      </w:pPr>
    </w:p>
    <w:p w:rsidR="000D218A" w:rsidRPr="000D218A" w:rsidP="000D218A">
      <w:pPr>
        <w:rPr>
          <w:rFonts w:ascii="Verdana" w:hAnsi="Verdana"/>
          <w:sz w:val="18"/>
          <w:szCs w:val="18"/>
        </w:rPr>
      </w:pPr>
      <w:r w:rsidRPr="000D218A">
        <w:rPr>
          <w:rFonts w:ascii="Verdana" w:hAnsi="Verdana"/>
          <w:sz w:val="18"/>
          <w:szCs w:val="18"/>
        </w:rPr>
        <w:t xml:space="preserve">Handley, K., and N. </w:t>
      </w:r>
      <w:r w:rsidRPr="000D218A">
        <w:rPr>
          <w:rFonts w:ascii="Verdana" w:hAnsi="Verdana"/>
          <w:sz w:val="18"/>
          <w:szCs w:val="18"/>
        </w:rPr>
        <w:t>Limao</w:t>
      </w:r>
      <w:r w:rsidRPr="000D218A">
        <w:rPr>
          <w:rFonts w:ascii="Verdana" w:hAnsi="Verdana"/>
          <w:sz w:val="18"/>
          <w:szCs w:val="18"/>
        </w:rPr>
        <w:t>. (2015). Trade and Investment under Policy Uncertainty: Theory and Firm Evidence. American Economic Journal: Economic Policy, 7 (4): 189-222.</w:t>
      </w:r>
    </w:p>
    <w:p w:rsidR="000D218A" w:rsidRPr="000D218A" w:rsidP="000D218A">
      <w:pPr>
        <w:rPr>
          <w:rFonts w:ascii="Verdana" w:hAnsi="Verdana"/>
          <w:sz w:val="18"/>
          <w:szCs w:val="18"/>
        </w:rPr>
      </w:pPr>
    </w:p>
    <w:p w:rsidR="000D218A" w:rsidRPr="000D218A" w:rsidP="000D218A">
      <w:pPr>
        <w:rPr>
          <w:rFonts w:ascii="Verdana" w:hAnsi="Verdana"/>
          <w:sz w:val="18"/>
          <w:szCs w:val="18"/>
        </w:rPr>
      </w:pPr>
      <w:r w:rsidRPr="000D218A">
        <w:rPr>
          <w:rFonts w:ascii="Verdana" w:hAnsi="Verdana"/>
          <w:sz w:val="18"/>
          <w:szCs w:val="18"/>
        </w:rPr>
        <w:t xml:space="preserve">HMRC, 2020. UK Trade in Goods by Business Characteristics 2019. Available at: </w:t>
      </w:r>
      <w:r>
        <w:fldChar w:fldCharType="begin"/>
      </w:r>
      <w:r>
        <w:instrText xml:space="preserve"> HYPERLINK "https://assets.publishing.service.gov.uk/government/uploads/system/uploads/attachment_data/file/937712/IDBR_OTS_2019.pdf" </w:instrText>
      </w:r>
      <w:r>
        <w:fldChar w:fldCharType="separate"/>
      </w:r>
      <w:r w:rsidRPr="000D218A">
        <w:rPr>
          <w:rStyle w:val="Hyperlink"/>
          <w:rFonts w:ascii="Verdana" w:hAnsi="Verdana"/>
          <w:sz w:val="18"/>
          <w:szCs w:val="18"/>
        </w:rPr>
        <w:t>https://assets.publishing.service.gov.uk/government/uploads/system/uploads/attachment_data/file/937712/IDBR_OTS_2019.pdf</w:t>
      </w:r>
      <w:r>
        <w:fldChar w:fldCharType="end"/>
      </w:r>
      <w:r w:rsidRPr="000D218A">
        <w:rPr>
          <w:rFonts w:ascii="Verdana" w:hAnsi="Verdana"/>
          <w:sz w:val="18"/>
          <w:szCs w:val="18"/>
        </w:rPr>
        <w:t xml:space="preserve">  </w:t>
      </w:r>
    </w:p>
    <w:p w:rsidR="000D218A">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oNotTrackMoves/>
  <w:defaultTabStop w:val="720"/>
  <w:characterSpacingControl w:val="doNotCompress"/>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794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B3455"/>
    <w:pPr>
      <w:spacing w:after="0" w:line="240" w:lineRule="auto"/>
    </w:pPr>
  </w:style>
  <w:style w:type="character" w:styleId="Hyperlink">
    <w:name w:val="Hyperlink"/>
    <w:basedOn w:val="DefaultParagraphFont"/>
    <w:uiPriority w:val="99"/>
    <w:unhideWhenUsed/>
    <w:rsid w:val="000C4A2D"/>
    <w:rPr>
      <w:color w:val="0000FF"/>
      <w:u w:val="single"/>
    </w:rPr>
  </w:style>
  <w:style w:type="paragraph" w:styleId="BalloonText">
    <w:name w:val="Balloon Text"/>
    <w:basedOn w:val="Normal"/>
    <w:link w:val="BalloonTextChar"/>
    <w:uiPriority w:val="99"/>
    <w:semiHidden/>
    <w:unhideWhenUsed/>
    <w:rsid w:val="00E6297B"/>
    <w:rPr>
      <w:sz w:val="18"/>
      <w:szCs w:val="18"/>
    </w:rPr>
  </w:style>
  <w:style w:type="character" w:customStyle="1" w:styleId="BalloonTextChar">
    <w:name w:val="Balloon Text Char"/>
    <w:basedOn w:val="DefaultParagraphFont"/>
    <w:link w:val="BalloonText"/>
    <w:uiPriority w:val="99"/>
    <w:semiHidden/>
    <w:rsid w:val="00E6297B"/>
    <w:rPr>
      <w:rFonts w:ascii="Times New Roman" w:eastAsia="Times New Roman" w:hAnsi="Times New Roman" w:cs="Times New Roman"/>
      <w:sz w:val="18"/>
      <w:szCs w:val="18"/>
      <w:lang w:eastAsia="en-GB"/>
    </w:rPr>
  </w:style>
  <w:style w:type="paragraph" w:styleId="ListParagraph">
    <w:name w:val="List Paragraph"/>
    <w:basedOn w:val="Normal"/>
    <w:uiPriority w:val="34"/>
    <w:qFormat/>
    <w:rsid w:val="004E2862"/>
    <w:pPr>
      <w:ind w:left="720"/>
      <w:contextualSpacing/>
    </w:pPr>
  </w:style>
  <w:style w:type="character" w:styleId="CommentReference">
    <w:name w:val="annotation reference"/>
    <w:basedOn w:val="DefaultParagraphFont"/>
    <w:uiPriority w:val="99"/>
    <w:semiHidden/>
    <w:unhideWhenUsed/>
    <w:rsid w:val="004E2862"/>
    <w:rPr>
      <w:sz w:val="16"/>
      <w:szCs w:val="16"/>
    </w:rPr>
  </w:style>
  <w:style w:type="paragraph" w:styleId="CommentText">
    <w:name w:val="annotation text"/>
    <w:basedOn w:val="Normal"/>
    <w:link w:val="CommentTextChar"/>
    <w:uiPriority w:val="99"/>
    <w:semiHidden/>
    <w:unhideWhenUsed/>
    <w:rsid w:val="004E2862"/>
    <w:rPr>
      <w:sz w:val="20"/>
      <w:szCs w:val="20"/>
    </w:rPr>
  </w:style>
  <w:style w:type="character" w:customStyle="1" w:styleId="CommentTextChar">
    <w:name w:val="Comment Text Char"/>
    <w:basedOn w:val="DefaultParagraphFont"/>
    <w:link w:val="CommentText"/>
    <w:uiPriority w:val="99"/>
    <w:semiHidden/>
    <w:rsid w:val="004E286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E2862"/>
    <w:rPr>
      <w:b/>
      <w:bCs/>
    </w:rPr>
  </w:style>
  <w:style w:type="character" w:customStyle="1" w:styleId="CommentSubjectChar">
    <w:name w:val="Comment Subject Char"/>
    <w:basedOn w:val="CommentTextChar"/>
    <w:link w:val="CommentSubject"/>
    <w:uiPriority w:val="99"/>
    <w:semiHidden/>
    <w:rsid w:val="004E2862"/>
    <w:rPr>
      <w:rFonts w:ascii="Times New Roman" w:eastAsia="Times New Roman" w:hAnsi="Times New Roman" w:cs="Times New Roman"/>
      <w:b/>
      <w:bCs/>
      <w:sz w:val="20"/>
      <w:szCs w:val="20"/>
      <w:lang w:eastAsia="en-GB"/>
    </w:rPr>
  </w:style>
  <w:style w:type="character" w:customStyle="1" w:styleId="UnresolvedMention1">
    <w:name w:val="Unresolved Mention1"/>
    <w:basedOn w:val="DefaultParagraphFont"/>
    <w:uiPriority w:val="99"/>
    <w:semiHidden/>
    <w:unhideWhenUsed/>
    <w:rsid w:val="008C4739"/>
    <w:rPr>
      <w:color w:val="605E5C"/>
      <w:shd w:val="clear" w:color="auto" w:fill="E1DFDD"/>
    </w:rPr>
  </w:style>
  <w:style w:type="paragraph" w:styleId="EndnoteText">
    <w:name w:val="endnote text"/>
    <w:basedOn w:val="Normal"/>
    <w:link w:val="EndnoteTextChar"/>
    <w:uiPriority w:val="99"/>
    <w:semiHidden/>
    <w:unhideWhenUsed/>
    <w:rsid w:val="000D218A"/>
    <w:rPr>
      <w:sz w:val="20"/>
      <w:szCs w:val="20"/>
    </w:rPr>
  </w:style>
  <w:style w:type="character" w:customStyle="1" w:styleId="EndnoteTextChar">
    <w:name w:val="Endnote Text Char"/>
    <w:basedOn w:val="DefaultParagraphFont"/>
    <w:link w:val="EndnoteText"/>
    <w:uiPriority w:val="99"/>
    <w:semiHidden/>
    <w:rsid w:val="000D218A"/>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0D2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endnotes" Target="end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