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0143A" w:rsidRPr="008A712F" w:rsidP="008A712F">
      <w:pPr>
        <w:jc w:val="center"/>
        <w:rPr>
          <w:rFonts w:cs="Arial"/>
          <w:b/>
          <w:bCs/>
          <w:sz w:val="24"/>
          <w:szCs w:val="24"/>
        </w:rPr>
      </w:pPr>
      <w:r w:rsidRPr="008A712F">
        <w:rPr>
          <w:rFonts w:cs="Arial"/>
          <w:b/>
          <w:bCs/>
          <w:sz w:val="24"/>
          <w:szCs w:val="24"/>
        </w:rPr>
        <w:t xml:space="preserve">Written evidence submitted by </w:t>
      </w:r>
      <w:r w:rsidRPr="008A712F">
        <w:rPr>
          <w:rFonts w:cs="Arial"/>
          <w:b/>
          <w:bCs/>
          <w:sz w:val="24"/>
          <w:szCs w:val="24"/>
        </w:rPr>
        <w:t xml:space="preserve">the </w:t>
      </w:r>
      <w:r w:rsidRPr="008A712F">
        <w:rPr>
          <w:rFonts w:cs="Arial"/>
          <w:b/>
          <w:bCs/>
          <w:sz w:val="24"/>
          <w:szCs w:val="24"/>
        </w:rPr>
        <w:t>University of Essex</w:t>
      </w:r>
    </w:p>
    <w:p w:rsidR="0090143A" w:rsidRPr="002546CC" w:rsidP="0090143A">
      <w:pPr>
        <w:rPr>
          <w:rFonts w:cs="Arial"/>
          <w:sz w:val="22"/>
        </w:rPr>
      </w:pPr>
    </w:p>
    <w:p w:rsidR="0090143A" w:rsidRPr="002546CC" w:rsidP="0090143A">
      <w:pPr>
        <w:rPr>
          <w:rFonts w:cs="Arial"/>
          <w:b/>
          <w:bCs/>
          <w:sz w:val="22"/>
        </w:rPr>
      </w:pPr>
      <w:r w:rsidRPr="002546CC">
        <w:rPr>
          <w:rFonts w:cs="Arial"/>
          <w:b/>
          <w:bCs/>
          <w:sz w:val="22"/>
        </w:rPr>
        <w:t>Key points</w:t>
      </w:r>
    </w:p>
    <w:p w:rsidR="0090143A" w:rsidRPr="002546CC" w:rsidP="0090143A">
      <w:pPr>
        <w:rPr>
          <w:rFonts w:cs="Arial"/>
          <w:sz w:val="22"/>
        </w:rPr>
      </w:pPr>
    </w:p>
    <w:p w:rsidR="0090143A" w:rsidP="0090143A">
      <w:pPr>
        <w:pStyle w:val="ListParagraph"/>
        <w:numPr>
          <w:ilvl w:val="0"/>
          <w:numId w:val="21"/>
        </w:numPr>
        <w:rPr>
          <w:rFonts w:cs="Arial"/>
          <w:sz w:val="22"/>
        </w:rPr>
      </w:pPr>
      <w:r w:rsidRPr="009C7ACB">
        <w:rPr>
          <w:rFonts w:cs="Arial"/>
          <w:i/>
          <w:iCs/>
          <w:sz w:val="22"/>
        </w:rPr>
        <w:t>Understanding Society</w:t>
      </w:r>
      <w:r w:rsidRPr="009C7ACB">
        <w:rPr>
          <w:rFonts w:cs="Arial"/>
          <w:sz w:val="22"/>
        </w:rPr>
        <w:t>, the UK Household Longitudinal Study, is a world-leading survey of continuity and change in life</w:t>
      </w:r>
      <w:r>
        <w:rPr>
          <w:rFonts w:cs="Arial"/>
          <w:sz w:val="22"/>
        </w:rPr>
        <w:t xml:space="preserve"> in the UK</w:t>
      </w:r>
      <w:r>
        <w:rPr>
          <w:rFonts w:cs="Arial"/>
          <w:sz w:val="22"/>
        </w:rPr>
        <w:t>,</w:t>
      </w:r>
      <w:r>
        <w:rPr>
          <w:rFonts w:cs="Arial"/>
          <w:sz w:val="22"/>
        </w:rPr>
        <w:t xml:space="preserve"> funded </w:t>
      </w:r>
      <w:r w:rsidRPr="00C004E0">
        <w:rPr>
          <w:rFonts w:cs="Arial"/>
          <w:sz w:val="22"/>
        </w:rPr>
        <w:t xml:space="preserve">by the UKRI Economic and Social Research Council </w:t>
      </w:r>
      <w:r>
        <w:rPr>
          <w:rFonts w:cs="Arial"/>
          <w:sz w:val="22"/>
        </w:rPr>
        <w:t>and supported by a number of government departments and devolved administrations</w:t>
      </w:r>
      <w:r w:rsidRPr="00C004E0">
        <w:rPr>
          <w:rFonts w:cs="Arial"/>
          <w:sz w:val="22"/>
        </w:rPr>
        <w:t xml:space="preserve">. </w:t>
      </w:r>
      <w:r w:rsidRPr="009C7ACB">
        <w:rPr>
          <w:rFonts w:cs="Arial"/>
          <w:sz w:val="22"/>
        </w:rPr>
        <w:t>In April</w:t>
      </w:r>
      <w:r>
        <w:rPr>
          <w:rFonts w:cs="Arial"/>
          <w:sz w:val="22"/>
        </w:rPr>
        <w:t xml:space="preserve"> 202</w:t>
      </w:r>
      <w:r>
        <w:rPr>
          <w:rFonts w:cs="Arial"/>
          <w:sz w:val="22"/>
        </w:rPr>
        <w:t>0</w:t>
      </w:r>
      <w:r w:rsidRPr="009C7ACB">
        <w:rPr>
          <w:rFonts w:cs="Arial"/>
          <w:sz w:val="22"/>
        </w:rPr>
        <w:t xml:space="preserve">, </w:t>
      </w:r>
      <w:r>
        <w:rPr>
          <w:rFonts w:cs="Arial"/>
          <w:sz w:val="22"/>
        </w:rPr>
        <w:t>we</w:t>
      </w:r>
      <w:r w:rsidRPr="009C7ACB">
        <w:rPr>
          <w:rFonts w:cs="Arial"/>
          <w:sz w:val="22"/>
        </w:rPr>
        <w:t xml:space="preserve"> began a regular new survey to look at the impact of </w:t>
      </w:r>
      <w:r>
        <w:rPr>
          <w:rFonts w:cs="Arial"/>
          <w:sz w:val="22"/>
        </w:rPr>
        <w:t>Covid-19</w:t>
      </w:r>
      <w:r w:rsidRPr="009C7ACB">
        <w:rPr>
          <w:rFonts w:cs="Arial"/>
          <w:sz w:val="22"/>
        </w:rPr>
        <w:t xml:space="preserve"> on the UK population.</w:t>
      </w:r>
    </w:p>
    <w:p w:rsidR="007C42F1" w:rsidP="007C42F1">
      <w:pPr>
        <w:rPr>
          <w:rFonts w:cs="Arial"/>
          <w:sz w:val="22"/>
        </w:rPr>
      </w:pPr>
    </w:p>
    <w:p w:rsidR="00A05928" w:rsidP="007C42F1">
      <w:pPr>
        <w:rPr>
          <w:rFonts w:cs="Arial"/>
          <w:sz w:val="22"/>
        </w:rPr>
      </w:pPr>
      <w:r>
        <w:rPr>
          <w:rFonts w:cs="Arial"/>
          <w:sz w:val="22"/>
        </w:rPr>
        <w:t>Econ</w:t>
      </w:r>
      <w:r>
        <w:rPr>
          <w:rFonts w:cs="Arial"/>
          <w:sz w:val="22"/>
        </w:rPr>
        <w:t>omic impact</w:t>
      </w:r>
    </w:p>
    <w:p w:rsidR="00A05928" w:rsidRPr="007C42F1" w:rsidP="007C42F1">
      <w:pPr>
        <w:rPr>
          <w:rFonts w:cs="Arial"/>
          <w:sz w:val="22"/>
        </w:rPr>
      </w:pPr>
    </w:p>
    <w:p w:rsidR="006A4D62" w:rsidRPr="009B43FE" w:rsidP="006E18A7">
      <w:pPr>
        <w:pStyle w:val="ListParagraph"/>
        <w:numPr>
          <w:ilvl w:val="0"/>
          <w:numId w:val="21"/>
        </w:numPr>
        <w:rPr>
          <w:rFonts w:cs="Arial"/>
          <w:sz w:val="22"/>
        </w:rPr>
      </w:pPr>
      <w:r w:rsidRPr="009B43FE">
        <w:rPr>
          <w:rFonts w:cs="Arial"/>
          <w:sz w:val="22"/>
        </w:rPr>
        <w:t>The economic impact of Covid has been uneven and regressive</w:t>
      </w:r>
      <w:r w:rsidRPr="009B43FE">
        <w:rPr>
          <w:rFonts w:cs="Arial"/>
          <w:sz w:val="22"/>
        </w:rPr>
        <w:t>.</w:t>
      </w:r>
      <w:r w:rsidRPr="009B43FE">
        <w:rPr>
          <w:rFonts w:cs="Arial"/>
          <w:sz w:val="22"/>
        </w:rPr>
        <w:t xml:space="preserve"> </w:t>
      </w:r>
      <w:r>
        <w:rPr>
          <w:rFonts w:cs="Arial"/>
          <w:sz w:val="22"/>
        </w:rPr>
        <w:t>T</w:t>
      </w:r>
      <w:r w:rsidRPr="009B43FE">
        <w:rPr>
          <w:rFonts w:cs="Arial"/>
          <w:sz w:val="22"/>
        </w:rPr>
        <w:t xml:space="preserve">hose with precarious employment, under 30 and from minority ethnic groups faced the biggest labour market shocks. The declines in household earnings were most severe in the </w:t>
      </w:r>
      <w:r w:rsidRPr="009B43FE">
        <w:rPr>
          <w:rFonts w:cs="Arial"/>
          <w:sz w:val="22"/>
        </w:rPr>
        <w:t>bottom pre-pandemic income quintiles.</w:t>
      </w:r>
    </w:p>
    <w:p w:rsidR="0090143A" w:rsidP="0090143A">
      <w:pPr>
        <w:pStyle w:val="ListParagraph"/>
        <w:numPr>
          <w:ilvl w:val="0"/>
          <w:numId w:val="21"/>
        </w:numPr>
        <w:rPr>
          <w:rFonts w:cs="Arial"/>
          <w:sz w:val="22"/>
        </w:rPr>
      </w:pPr>
      <w:r w:rsidRPr="00F6131D">
        <w:rPr>
          <w:rFonts w:cs="Arial"/>
          <w:sz w:val="22"/>
        </w:rPr>
        <w:t xml:space="preserve">Using savings and borrowing </w:t>
      </w:r>
      <w:r w:rsidRPr="00F6131D">
        <w:rPr>
          <w:rFonts w:cs="Arial"/>
          <w:sz w:val="22"/>
        </w:rPr>
        <w:t xml:space="preserve">from friends and </w:t>
      </w:r>
      <w:r w:rsidRPr="00F6131D">
        <w:rPr>
          <w:rFonts w:cs="Arial"/>
          <w:sz w:val="22"/>
        </w:rPr>
        <w:t xml:space="preserve">family </w:t>
      </w:r>
      <w:r w:rsidRPr="00F6131D">
        <w:rPr>
          <w:rFonts w:cs="Arial"/>
          <w:sz w:val="22"/>
        </w:rPr>
        <w:t xml:space="preserve">have been </w:t>
      </w:r>
      <w:r w:rsidRPr="00F6131D">
        <w:rPr>
          <w:rFonts w:cs="Arial"/>
          <w:sz w:val="22"/>
        </w:rPr>
        <w:t>common ways</w:t>
      </w:r>
      <w:r w:rsidRPr="00F6131D">
        <w:rPr>
          <w:rFonts w:cs="Arial"/>
          <w:sz w:val="22"/>
        </w:rPr>
        <w:t xml:space="preserve"> to mitigate the economic effects of the pandemic </w:t>
      </w:r>
      <w:r>
        <w:rPr>
          <w:rFonts w:cs="Arial"/>
          <w:sz w:val="22"/>
        </w:rPr>
        <w:t>–</w:t>
      </w:r>
      <w:r>
        <w:rPr>
          <w:rFonts w:cs="Arial"/>
          <w:sz w:val="22"/>
        </w:rPr>
        <w:t xml:space="preserve"> </w:t>
      </w:r>
      <w:r>
        <w:rPr>
          <w:rFonts w:cs="Arial"/>
          <w:sz w:val="22"/>
        </w:rPr>
        <w:t>with b</w:t>
      </w:r>
      <w:r>
        <w:rPr>
          <w:rFonts w:cs="Arial"/>
          <w:sz w:val="22"/>
        </w:rPr>
        <w:t xml:space="preserve">orrowing money </w:t>
      </w:r>
      <w:r w:rsidRPr="006A4D62">
        <w:rPr>
          <w:rFonts w:cs="Arial"/>
          <w:sz w:val="22"/>
        </w:rPr>
        <w:t xml:space="preserve">and transfers </w:t>
      </w:r>
      <w:r>
        <w:rPr>
          <w:rFonts w:cs="Arial"/>
          <w:sz w:val="22"/>
        </w:rPr>
        <w:t xml:space="preserve">from family and friends </w:t>
      </w:r>
      <w:r w:rsidRPr="006A4D62">
        <w:rPr>
          <w:rFonts w:cs="Arial"/>
          <w:sz w:val="22"/>
        </w:rPr>
        <w:t>most prevalent among those most in</w:t>
      </w:r>
      <w:r w:rsidRPr="006A4D62">
        <w:rPr>
          <w:rFonts w:cs="Arial"/>
          <w:sz w:val="22"/>
        </w:rPr>
        <w:t xml:space="preserve"> need</w:t>
      </w:r>
      <w:r w:rsidRPr="00236B6A">
        <w:rPr>
          <w:rFonts w:cs="Arial"/>
          <w:sz w:val="22"/>
        </w:rPr>
        <w:t>.</w:t>
      </w:r>
    </w:p>
    <w:p w:rsidR="00ED31B8" w:rsidRPr="00ED31B8" w:rsidP="0090143A">
      <w:pPr>
        <w:pStyle w:val="ListParagraph"/>
        <w:numPr>
          <w:ilvl w:val="0"/>
          <w:numId w:val="21"/>
        </w:numPr>
        <w:rPr>
          <w:rFonts w:cs="Arial"/>
          <w:sz w:val="22"/>
        </w:rPr>
      </w:pPr>
      <w:r>
        <w:rPr>
          <w:rFonts w:cs="Arial"/>
          <w:sz w:val="22"/>
        </w:rPr>
        <w:t>G</w:t>
      </w:r>
      <w:r w:rsidRPr="006A4D62">
        <w:rPr>
          <w:rFonts w:cs="Arial"/>
          <w:sz w:val="22"/>
        </w:rPr>
        <w:t>overnment interventions supported the poorest working households the most</w:t>
      </w:r>
      <w:r>
        <w:rPr>
          <w:rFonts w:cs="Arial"/>
          <w:sz w:val="22"/>
        </w:rPr>
        <w:t xml:space="preserve">, but when </w:t>
      </w:r>
      <w:r w:rsidRPr="00351EA9">
        <w:rPr>
          <w:rFonts w:cs="Arial"/>
          <w:sz w:val="22"/>
        </w:rPr>
        <w:t>the Coronavirus Job Protection Scheme ends</w:t>
      </w:r>
      <w:r>
        <w:rPr>
          <w:rFonts w:cs="Arial"/>
          <w:sz w:val="22"/>
        </w:rPr>
        <w:t>,</w:t>
      </w:r>
      <w:r w:rsidRPr="00351EA9">
        <w:rPr>
          <w:rFonts w:cs="Arial"/>
          <w:sz w:val="22"/>
        </w:rPr>
        <w:t xml:space="preserve"> those who are notionally employed but not working any hours will move into unemployment or need to adjus</w:t>
      </w:r>
      <w:r>
        <w:rPr>
          <w:rFonts w:cs="Arial"/>
          <w:sz w:val="22"/>
        </w:rPr>
        <w:t>t.</w:t>
      </w:r>
    </w:p>
    <w:p w:rsidR="00ED31B8" w:rsidRPr="00ED31B8" w:rsidP="0090143A">
      <w:pPr>
        <w:pStyle w:val="ListParagraph"/>
        <w:numPr>
          <w:ilvl w:val="0"/>
          <w:numId w:val="21"/>
        </w:numPr>
        <w:rPr>
          <w:rFonts w:cs="Arial"/>
          <w:sz w:val="22"/>
        </w:rPr>
      </w:pPr>
      <w:r w:rsidRPr="00D64173">
        <w:rPr>
          <w:sz w:val="22"/>
          <w:szCs w:val="24"/>
        </w:rPr>
        <w:t>A significant</w:t>
      </w:r>
      <w:r w:rsidRPr="00D64173">
        <w:rPr>
          <w:sz w:val="22"/>
          <w:szCs w:val="24"/>
        </w:rPr>
        <w:t xml:space="preserve"> minority of existing U</w:t>
      </w:r>
      <w:r>
        <w:rPr>
          <w:sz w:val="22"/>
          <w:szCs w:val="24"/>
        </w:rPr>
        <w:t xml:space="preserve">niversal </w:t>
      </w:r>
      <w:r w:rsidRPr="00D64173">
        <w:rPr>
          <w:sz w:val="22"/>
          <w:szCs w:val="24"/>
        </w:rPr>
        <w:t>C</w:t>
      </w:r>
      <w:r>
        <w:rPr>
          <w:sz w:val="22"/>
          <w:szCs w:val="24"/>
        </w:rPr>
        <w:t>redit (UC)</w:t>
      </w:r>
      <w:r w:rsidRPr="00D64173">
        <w:rPr>
          <w:sz w:val="22"/>
          <w:szCs w:val="24"/>
        </w:rPr>
        <w:t xml:space="preserve"> and new UC households reported</w:t>
      </w:r>
      <w:r>
        <w:rPr>
          <w:sz w:val="22"/>
          <w:szCs w:val="24"/>
        </w:rPr>
        <w:t>:</w:t>
      </w:r>
      <w:r w:rsidRPr="00D64173">
        <w:rPr>
          <w:sz w:val="22"/>
          <w:szCs w:val="24"/>
        </w:rPr>
        <w:t xml:space="preserve"> not being up to date with household bills</w:t>
      </w:r>
      <w:r>
        <w:rPr>
          <w:sz w:val="22"/>
          <w:szCs w:val="24"/>
        </w:rPr>
        <w:t xml:space="preserve">, </w:t>
      </w:r>
      <w:r w:rsidRPr="0085133A">
        <w:rPr>
          <w:sz w:val="22"/>
          <w:szCs w:val="24"/>
        </w:rPr>
        <w:t>rent or mortgage payments</w:t>
      </w:r>
      <w:r>
        <w:rPr>
          <w:sz w:val="22"/>
          <w:szCs w:val="24"/>
        </w:rPr>
        <w:t>;</w:t>
      </w:r>
      <w:r w:rsidRPr="0085133A">
        <w:rPr>
          <w:sz w:val="22"/>
          <w:szCs w:val="24"/>
        </w:rPr>
        <w:t xml:space="preserve"> </w:t>
      </w:r>
      <w:r>
        <w:rPr>
          <w:sz w:val="22"/>
          <w:szCs w:val="24"/>
        </w:rPr>
        <w:t xml:space="preserve">being </w:t>
      </w:r>
      <w:r w:rsidRPr="0085133A">
        <w:rPr>
          <w:sz w:val="22"/>
          <w:szCs w:val="24"/>
        </w:rPr>
        <w:t>more likely to face a worsening than an improving level of personal debt</w:t>
      </w:r>
      <w:r>
        <w:rPr>
          <w:sz w:val="22"/>
          <w:szCs w:val="24"/>
        </w:rPr>
        <w:t xml:space="preserve">; and </w:t>
      </w:r>
      <w:r w:rsidRPr="0085133A">
        <w:rPr>
          <w:sz w:val="22"/>
          <w:szCs w:val="24"/>
        </w:rPr>
        <w:t xml:space="preserve">finding it ‘quite’ or </w:t>
      </w:r>
      <w:r w:rsidRPr="0085133A">
        <w:rPr>
          <w:sz w:val="22"/>
          <w:szCs w:val="24"/>
        </w:rPr>
        <w:t>‘very’ difficult to manage financially during the pandemic</w:t>
      </w:r>
      <w:r>
        <w:rPr>
          <w:sz w:val="22"/>
          <w:szCs w:val="24"/>
        </w:rPr>
        <w:t>.</w:t>
      </w:r>
    </w:p>
    <w:p w:rsidR="006A4D62" w:rsidP="0090143A">
      <w:pPr>
        <w:pStyle w:val="ListParagraph"/>
        <w:numPr>
          <w:ilvl w:val="0"/>
          <w:numId w:val="21"/>
        </w:numPr>
        <w:rPr>
          <w:rFonts w:cs="Arial"/>
          <w:sz w:val="22"/>
        </w:rPr>
      </w:pPr>
      <w:r w:rsidRPr="0085133A">
        <w:rPr>
          <w:sz w:val="22"/>
          <w:szCs w:val="24"/>
        </w:rPr>
        <w:t>Fully withdrawing the Universal Credit uplift in September 2021 will put claimants at risk of financial problems at a point when the economic recovery is only gathering pace.</w:t>
      </w:r>
    </w:p>
    <w:p w:rsidR="007C42F1" w:rsidP="007C42F1">
      <w:pPr>
        <w:rPr>
          <w:rFonts w:cs="Arial"/>
          <w:sz w:val="22"/>
        </w:rPr>
      </w:pPr>
    </w:p>
    <w:p w:rsidR="00A05928" w:rsidP="007C42F1">
      <w:pPr>
        <w:rPr>
          <w:rFonts w:cs="Arial"/>
          <w:sz w:val="22"/>
        </w:rPr>
      </w:pPr>
      <w:r>
        <w:rPr>
          <w:rFonts w:cs="Arial"/>
          <w:sz w:val="22"/>
        </w:rPr>
        <w:t>Impact on specific g</w:t>
      </w:r>
      <w:r>
        <w:rPr>
          <w:rFonts w:cs="Arial"/>
          <w:sz w:val="22"/>
        </w:rPr>
        <w:t>roups</w:t>
      </w:r>
    </w:p>
    <w:p w:rsidR="00A05928" w:rsidRPr="007C42F1" w:rsidP="007C42F1">
      <w:pPr>
        <w:rPr>
          <w:rFonts w:cs="Arial"/>
          <w:sz w:val="22"/>
        </w:rPr>
      </w:pPr>
    </w:p>
    <w:p w:rsidR="00B636DD" w:rsidP="0090143A">
      <w:pPr>
        <w:pStyle w:val="ListParagraph"/>
        <w:numPr>
          <w:ilvl w:val="0"/>
          <w:numId w:val="21"/>
        </w:numPr>
        <w:rPr>
          <w:rFonts w:cs="Arial"/>
          <w:sz w:val="22"/>
        </w:rPr>
      </w:pPr>
      <w:r w:rsidRPr="00B636DD">
        <w:rPr>
          <w:rFonts w:cs="Arial"/>
          <w:sz w:val="22"/>
        </w:rPr>
        <w:t xml:space="preserve">Individuals who are young, low-paid, Black, in self-employment, have low education levels or live in large families have been disproportionately affected. They are more likely to have lost their jobs, not </w:t>
      </w:r>
      <w:r>
        <w:rPr>
          <w:rFonts w:cs="Arial"/>
          <w:sz w:val="22"/>
        </w:rPr>
        <w:t xml:space="preserve">to </w:t>
      </w:r>
      <w:r w:rsidRPr="00B636DD">
        <w:rPr>
          <w:rFonts w:cs="Arial"/>
          <w:sz w:val="22"/>
        </w:rPr>
        <w:t xml:space="preserve">be working any hours or </w:t>
      </w:r>
      <w:r>
        <w:rPr>
          <w:rFonts w:cs="Arial"/>
          <w:sz w:val="22"/>
        </w:rPr>
        <w:t xml:space="preserve">to have </w:t>
      </w:r>
      <w:r w:rsidRPr="00B636DD">
        <w:rPr>
          <w:rFonts w:cs="Arial"/>
          <w:sz w:val="22"/>
        </w:rPr>
        <w:t>had their</w:t>
      </w:r>
      <w:r w:rsidRPr="00B636DD">
        <w:rPr>
          <w:rFonts w:cs="Arial"/>
          <w:sz w:val="22"/>
        </w:rPr>
        <w:t xml:space="preserve"> pay cut</w:t>
      </w:r>
      <w:r>
        <w:rPr>
          <w:rFonts w:cs="Arial"/>
          <w:sz w:val="22"/>
        </w:rPr>
        <w:t>.</w:t>
      </w:r>
    </w:p>
    <w:p w:rsidR="00B636DD" w:rsidP="0090143A">
      <w:pPr>
        <w:pStyle w:val="ListParagraph"/>
        <w:numPr>
          <w:ilvl w:val="0"/>
          <w:numId w:val="21"/>
        </w:numPr>
        <w:rPr>
          <w:rFonts w:cs="Arial"/>
          <w:sz w:val="22"/>
        </w:rPr>
      </w:pPr>
      <w:r w:rsidRPr="00B636DD">
        <w:rPr>
          <w:rFonts w:cs="Arial"/>
          <w:sz w:val="22"/>
        </w:rPr>
        <w:t>Lower earning groups were more than twice as likely to experience economic hardship relative to top quintile earners</w:t>
      </w:r>
      <w:r>
        <w:rPr>
          <w:rFonts w:cs="Arial"/>
          <w:sz w:val="22"/>
        </w:rPr>
        <w:t>.</w:t>
      </w:r>
      <w:r w:rsidRPr="00723B3D">
        <w:t xml:space="preserve"> </w:t>
      </w:r>
      <w:r>
        <w:rPr>
          <w:rFonts w:cs="Arial"/>
          <w:sz w:val="22"/>
        </w:rPr>
        <w:t>Thos</w:t>
      </w:r>
      <w:r w:rsidRPr="00723B3D">
        <w:rPr>
          <w:rFonts w:cs="Arial"/>
          <w:sz w:val="22"/>
        </w:rPr>
        <w:t xml:space="preserve">e earning less than £151 per week in February 2020 were three times more likely to be furloughed or have their hours cut by </w:t>
      </w:r>
      <w:r w:rsidRPr="00723B3D">
        <w:rPr>
          <w:rFonts w:cs="Arial"/>
          <w:sz w:val="22"/>
        </w:rPr>
        <w:t>at least half than those earning more than £600 per week</w:t>
      </w:r>
      <w:r>
        <w:rPr>
          <w:rFonts w:cs="Arial"/>
          <w:sz w:val="22"/>
        </w:rPr>
        <w:t>.</w:t>
      </w:r>
    </w:p>
    <w:p w:rsidR="0092159B" w:rsidP="0090143A">
      <w:pPr>
        <w:pStyle w:val="ListParagraph"/>
        <w:numPr>
          <w:ilvl w:val="0"/>
          <w:numId w:val="21"/>
        </w:numPr>
        <w:rPr>
          <w:rFonts w:cs="Arial"/>
          <w:sz w:val="22"/>
        </w:rPr>
      </w:pPr>
      <w:r w:rsidRPr="00B636DD">
        <w:rPr>
          <w:rFonts w:cs="Arial"/>
          <w:sz w:val="22"/>
        </w:rPr>
        <w:t xml:space="preserve">Very few working class women could work from home. For some, </w:t>
      </w:r>
      <w:r>
        <w:rPr>
          <w:rFonts w:cs="Arial"/>
          <w:sz w:val="22"/>
        </w:rPr>
        <w:t>such as</w:t>
      </w:r>
      <w:r w:rsidRPr="00B636DD">
        <w:rPr>
          <w:rFonts w:cs="Arial"/>
          <w:sz w:val="22"/>
        </w:rPr>
        <w:t xml:space="preserve"> domestic cleaners and non-essential shop workers, jobs </w:t>
      </w:r>
      <w:r>
        <w:rPr>
          <w:rFonts w:cs="Arial"/>
          <w:sz w:val="22"/>
        </w:rPr>
        <w:t xml:space="preserve">were </w:t>
      </w:r>
      <w:r w:rsidRPr="00B636DD">
        <w:rPr>
          <w:rFonts w:cs="Arial"/>
          <w:sz w:val="22"/>
        </w:rPr>
        <w:t xml:space="preserve">at risk and </w:t>
      </w:r>
      <w:r>
        <w:rPr>
          <w:rFonts w:cs="Arial"/>
          <w:sz w:val="22"/>
        </w:rPr>
        <w:t xml:space="preserve">hours </w:t>
      </w:r>
      <w:r w:rsidRPr="00B636DD">
        <w:rPr>
          <w:rFonts w:cs="Arial"/>
          <w:sz w:val="22"/>
        </w:rPr>
        <w:t>cut.</w:t>
      </w:r>
    </w:p>
    <w:p w:rsidR="0092159B" w:rsidP="0090143A">
      <w:pPr>
        <w:pStyle w:val="ListParagraph"/>
        <w:numPr>
          <w:ilvl w:val="0"/>
          <w:numId w:val="21"/>
        </w:numPr>
        <w:rPr>
          <w:rFonts w:cs="Arial"/>
          <w:sz w:val="22"/>
        </w:rPr>
      </w:pPr>
      <w:r w:rsidRPr="0092159B">
        <w:rPr>
          <w:rFonts w:cs="Arial"/>
          <w:sz w:val="22"/>
        </w:rPr>
        <w:t>People’s financial experiences differed by age</w:t>
      </w:r>
      <w:r w:rsidRPr="0092159B">
        <w:rPr>
          <w:rFonts w:cs="Arial"/>
          <w:sz w:val="22"/>
        </w:rPr>
        <w:t xml:space="preserve">. </w:t>
      </w:r>
      <w:r>
        <w:rPr>
          <w:rFonts w:cs="Arial"/>
          <w:sz w:val="22"/>
        </w:rPr>
        <w:t>Those who</w:t>
      </w:r>
      <w:r w:rsidRPr="0092159B">
        <w:rPr>
          <w:rFonts w:cs="Arial"/>
          <w:sz w:val="22"/>
        </w:rPr>
        <w:t xml:space="preserve"> were largely unaffected tended to be aged 60 or older, while </w:t>
      </w:r>
      <w:r>
        <w:rPr>
          <w:rFonts w:cs="Arial"/>
          <w:sz w:val="22"/>
        </w:rPr>
        <w:t xml:space="preserve">those </w:t>
      </w:r>
      <w:r w:rsidRPr="0092159B">
        <w:rPr>
          <w:rFonts w:cs="Arial"/>
          <w:sz w:val="22"/>
        </w:rPr>
        <w:t>who sought help from self-employment support schemes and Universal Credit</w:t>
      </w:r>
      <w:r>
        <w:rPr>
          <w:rFonts w:cs="Arial"/>
          <w:sz w:val="22"/>
        </w:rPr>
        <w:t xml:space="preserve"> (UC),</w:t>
      </w:r>
      <w:r w:rsidRPr="0092159B">
        <w:rPr>
          <w:rFonts w:cs="Arial"/>
          <w:sz w:val="22"/>
        </w:rPr>
        <w:t xml:space="preserve"> and </w:t>
      </w:r>
      <w:r>
        <w:rPr>
          <w:rFonts w:cs="Arial"/>
          <w:sz w:val="22"/>
        </w:rPr>
        <w:t xml:space="preserve">those </w:t>
      </w:r>
      <w:r w:rsidRPr="0092159B">
        <w:rPr>
          <w:rFonts w:cs="Arial"/>
          <w:sz w:val="22"/>
        </w:rPr>
        <w:t>who faced multiple financial struggles</w:t>
      </w:r>
      <w:r>
        <w:rPr>
          <w:rFonts w:cs="Arial"/>
          <w:sz w:val="22"/>
        </w:rPr>
        <w:t>,</w:t>
      </w:r>
      <w:r w:rsidRPr="0092159B">
        <w:rPr>
          <w:rFonts w:cs="Arial"/>
          <w:sz w:val="22"/>
        </w:rPr>
        <w:t xml:space="preserve"> were slightly younger than other groups.</w:t>
      </w:r>
    </w:p>
    <w:p w:rsidR="0092159B" w:rsidP="002F1260">
      <w:pPr>
        <w:pStyle w:val="ListParagraph"/>
        <w:numPr>
          <w:ilvl w:val="0"/>
          <w:numId w:val="21"/>
        </w:numPr>
        <w:rPr>
          <w:rFonts w:cs="Arial"/>
          <w:sz w:val="22"/>
        </w:rPr>
      </w:pPr>
      <w:r w:rsidRPr="0092159B">
        <w:rPr>
          <w:rFonts w:cs="Arial"/>
          <w:sz w:val="22"/>
        </w:rPr>
        <w:t xml:space="preserve">People from Black, Asian and Minority Ethnic </w:t>
      </w:r>
      <w:r w:rsidRPr="0092159B">
        <w:rPr>
          <w:rFonts w:cs="Arial"/>
          <w:sz w:val="22"/>
        </w:rPr>
        <w:t xml:space="preserve">(BAME) </w:t>
      </w:r>
      <w:r w:rsidRPr="0092159B">
        <w:rPr>
          <w:rFonts w:cs="Arial"/>
          <w:sz w:val="22"/>
        </w:rPr>
        <w:t>backgrounds were twice as likely as White people to seek help from self-employment support schemes and UC.</w:t>
      </w:r>
    </w:p>
    <w:p w:rsidR="00815D44" w:rsidP="002F1260">
      <w:pPr>
        <w:pStyle w:val="ListParagraph"/>
        <w:numPr>
          <w:ilvl w:val="0"/>
          <w:numId w:val="21"/>
        </w:numPr>
        <w:rPr>
          <w:rFonts w:cs="Arial"/>
          <w:sz w:val="22"/>
        </w:rPr>
      </w:pPr>
      <w:r w:rsidRPr="00F6131D">
        <w:rPr>
          <w:rFonts w:cs="Arial"/>
          <w:sz w:val="22"/>
        </w:rPr>
        <w:t>During the first lockdown in the UK, respondents with d</w:t>
      </w:r>
      <w:r w:rsidRPr="00F6131D">
        <w:rPr>
          <w:rFonts w:cs="Arial"/>
          <w:sz w:val="22"/>
        </w:rPr>
        <w:t>isability were particularly disadvantaged by the financial impact. They were more likely than their peers to be working reduced hours and to experience higher levels of financial stress.</w:t>
      </w:r>
    </w:p>
    <w:p w:rsidR="00A05928" w:rsidP="00A05928">
      <w:pPr>
        <w:rPr>
          <w:rFonts w:cs="Arial"/>
          <w:sz w:val="22"/>
        </w:rPr>
      </w:pPr>
    </w:p>
    <w:p w:rsidR="00E2122C" w:rsidP="00A05928">
      <w:pPr>
        <w:rPr>
          <w:rFonts w:cs="Arial"/>
          <w:sz w:val="22"/>
        </w:rPr>
      </w:pPr>
    </w:p>
    <w:p w:rsidR="00E2122C" w:rsidP="00A05928">
      <w:pPr>
        <w:rPr>
          <w:rFonts w:cs="Arial"/>
          <w:sz w:val="22"/>
        </w:rPr>
      </w:pPr>
    </w:p>
    <w:p w:rsidR="008A712F" w:rsidP="00A05928">
      <w:pPr>
        <w:rPr>
          <w:rFonts w:cs="Arial"/>
          <w:sz w:val="22"/>
        </w:rPr>
      </w:pPr>
    </w:p>
    <w:p w:rsidR="00A05928" w:rsidP="00A05928">
      <w:pPr>
        <w:rPr>
          <w:rFonts w:cs="Arial"/>
          <w:sz w:val="22"/>
        </w:rPr>
      </w:pPr>
      <w:r>
        <w:rPr>
          <w:rFonts w:cs="Arial"/>
          <w:sz w:val="22"/>
        </w:rPr>
        <w:t>Wealth inequality</w:t>
      </w:r>
    </w:p>
    <w:p w:rsidR="00A05928" w:rsidRPr="00A05928" w:rsidP="00A05928">
      <w:pPr>
        <w:rPr>
          <w:rFonts w:cs="Arial"/>
          <w:sz w:val="22"/>
        </w:rPr>
      </w:pPr>
    </w:p>
    <w:p w:rsidR="0092159B" w:rsidP="007A7A04">
      <w:pPr>
        <w:pStyle w:val="ListParagraph"/>
        <w:numPr>
          <w:ilvl w:val="0"/>
          <w:numId w:val="21"/>
        </w:numPr>
        <w:rPr>
          <w:rFonts w:cs="Arial"/>
          <w:sz w:val="22"/>
        </w:rPr>
      </w:pPr>
      <w:r w:rsidRPr="0092159B">
        <w:rPr>
          <w:rFonts w:cs="Arial"/>
          <w:sz w:val="22"/>
        </w:rPr>
        <w:t xml:space="preserve">There have been large increases in wealth </w:t>
      </w:r>
      <w:r w:rsidRPr="0092159B">
        <w:rPr>
          <w:rFonts w:cs="Arial"/>
          <w:sz w:val="22"/>
        </w:rPr>
        <w:t>inequality. If there is a short recession, the impact on wealth inequality is likely to be of the same order of magnitude as after the 2008 recession</w:t>
      </w:r>
      <w:r>
        <w:rPr>
          <w:rFonts w:cs="Arial"/>
          <w:sz w:val="22"/>
        </w:rPr>
        <w:t>.</w:t>
      </w:r>
    </w:p>
    <w:p w:rsidR="0031467C" w:rsidP="000C16E6">
      <w:pPr>
        <w:pStyle w:val="ListParagraph"/>
        <w:numPr>
          <w:ilvl w:val="0"/>
          <w:numId w:val="21"/>
        </w:numPr>
        <w:rPr>
          <w:rFonts w:cs="Arial"/>
          <w:sz w:val="22"/>
        </w:rPr>
      </w:pPr>
      <w:r w:rsidRPr="0092159B">
        <w:rPr>
          <w:rFonts w:cs="Arial"/>
          <w:sz w:val="22"/>
        </w:rPr>
        <w:t>The predicted large increases in wealth inequality highlight the need to examine the distributional effec</w:t>
      </w:r>
      <w:r w:rsidRPr="0092159B">
        <w:rPr>
          <w:rFonts w:cs="Arial"/>
          <w:sz w:val="22"/>
        </w:rPr>
        <w:t>ts of policy</w:t>
      </w:r>
      <w:r>
        <w:rPr>
          <w:rFonts w:cs="Arial"/>
          <w:sz w:val="22"/>
        </w:rPr>
        <w:t>.</w:t>
      </w:r>
      <w:r w:rsidRPr="0092159B">
        <w:rPr>
          <w:rFonts w:cs="Arial"/>
          <w:sz w:val="22"/>
        </w:rPr>
        <w:t xml:space="preserve"> Very strong income growth or redistributive policy could prevent a large increase in inequality in the next few years.</w:t>
      </w:r>
    </w:p>
    <w:p w:rsidR="0031467C" w:rsidP="000C16E6">
      <w:pPr>
        <w:pStyle w:val="ListParagraph"/>
        <w:numPr>
          <w:ilvl w:val="0"/>
          <w:numId w:val="21"/>
        </w:numPr>
        <w:rPr>
          <w:rFonts w:cs="Arial"/>
          <w:sz w:val="22"/>
        </w:rPr>
      </w:pPr>
      <w:r w:rsidRPr="0092159B">
        <w:rPr>
          <w:rFonts w:cs="Arial"/>
          <w:sz w:val="22"/>
        </w:rPr>
        <w:t>The pandemic exacerbates entrenched socio-economic inequalities.</w:t>
      </w:r>
      <w:r w:rsidRPr="0031467C">
        <w:rPr>
          <w:rFonts w:cs="Arial"/>
          <w:sz w:val="22"/>
        </w:rPr>
        <w:t xml:space="preserve"> </w:t>
      </w:r>
      <w:r w:rsidRPr="0092159B">
        <w:rPr>
          <w:rFonts w:cs="Arial"/>
          <w:sz w:val="22"/>
        </w:rPr>
        <w:t xml:space="preserve">Single parents and workers from </w:t>
      </w:r>
      <w:r w:rsidRPr="0092159B">
        <w:rPr>
          <w:rFonts w:cs="Arial"/>
          <w:sz w:val="22"/>
        </w:rPr>
        <w:t xml:space="preserve">BAME </w:t>
      </w:r>
      <w:r w:rsidRPr="0092159B">
        <w:rPr>
          <w:rFonts w:cs="Arial"/>
          <w:sz w:val="22"/>
        </w:rPr>
        <w:t>groups have experienc</w:t>
      </w:r>
      <w:r w:rsidRPr="0092159B">
        <w:rPr>
          <w:rFonts w:cs="Arial"/>
          <w:sz w:val="22"/>
        </w:rPr>
        <w:t>ed the hardest economic shocks</w:t>
      </w:r>
      <w:r>
        <w:rPr>
          <w:rFonts w:cs="Arial"/>
          <w:sz w:val="22"/>
        </w:rPr>
        <w:t>.</w:t>
      </w:r>
    </w:p>
    <w:p w:rsidR="0031467C" w:rsidRPr="0031467C" w:rsidP="0031467C">
      <w:pPr>
        <w:pStyle w:val="ListParagraph"/>
        <w:numPr>
          <w:ilvl w:val="0"/>
          <w:numId w:val="21"/>
        </w:numPr>
        <w:rPr>
          <w:rFonts w:cs="Arial"/>
          <w:sz w:val="22"/>
        </w:rPr>
      </w:pPr>
      <w:r w:rsidRPr="00800221">
        <w:rPr>
          <w:sz w:val="22"/>
          <w:szCs w:val="24"/>
        </w:rPr>
        <w:t>During lockdown</w:t>
      </w:r>
      <w:r>
        <w:rPr>
          <w:sz w:val="22"/>
          <w:szCs w:val="24"/>
        </w:rPr>
        <w:t>, p</w:t>
      </w:r>
      <w:r>
        <w:rPr>
          <w:rFonts w:cs="Arial"/>
          <w:sz w:val="22"/>
        </w:rPr>
        <w:t xml:space="preserve">eople with disabilities </w:t>
      </w:r>
      <w:r w:rsidRPr="00800221">
        <w:rPr>
          <w:sz w:val="22"/>
          <w:szCs w:val="24"/>
        </w:rPr>
        <w:t xml:space="preserve">were more likely than their peers to be working reduced hours and </w:t>
      </w:r>
      <w:r>
        <w:rPr>
          <w:sz w:val="22"/>
          <w:szCs w:val="24"/>
        </w:rPr>
        <w:t>have</w:t>
      </w:r>
      <w:r w:rsidRPr="00800221">
        <w:rPr>
          <w:sz w:val="22"/>
          <w:szCs w:val="24"/>
        </w:rPr>
        <w:t xml:space="preserve"> higher levels of financial stress</w:t>
      </w:r>
      <w:r>
        <w:rPr>
          <w:rFonts w:cs="Arial"/>
          <w:sz w:val="22"/>
        </w:rPr>
        <w:t>.</w:t>
      </w:r>
      <w:r w:rsidRPr="0031467C">
        <w:rPr>
          <w:sz w:val="22"/>
          <w:szCs w:val="24"/>
        </w:rPr>
        <w:t xml:space="preserve"> </w:t>
      </w:r>
      <w:r w:rsidRPr="00800221">
        <w:rPr>
          <w:sz w:val="22"/>
          <w:szCs w:val="24"/>
        </w:rPr>
        <w:t xml:space="preserve">The UN Secretary-General </w:t>
      </w:r>
      <w:r>
        <w:rPr>
          <w:sz w:val="22"/>
          <w:szCs w:val="24"/>
        </w:rPr>
        <w:t xml:space="preserve">said the </w:t>
      </w:r>
      <w:r w:rsidRPr="00800221">
        <w:rPr>
          <w:sz w:val="22"/>
          <w:szCs w:val="24"/>
        </w:rPr>
        <w:t xml:space="preserve">government response </w:t>
      </w:r>
      <w:r>
        <w:rPr>
          <w:sz w:val="22"/>
          <w:szCs w:val="24"/>
        </w:rPr>
        <w:t xml:space="preserve">to Covid should be </w:t>
      </w:r>
      <w:r w:rsidRPr="00800221">
        <w:rPr>
          <w:sz w:val="22"/>
          <w:szCs w:val="24"/>
        </w:rPr>
        <w:t>disability-inclusive</w:t>
      </w:r>
      <w:r>
        <w:rPr>
          <w:sz w:val="22"/>
          <w:szCs w:val="24"/>
        </w:rPr>
        <w:t>.</w:t>
      </w:r>
    </w:p>
    <w:p w:rsidR="00C77535" w:rsidP="00C77535">
      <w:pPr>
        <w:pStyle w:val="ListParagraph"/>
        <w:numPr>
          <w:ilvl w:val="0"/>
          <w:numId w:val="21"/>
        </w:numPr>
        <w:rPr>
          <w:sz w:val="22"/>
          <w:szCs w:val="24"/>
        </w:rPr>
      </w:pPr>
      <w:r w:rsidRPr="00C77535">
        <w:rPr>
          <w:sz w:val="22"/>
          <w:szCs w:val="24"/>
        </w:rPr>
        <w:t>At first, men were slightly more likely than women to be furloughed and to experience earnings losses, but by late summer 2020, the gender differential in furlough rates had reversed. Women also provided more childc</w:t>
      </w:r>
      <w:r w:rsidRPr="00C77535">
        <w:rPr>
          <w:sz w:val="22"/>
          <w:szCs w:val="24"/>
        </w:rPr>
        <w:t>are on average.</w:t>
      </w:r>
    </w:p>
    <w:p w:rsidR="00923016" w:rsidP="00C77535">
      <w:pPr>
        <w:pStyle w:val="ListParagraph"/>
        <w:numPr>
          <w:ilvl w:val="0"/>
          <w:numId w:val="21"/>
        </w:numPr>
        <w:rPr>
          <w:sz w:val="22"/>
          <w:szCs w:val="24"/>
        </w:rPr>
      </w:pPr>
      <w:r w:rsidRPr="00C77535">
        <w:rPr>
          <w:sz w:val="22"/>
          <w:szCs w:val="24"/>
        </w:rPr>
        <w:t>16-25 year olds experienced worse labour market outcomes in terms of job loss, not working and earnings losses during and after lockdown</w:t>
      </w:r>
      <w:r>
        <w:rPr>
          <w:sz w:val="22"/>
          <w:szCs w:val="24"/>
        </w:rPr>
        <w:t xml:space="preserve">, but </w:t>
      </w:r>
      <w:r w:rsidRPr="00C77535">
        <w:rPr>
          <w:sz w:val="22"/>
          <w:szCs w:val="24"/>
        </w:rPr>
        <w:t>the big hit to the self-employed during lockdown was felt across the age range.</w:t>
      </w:r>
    </w:p>
    <w:p w:rsidR="00A05928" w:rsidP="00A05928">
      <w:pPr>
        <w:rPr>
          <w:sz w:val="22"/>
          <w:szCs w:val="24"/>
        </w:rPr>
      </w:pPr>
    </w:p>
    <w:p w:rsidR="00A05928" w:rsidP="00A05928">
      <w:pPr>
        <w:rPr>
          <w:sz w:val="22"/>
          <w:szCs w:val="24"/>
        </w:rPr>
      </w:pPr>
      <w:r>
        <w:rPr>
          <w:sz w:val="22"/>
          <w:szCs w:val="24"/>
        </w:rPr>
        <w:t>Housing impact</w:t>
      </w:r>
    </w:p>
    <w:p w:rsidR="00A05928" w:rsidRPr="00A05928" w:rsidP="00A05928">
      <w:pPr>
        <w:rPr>
          <w:sz w:val="22"/>
          <w:szCs w:val="24"/>
        </w:rPr>
      </w:pPr>
    </w:p>
    <w:p w:rsidR="0079766B" w:rsidP="00923016">
      <w:pPr>
        <w:pStyle w:val="ListParagraph"/>
        <w:numPr>
          <w:ilvl w:val="0"/>
          <w:numId w:val="21"/>
        </w:numPr>
        <w:rPr>
          <w:sz w:val="22"/>
          <w:szCs w:val="24"/>
        </w:rPr>
      </w:pPr>
      <w:r w:rsidRPr="00923016">
        <w:rPr>
          <w:rFonts w:cs="Arial"/>
          <w:sz w:val="22"/>
        </w:rPr>
        <w:t>M</w:t>
      </w:r>
      <w:r w:rsidRPr="00923016">
        <w:rPr>
          <w:rFonts w:cs="Arial"/>
          <w:sz w:val="22"/>
        </w:rPr>
        <w:t>ore renters than home owners were behind on housing costs payments in lockdown</w:t>
      </w:r>
      <w:r>
        <w:rPr>
          <w:rFonts w:cs="Arial"/>
          <w:sz w:val="22"/>
        </w:rPr>
        <w:t>.</w:t>
      </w:r>
    </w:p>
    <w:p w:rsidR="00E2122C" w:rsidP="00333B1E">
      <w:pPr>
        <w:pStyle w:val="ListParagraph"/>
        <w:numPr>
          <w:ilvl w:val="0"/>
          <w:numId w:val="21"/>
        </w:numPr>
        <w:rPr>
          <w:sz w:val="22"/>
          <w:szCs w:val="24"/>
        </w:rPr>
      </w:pPr>
      <w:r w:rsidRPr="00333B1E">
        <w:rPr>
          <w:sz w:val="22"/>
          <w:szCs w:val="24"/>
        </w:rPr>
        <w:t xml:space="preserve">Buying a home </w:t>
      </w:r>
      <w:r w:rsidRPr="00390D55">
        <w:rPr>
          <w:sz w:val="22"/>
          <w:szCs w:val="24"/>
        </w:rPr>
        <w:t>is</w:t>
      </w:r>
      <w:r w:rsidRPr="00333B1E">
        <w:rPr>
          <w:sz w:val="22"/>
          <w:szCs w:val="24"/>
        </w:rPr>
        <w:t xml:space="preserve"> strongly influenced by socio-economic status</w:t>
      </w:r>
      <w:r>
        <w:rPr>
          <w:sz w:val="22"/>
          <w:szCs w:val="24"/>
        </w:rPr>
        <w:t xml:space="preserve"> – </w:t>
      </w:r>
      <w:r w:rsidRPr="00333B1E">
        <w:rPr>
          <w:sz w:val="22"/>
          <w:szCs w:val="24"/>
        </w:rPr>
        <w:t>c</w:t>
      </w:r>
      <w:r w:rsidRPr="00333B1E">
        <w:rPr>
          <w:sz w:val="22"/>
          <w:szCs w:val="24"/>
        </w:rPr>
        <w:t xml:space="preserve">hildren with parents who have property wealth are more likely to be homeowners themselves by the time they are </w:t>
      </w:r>
      <w:r w:rsidRPr="00333B1E">
        <w:rPr>
          <w:sz w:val="22"/>
          <w:szCs w:val="24"/>
        </w:rPr>
        <w:t>30.</w:t>
      </w:r>
    </w:p>
    <w:p w:rsidR="00923016" w:rsidRPr="00390D55" w:rsidP="00333B1E">
      <w:pPr>
        <w:pStyle w:val="ListParagraph"/>
        <w:numPr>
          <w:ilvl w:val="0"/>
          <w:numId w:val="21"/>
        </w:numPr>
        <w:rPr>
          <w:sz w:val="22"/>
          <w:szCs w:val="24"/>
        </w:rPr>
      </w:pPr>
      <w:r w:rsidRPr="00333B1E">
        <w:rPr>
          <w:sz w:val="22"/>
          <w:szCs w:val="24"/>
        </w:rPr>
        <w:t>Government initiatives to help young adults buy property are likely to disproportionately benefit more advantaged social groups and increase inequality. A fairer way to improve young people’s residential conditions would be to improve the cost and qual</w:t>
      </w:r>
      <w:r w:rsidRPr="00333B1E">
        <w:rPr>
          <w:sz w:val="22"/>
          <w:szCs w:val="24"/>
        </w:rPr>
        <w:t>ity of renting.</w:t>
      </w:r>
    </w:p>
    <w:p w:rsidR="004F22A0" w:rsidRPr="004F22A0" w:rsidP="00130145">
      <w:pPr>
        <w:pStyle w:val="ListParagraph"/>
        <w:numPr>
          <w:ilvl w:val="0"/>
          <w:numId w:val="21"/>
        </w:numPr>
        <w:rPr>
          <w:sz w:val="22"/>
          <w:szCs w:val="24"/>
        </w:rPr>
      </w:pPr>
      <w:r>
        <w:rPr>
          <w:rFonts w:cs="Arial"/>
          <w:sz w:val="22"/>
        </w:rPr>
        <w:t>G</w:t>
      </w:r>
      <w:r w:rsidRPr="00923016">
        <w:rPr>
          <w:rFonts w:cs="Arial"/>
          <w:sz w:val="22"/>
        </w:rPr>
        <w:t>reater investment in social housing, more secure private tenancies, and reversing reductions in housing benefit support will be needed.</w:t>
      </w:r>
    </w:p>
    <w:p w:rsidR="004F22A0" w:rsidRPr="00E2122C" w:rsidP="002C3CEE">
      <w:pPr>
        <w:pStyle w:val="ListParagraph"/>
        <w:numPr>
          <w:ilvl w:val="0"/>
          <w:numId w:val="21"/>
        </w:numPr>
        <w:rPr>
          <w:sz w:val="22"/>
          <w:szCs w:val="24"/>
        </w:rPr>
      </w:pPr>
      <w:r w:rsidRPr="00E2122C">
        <w:rPr>
          <w:rFonts w:cs="Arial"/>
          <w:sz w:val="22"/>
        </w:rPr>
        <w:t xml:space="preserve">During the pandemic, the non-eviction policy has given renters housing stability, and the provision of </w:t>
      </w:r>
      <w:r w:rsidRPr="00E2122C">
        <w:rPr>
          <w:rFonts w:cs="Arial"/>
          <w:sz w:val="22"/>
        </w:rPr>
        <w:t>accommodation for homeless people also had a significant impact</w:t>
      </w:r>
      <w:r w:rsidRPr="00E2122C">
        <w:rPr>
          <w:rFonts w:cs="Arial"/>
          <w:sz w:val="22"/>
        </w:rPr>
        <w:t xml:space="preserve"> </w:t>
      </w:r>
      <w:r>
        <w:rPr>
          <w:rFonts w:cs="Arial"/>
          <w:sz w:val="22"/>
        </w:rPr>
        <w:t>–</w:t>
      </w:r>
      <w:r w:rsidRPr="00E2122C">
        <w:rPr>
          <w:rFonts w:cs="Arial"/>
          <w:sz w:val="22"/>
        </w:rPr>
        <w:t xml:space="preserve"> </w:t>
      </w:r>
      <w:r w:rsidRPr="00E2122C">
        <w:rPr>
          <w:rFonts w:cs="Arial"/>
          <w:sz w:val="22"/>
        </w:rPr>
        <w:t>demonstrat</w:t>
      </w:r>
      <w:r>
        <w:rPr>
          <w:rFonts w:cs="Arial"/>
          <w:sz w:val="22"/>
        </w:rPr>
        <w:t>ing</w:t>
      </w:r>
      <w:r w:rsidRPr="00E2122C">
        <w:rPr>
          <w:rFonts w:cs="Arial"/>
          <w:sz w:val="22"/>
        </w:rPr>
        <w:t xml:space="preserve"> the power of policy to shape residential patterns and experiences.</w:t>
      </w:r>
    </w:p>
    <w:p w:rsidR="00C77535" w:rsidRPr="00923016" w:rsidP="00130145">
      <w:pPr>
        <w:pStyle w:val="ListParagraph"/>
        <w:numPr>
          <w:ilvl w:val="0"/>
          <w:numId w:val="21"/>
        </w:numPr>
        <w:rPr>
          <w:sz w:val="22"/>
          <w:szCs w:val="24"/>
        </w:rPr>
      </w:pPr>
      <w:r>
        <w:rPr>
          <w:rFonts w:cs="Arial"/>
          <w:sz w:val="22"/>
        </w:rPr>
        <w:t>H</w:t>
      </w:r>
      <w:r w:rsidRPr="004F22A0">
        <w:rPr>
          <w:rFonts w:cs="Arial"/>
          <w:sz w:val="22"/>
        </w:rPr>
        <w:t xml:space="preserve">ousing-related factors </w:t>
      </w:r>
      <w:r>
        <w:rPr>
          <w:rFonts w:cs="Arial"/>
          <w:sz w:val="22"/>
        </w:rPr>
        <w:t>may</w:t>
      </w:r>
      <w:r w:rsidRPr="004F22A0">
        <w:rPr>
          <w:rFonts w:cs="Arial"/>
          <w:sz w:val="22"/>
        </w:rPr>
        <w:t xml:space="preserve"> now </w:t>
      </w:r>
      <w:r>
        <w:rPr>
          <w:rFonts w:cs="Arial"/>
          <w:sz w:val="22"/>
        </w:rPr>
        <w:t xml:space="preserve">be </w:t>
      </w:r>
      <w:r w:rsidRPr="004F22A0">
        <w:rPr>
          <w:rFonts w:cs="Arial"/>
          <w:sz w:val="22"/>
        </w:rPr>
        <w:t xml:space="preserve">more important than labour market ones in residential </w:t>
      </w:r>
      <w:r w:rsidRPr="004F22A0">
        <w:rPr>
          <w:rFonts w:cs="Arial"/>
          <w:sz w:val="22"/>
        </w:rPr>
        <w:t>decision-making, rais</w:t>
      </w:r>
      <w:r>
        <w:rPr>
          <w:rFonts w:cs="Arial"/>
          <w:sz w:val="22"/>
        </w:rPr>
        <w:t>ing</w:t>
      </w:r>
      <w:r w:rsidRPr="004F22A0">
        <w:rPr>
          <w:rFonts w:cs="Arial"/>
          <w:sz w:val="22"/>
        </w:rPr>
        <w:t xml:space="preserve"> questions about choice and opportunity. Policy needs to address the question: who is not able to move to improve their circumstances?</w:t>
      </w:r>
    </w:p>
    <w:p w:rsidR="0092159B" w:rsidP="0090143A">
      <w:pPr>
        <w:rPr>
          <w:rFonts w:cs="Arial"/>
          <w:sz w:val="22"/>
        </w:rPr>
      </w:pPr>
    </w:p>
    <w:p w:rsidR="0090143A" w:rsidRPr="002546CC" w:rsidP="0090143A">
      <w:pPr>
        <w:rPr>
          <w:rFonts w:cs="Arial"/>
          <w:b/>
          <w:bCs/>
          <w:sz w:val="22"/>
        </w:rPr>
      </w:pPr>
      <w:r w:rsidRPr="002546CC">
        <w:rPr>
          <w:rFonts w:cs="Arial"/>
          <w:b/>
          <w:bCs/>
          <w:sz w:val="22"/>
        </w:rPr>
        <w:t>1. Introduction</w:t>
      </w:r>
    </w:p>
    <w:p w:rsidR="0090143A" w:rsidRPr="002546CC" w:rsidP="0090143A">
      <w:pPr>
        <w:rPr>
          <w:rFonts w:cs="Arial"/>
          <w:sz w:val="22"/>
        </w:rPr>
      </w:pPr>
    </w:p>
    <w:p w:rsidR="0090143A" w:rsidRPr="002546CC" w:rsidP="0090143A">
      <w:pPr>
        <w:rPr>
          <w:rFonts w:cs="Arial"/>
          <w:sz w:val="22"/>
        </w:rPr>
      </w:pPr>
      <w:r w:rsidRPr="002546CC">
        <w:rPr>
          <w:rFonts w:cs="Arial"/>
          <w:sz w:val="22"/>
        </w:rPr>
        <w:t xml:space="preserve">1.1. </w:t>
      </w:r>
      <w:r w:rsidRPr="002546CC">
        <w:rPr>
          <w:rFonts w:cs="Arial"/>
          <w:i/>
          <w:iCs/>
          <w:sz w:val="22"/>
        </w:rPr>
        <w:t>Understanding Society</w:t>
      </w:r>
      <w:r w:rsidRPr="002546CC">
        <w:rPr>
          <w:rFonts w:cs="Arial"/>
          <w:sz w:val="22"/>
        </w:rPr>
        <w:t>, the UK Household Longitudinal Study, is a world-lea</w:t>
      </w:r>
      <w:r w:rsidRPr="002546CC">
        <w:rPr>
          <w:rFonts w:cs="Arial"/>
          <w:sz w:val="22"/>
        </w:rPr>
        <w:t xml:space="preserve">ding longitudinal survey of continuity and change in UK life. From an initial sample of around 40,000 households, the same people are invited to participate in annual surveys. Together with its predecessor, the British Household Panel Survey, the data now </w:t>
      </w:r>
      <w:r w:rsidRPr="002546CC">
        <w:rPr>
          <w:rFonts w:cs="Arial"/>
          <w:sz w:val="22"/>
        </w:rPr>
        <w:t xml:space="preserve">span </w:t>
      </w:r>
      <w:r>
        <w:rPr>
          <w:rFonts w:cs="Arial"/>
          <w:sz w:val="22"/>
        </w:rPr>
        <w:t xml:space="preserve">28 </w:t>
      </w:r>
      <w:r w:rsidRPr="002546CC">
        <w:rPr>
          <w:rFonts w:cs="Arial"/>
          <w:sz w:val="22"/>
        </w:rPr>
        <w:t xml:space="preserve">years. </w:t>
      </w:r>
      <w:r w:rsidRPr="002546CC">
        <w:rPr>
          <w:rFonts w:cs="Arial"/>
          <w:i/>
          <w:iCs/>
          <w:sz w:val="22"/>
        </w:rPr>
        <w:t>Understanding Society</w:t>
      </w:r>
      <w:r w:rsidRPr="002546CC">
        <w:rPr>
          <w:rFonts w:cs="Arial"/>
          <w:sz w:val="22"/>
        </w:rPr>
        <w:t xml:space="preserve"> is based at the Institute for Social and Economic Research at the University of Essex.</w:t>
      </w:r>
    </w:p>
    <w:p w:rsidR="0090143A" w:rsidRPr="002546CC" w:rsidP="0090143A">
      <w:pPr>
        <w:rPr>
          <w:rFonts w:cs="Arial"/>
          <w:sz w:val="22"/>
        </w:rPr>
      </w:pPr>
    </w:p>
    <w:p w:rsidR="0090143A" w:rsidRPr="002546CC" w:rsidP="0090143A">
      <w:pPr>
        <w:rPr>
          <w:rFonts w:cs="Arial"/>
          <w:sz w:val="22"/>
        </w:rPr>
      </w:pPr>
      <w:r w:rsidRPr="002546CC">
        <w:rPr>
          <w:rFonts w:cs="Arial"/>
          <w:sz w:val="22"/>
        </w:rPr>
        <w:t xml:space="preserve">1.2. </w:t>
      </w:r>
      <w:r w:rsidRPr="002546CC">
        <w:rPr>
          <w:rFonts w:cs="Arial"/>
          <w:i/>
          <w:iCs/>
          <w:sz w:val="22"/>
        </w:rPr>
        <w:t>Understanding Society</w:t>
      </w:r>
      <w:r w:rsidRPr="002546CC">
        <w:rPr>
          <w:rFonts w:cs="Arial"/>
          <w:sz w:val="22"/>
        </w:rPr>
        <w:t xml:space="preserve"> is primarily funded by the Economic and Social Research Council (ESRC), part of UK Research and Innovation, and has received funding from a number of </w:t>
      </w:r>
      <w:r>
        <w:rPr>
          <w:rFonts w:cs="Arial"/>
          <w:sz w:val="22"/>
        </w:rPr>
        <w:t>g</w:t>
      </w:r>
      <w:r w:rsidRPr="002546CC">
        <w:rPr>
          <w:rFonts w:cs="Arial"/>
          <w:sz w:val="22"/>
        </w:rPr>
        <w:t xml:space="preserve">overnment departments, devolved administrations and agencies. Anonymised </w:t>
      </w:r>
      <w:r w:rsidRPr="002546CC">
        <w:rPr>
          <w:rFonts w:cs="Arial"/>
          <w:sz w:val="22"/>
        </w:rPr>
        <w:t xml:space="preserve">data from the surveys are made </w:t>
      </w:r>
      <w:r w:rsidRPr="002546CC">
        <w:rPr>
          <w:rFonts w:cs="Arial"/>
          <w:sz w:val="22"/>
        </w:rPr>
        <w:t>available to registered researchers to use in their own research projects.</w:t>
      </w:r>
    </w:p>
    <w:p w:rsidR="0090143A" w:rsidRPr="002546CC" w:rsidP="0090143A">
      <w:pPr>
        <w:rPr>
          <w:rFonts w:cs="Arial"/>
          <w:sz w:val="22"/>
        </w:rPr>
      </w:pPr>
    </w:p>
    <w:p w:rsidR="0090143A" w:rsidRPr="002546CC" w:rsidP="0090143A">
      <w:pPr>
        <w:rPr>
          <w:rFonts w:cs="Arial"/>
          <w:sz w:val="22"/>
        </w:rPr>
      </w:pPr>
      <w:r w:rsidRPr="002546CC">
        <w:rPr>
          <w:rFonts w:cs="Arial"/>
          <w:sz w:val="22"/>
        </w:rPr>
        <w:t>1.3 In April</w:t>
      </w:r>
      <w:r>
        <w:rPr>
          <w:rFonts w:cs="Arial"/>
          <w:sz w:val="22"/>
        </w:rPr>
        <w:t xml:space="preserve"> 2020</w:t>
      </w:r>
      <w:r w:rsidRPr="002546CC">
        <w:rPr>
          <w:rFonts w:cs="Arial"/>
          <w:sz w:val="22"/>
        </w:rPr>
        <w:t xml:space="preserve">, </w:t>
      </w:r>
      <w:r w:rsidRPr="002546CC">
        <w:rPr>
          <w:rFonts w:cs="Arial"/>
          <w:i/>
          <w:iCs/>
          <w:sz w:val="22"/>
        </w:rPr>
        <w:t>Understanding Society</w:t>
      </w:r>
      <w:r w:rsidRPr="002546CC">
        <w:rPr>
          <w:rFonts w:cs="Arial"/>
          <w:sz w:val="22"/>
        </w:rPr>
        <w:t xml:space="preserve"> began a regular new survey to look at the impact of coronavirus on the UK population. 42,000 adult participants across the UK were invited </w:t>
      </w:r>
      <w:r w:rsidRPr="002546CC">
        <w:rPr>
          <w:rFonts w:cs="Arial"/>
          <w:sz w:val="22"/>
        </w:rPr>
        <w:t xml:space="preserve">to take part, and 17,450 participants completed the survey in the first Wave. </w:t>
      </w:r>
      <w:r>
        <w:rPr>
          <w:rFonts w:cs="Arial"/>
          <w:sz w:val="22"/>
        </w:rPr>
        <w:t>Eight</w:t>
      </w:r>
      <w:r>
        <w:rPr>
          <w:rFonts w:cs="Arial"/>
          <w:sz w:val="22"/>
        </w:rPr>
        <w:t xml:space="preserve"> waves of data (April, May, June</w:t>
      </w:r>
      <w:r>
        <w:rPr>
          <w:rFonts w:cs="Arial"/>
          <w:sz w:val="22"/>
        </w:rPr>
        <w:t>,</w:t>
      </w:r>
      <w:r>
        <w:rPr>
          <w:rFonts w:cs="Arial"/>
          <w:sz w:val="22"/>
        </w:rPr>
        <w:t xml:space="preserve"> July</w:t>
      </w:r>
      <w:r>
        <w:rPr>
          <w:rFonts w:cs="Arial"/>
          <w:sz w:val="22"/>
        </w:rPr>
        <w:t>, September and November 2020, and Jan and Mar 2021</w:t>
      </w:r>
      <w:r>
        <w:rPr>
          <w:rFonts w:cs="Arial"/>
          <w:sz w:val="22"/>
        </w:rPr>
        <w:t>) are now available</w:t>
      </w:r>
      <w:r w:rsidRPr="002546CC">
        <w:rPr>
          <w:rFonts w:cs="Arial"/>
          <w:sz w:val="22"/>
        </w:rPr>
        <w:t>.</w:t>
      </w:r>
    </w:p>
    <w:p w:rsidR="0090143A" w:rsidRPr="002546CC" w:rsidP="0090143A">
      <w:pPr>
        <w:rPr>
          <w:rFonts w:cs="Arial"/>
          <w:sz w:val="22"/>
        </w:rPr>
      </w:pPr>
    </w:p>
    <w:p w:rsidR="0090143A" w:rsidP="0090143A">
      <w:pPr>
        <w:rPr>
          <w:rFonts w:cs="Arial"/>
          <w:sz w:val="22"/>
        </w:rPr>
      </w:pPr>
      <w:r w:rsidRPr="002546CC">
        <w:rPr>
          <w:rFonts w:cs="Arial"/>
          <w:sz w:val="22"/>
        </w:rPr>
        <w:t xml:space="preserve">1.4 The </w:t>
      </w:r>
      <w:r>
        <w:rPr>
          <w:rFonts w:cs="Arial"/>
          <w:sz w:val="22"/>
        </w:rPr>
        <w:t xml:space="preserve">timely </w:t>
      </w:r>
      <w:r w:rsidRPr="002546CC">
        <w:rPr>
          <w:rFonts w:cs="Arial"/>
          <w:sz w:val="22"/>
        </w:rPr>
        <w:t>C</w:t>
      </w:r>
      <w:r>
        <w:rPr>
          <w:rFonts w:cs="Arial"/>
          <w:sz w:val="22"/>
        </w:rPr>
        <w:t>ovid</w:t>
      </w:r>
      <w:r w:rsidRPr="002546CC">
        <w:rPr>
          <w:rFonts w:cs="Arial"/>
          <w:sz w:val="22"/>
        </w:rPr>
        <w:t xml:space="preserve">-19 </w:t>
      </w:r>
      <w:r>
        <w:rPr>
          <w:rFonts w:cs="Arial"/>
          <w:sz w:val="22"/>
        </w:rPr>
        <w:t>S</w:t>
      </w:r>
      <w:r w:rsidRPr="002546CC">
        <w:rPr>
          <w:rFonts w:cs="Arial"/>
          <w:sz w:val="22"/>
        </w:rPr>
        <w:t xml:space="preserve">urvey </w:t>
      </w:r>
      <w:r>
        <w:rPr>
          <w:rFonts w:cs="Arial"/>
          <w:sz w:val="22"/>
        </w:rPr>
        <w:t xml:space="preserve">data was provided alongside </w:t>
      </w:r>
      <w:r w:rsidRPr="002546CC">
        <w:rPr>
          <w:rFonts w:cs="Arial"/>
          <w:sz w:val="22"/>
        </w:rPr>
        <w:t xml:space="preserve">pre-crisis baseline </w:t>
      </w:r>
      <w:r>
        <w:rPr>
          <w:rFonts w:cs="Arial"/>
          <w:sz w:val="22"/>
        </w:rPr>
        <w:t xml:space="preserve">data </w:t>
      </w:r>
      <w:r>
        <w:rPr>
          <w:rFonts w:cs="Arial"/>
          <w:sz w:val="22"/>
        </w:rPr>
        <w:t xml:space="preserve">(2019) </w:t>
      </w:r>
      <w:r>
        <w:rPr>
          <w:rFonts w:cs="Arial"/>
          <w:sz w:val="22"/>
        </w:rPr>
        <w:t>to enable researchers to measure the impact of the pandemic</w:t>
      </w:r>
      <w:r w:rsidRPr="002546CC">
        <w:rPr>
          <w:rFonts w:cs="Arial"/>
          <w:sz w:val="22"/>
        </w:rPr>
        <w:t xml:space="preserve">. </w:t>
      </w:r>
    </w:p>
    <w:p w:rsidR="00806B94" w:rsidP="0090143A">
      <w:pPr>
        <w:rPr>
          <w:rFonts w:cs="Arial"/>
          <w:sz w:val="22"/>
        </w:rPr>
      </w:pPr>
    </w:p>
    <w:p w:rsidR="00806B94" w:rsidRPr="002546CC" w:rsidP="0090143A">
      <w:pPr>
        <w:rPr>
          <w:rFonts w:cs="Arial"/>
          <w:sz w:val="22"/>
        </w:rPr>
      </w:pPr>
      <w:r>
        <w:rPr>
          <w:rFonts w:cs="Arial"/>
          <w:sz w:val="22"/>
        </w:rPr>
        <w:t>1.5 The following evidence comes from research using Understanding Society data, and is particularly relevant to the Committee’s inte</w:t>
      </w:r>
      <w:r>
        <w:rPr>
          <w:rFonts w:cs="Arial"/>
          <w:sz w:val="22"/>
        </w:rPr>
        <w:t>rest in: trends in income and wealth inequality; h</w:t>
      </w:r>
      <w:r w:rsidRPr="00806B94">
        <w:rPr>
          <w:rFonts w:cs="Arial"/>
          <w:sz w:val="22"/>
        </w:rPr>
        <w:t xml:space="preserve">ow </w:t>
      </w:r>
      <w:r>
        <w:rPr>
          <w:rFonts w:cs="Arial"/>
          <w:sz w:val="22"/>
        </w:rPr>
        <w:t>to</w:t>
      </w:r>
      <w:r w:rsidRPr="00806B94">
        <w:rPr>
          <w:rFonts w:cs="Arial"/>
          <w:sz w:val="22"/>
        </w:rPr>
        <w:t xml:space="preserve"> combat the inequalities exacerbated </w:t>
      </w:r>
      <w:r>
        <w:rPr>
          <w:rFonts w:cs="Arial"/>
          <w:sz w:val="22"/>
        </w:rPr>
        <w:t>by</w:t>
      </w:r>
      <w:r w:rsidRPr="00806B94">
        <w:rPr>
          <w:rFonts w:cs="Arial"/>
          <w:sz w:val="22"/>
        </w:rPr>
        <w:t xml:space="preserve"> the pandemic</w:t>
      </w:r>
      <w:r>
        <w:rPr>
          <w:rFonts w:cs="Arial"/>
          <w:sz w:val="22"/>
        </w:rPr>
        <w:t>; the e</w:t>
      </w:r>
      <w:r w:rsidRPr="00806B94">
        <w:rPr>
          <w:rFonts w:cs="Arial"/>
          <w:sz w:val="22"/>
        </w:rPr>
        <w:t>conomic impact on disability, gender, and race inequality</w:t>
      </w:r>
      <w:r>
        <w:rPr>
          <w:rFonts w:cs="Arial"/>
          <w:sz w:val="22"/>
        </w:rPr>
        <w:t xml:space="preserve">; </w:t>
      </w:r>
      <w:r w:rsidRPr="00806B94">
        <w:rPr>
          <w:rFonts w:cs="Arial"/>
          <w:sz w:val="22"/>
        </w:rPr>
        <w:t>trends in intergenerational inequality, and how the crisis has affected them</w:t>
      </w:r>
      <w:r>
        <w:rPr>
          <w:rFonts w:cs="Arial"/>
          <w:sz w:val="22"/>
        </w:rPr>
        <w:t>.</w:t>
      </w:r>
    </w:p>
    <w:p w:rsidR="0090143A" w:rsidP="00806B94">
      <w:pPr>
        <w:tabs>
          <w:tab w:val="left" w:pos="1440"/>
        </w:tabs>
        <w:rPr>
          <w:rFonts w:cs="Arial"/>
          <w:sz w:val="22"/>
        </w:rPr>
      </w:pPr>
    </w:p>
    <w:p w:rsidR="007E70A8" w:rsidRPr="007E70A8" w:rsidP="0090143A">
      <w:pPr>
        <w:rPr>
          <w:rFonts w:cs="Arial"/>
          <w:b/>
          <w:bCs/>
          <w:sz w:val="22"/>
        </w:rPr>
      </w:pPr>
      <w:bookmarkStart w:id="0" w:name="_Hlk74059486"/>
      <w:r w:rsidRPr="002546CC">
        <w:rPr>
          <w:rFonts w:cs="Arial"/>
          <w:b/>
          <w:bCs/>
          <w:sz w:val="22"/>
        </w:rPr>
        <w:t xml:space="preserve">2. </w:t>
      </w:r>
      <w:r>
        <w:rPr>
          <w:rFonts w:cs="Arial"/>
          <w:b/>
          <w:bCs/>
          <w:sz w:val="22"/>
        </w:rPr>
        <w:t>T</w:t>
      </w:r>
      <w:r>
        <w:rPr>
          <w:rFonts w:cs="Arial"/>
          <w:b/>
          <w:bCs/>
          <w:sz w:val="22"/>
        </w:rPr>
        <w:t>rends in</w:t>
      </w:r>
      <w:r>
        <w:rPr>
          <w:rFonts w:cs="Arial"/>
          <w:b/>
          <w:bCs/>
          <w:sz w:val="22"/>
        </w:rPr>
        <w:t xml:space="preserve"> income and wealth inequality</w:t>
      </w:r>
      <w:r>
        <w:rPr>
          <w:rFonts w:cs="Arial"/>
          <w:b/>
          <w:bCs/>
          <w:sz w:val="22"/>
        </w:rPr>
        <w:t xml:space="preserve"> –</w:t>
      </w:r>
      <w:r>
        <w:rPr>
          <w:rFonts w:cs="Arial"/>
          <w:b/>
          <w:bCs/>
          <w:sz w:val="22"/>
        </w:rPr>
        <w:t xml:space="preserve"> u</w:t>
      </w:r>
      <w:r w:rsidRPr="007E70A8">
        <w:rPr>
          <w:rFonts w:cs="Arial"/>
          <w:b/>
          <w:bCs/>
          <w:sz w:val="22"/>
        </w:rPr>
        <w:t>neven and regressive effects</w:t>
      </w:r>
    </w:p>
    <w:p w:rsidR="007E70A8" w:rsidP="0090143A">
      <w:pPr>
        <w:rPr>
          <w:rFonts w:cs="Arial"/>
          <w:sz w:val="22"/>
        </w:rPr>
      </w:pPr>
      <w:bookmarkEnd w:id="0"/>
    </w:p>
    <w:p w:rsidR="00351EA9" w:rsidP="0090143A">
      <w:pPr>
        <w:rPr>
          <w:rFonts w:cs="Arial"/>
          <w:sz w:val="22"/>
        </w:rPr>
      </w:pPr>
      <w:r>
        <w:rPr>
          <w:rFonts w:cs="Arial"/>
          <w:sz w:val="22"/>
        </w:rPr>
        <w:t>2.1 T</w:t>
      </w:r>
      <w:r w:rsidRPr="00351EA9">
        <w:rPr>
          <w:rFonts w:cs="Arial"/>
          <w:sz w:val="22"/>
        </w:rPr>
        <w:t>he aggregate effects of C</w:t>
      </w:r>
      <w:r>
        <w:rPr>
          <w:rFonts w:cs="Arial"/>
          <w:sz w:val="22"/>
        </w:rPr>
        <w:t>ovid</w:t>
      </w:r>
      <w:r w:rsidRPr="00351EA9">
        <w:rPr>
          <w:rFonts w:cs="Arial"/>
          <w:sz w:val="22"/>
        </w:rPr>
        <w:t>-19 mask considerable differences in how individuals are affected</w:t>
      </w:r>
      <w:r>
        <w:rPr>
          <w:rFonts w:cs="Arial"/>
          <w:sz w:val="22"/>
        </w:rPr>
        <w:t>,</w:t>
      </w:r>
      <w:r w:rsidRPr="00351EA9">
        <w:rPr>
          <w:rFonts w:cs="Arial"/>
          <w:sz w:val="22"/>
        </w:rPr>
        <w:t xml:space="preserve"> because the impact on individuals was highly </w:t>
      </w:r>
      <w:r>
        <w:rPr>
          <w:rFonts w:cs="Arial"/>
          <w:sz w:val="22"/>
        </w:rPr>
        <w:t>uneven, and people</w:t>
      </w:r>
      <w:r w:rsidRPr="00351EA9">
        <w:rPr>
          <w:rFonts w:cs="Arial"/>
          <w:sz w:val="22"/>
        </w:rPr>
        <w:t xml:space="preserve"> use</w:t>
      </w:r>
      <w:r>
        <w:rPr>
          <w:rFonts w:cs="Arial"/>
          <w:sz w:val="22"/>
        </w:rPr>
        <w:t>d</w:t>
      </w:r>
      <w:r w:rsidRPr="00351EA9">
        <w:rPr>
          <w:rFonts w:cs="Arial"/>
          <w:sz w:val="22"/>
        </w:rPr>
        <w:t xml:space="preserve"> different private and public support mechanisms</w:t>
      </w:r>
      <w:r>
        <w:rPr>
          <w:rFonts w:cs="Arial"/>
          <w:sz w:val="22"/>
        </w:rPr>
        <w:t xml:space="preserve"> to mitigate the effects</w:t>
      </w:r>
      <w:r w:rsidRPr="00351EA9">
        <w:rPr>
          <w:rFonts w:cs="Arial"/>
          <w:sz w:val="22"/>
        </w:rPr>
        <w:t>.</w:t>
      </w:r>
    </w:p>
    <w:p w:rsidR="00351EA9" w:rsidP="0090143A">
      <w:pPr>
        <w:rPr>
          <w:rFonts w:cs="Arial"/>
          <w:sz w:val="22"/>
        </w:rPr>
      </w:pPr>
    </w:p>
    <w:p w:rsidR="007E70A8" w:rsidP="00351EA9">
      <w:pPr>
        <w:rPr>
          <w:rFonts w:cs="Arial"/>
          <w:sz w:val="22"/>
        </w:rPr>
      </w:pPr>
      <w:r>
        <w:rPr>
          <w:rFonts w:cs="Arial"/>
          <w:sz w:val="22"/>
        </w:rPr>
        <w:t xml:space="preserve">2.2 </w:t>
      </w:r>
      <w:r w:rsidRPr="00351EA9">
        <w:rPr>
          <w:rFonts w:cs="Arial"/>
          <w:sz w:val="22"/>
        </w:rPr>
        <w:t xml:space="preserve">Two months after the </w:t>
      </w:r>
      <w:r>
        <w:rPr>
          <w:rFonts w:cs="Arial"/>
          <w:sz w:val="22"/>
        </w:rPr>
        <w:t>‘</w:t>
      </w:r>
      <w:r w:rsidRPr="00351EA9">
        <w:rPr>
          <w:rFonts w:cs="Arial"/>
          <w:sz w:val="22"/>
        </w:rPr>
        <w:t>stay at home</w:t>
      </w:r>
      <w:r>
        <w:rPr>
          <w:rFonts w:cs="Arial"/>
          <w:sz w:val="22"/>
        </w:rPr>
        <w:t>’</w:t>
      </w:r>
      <w:r w:rsidRPr="00351EA9">
        <w:rPr>
          <w:rFonts w:cs="Arial"/>
          <w:sz w:val="22"/>
        </w:rPr>
        <w:t xml:space="preserve"> policy was introduced in the UK at the end of March</w:t>
      </w:r>
      <w:r>
        <w:rPr>
          <w:rFonts w:cs="Arial"/>
          <w:sz w:val="22"/>
        </w:rPr>
        <w:t xml:space="preserve"> 2020</w:t>
      </w:r>
      <w:r w:rsidRPr="00351EA9">
        <w:rPr>
          <w:rFonts w:cs="Arial"/>
          <w:sz w:val="22"/>
        </w:rPr>
        <w:t>, unemployment h</w:t>
      </w:r>
      <w:r w:rsidRPr="00351EA9">
        <w:rPr>
          <w:rFonts w:cs="Arial"/>
          <w:sz w:val="22"/>
        </w:rPr>
        <w:t>ad barely increased</w:t>
      </w:r>
      <w:r>
        <w:rPr>
          <w:rFonts w:cs="Arial"/>
          <w:sz w:val="22"/>
        </w:rPr>
        <w:t>, but</w:t>
      </w:r>
      <w:r w:rsidRPr="00351EA9">
        <w:rPr>
          <w:rFonts w:cs="Arial"/>
          <w:sz w:val="22"/>
        </w:rPr>
        <w:t xml:space="preserve"> almost 50% of the working-age population were not working positive hours</w:t>
      </w:r>
      <w:r>
        <w:rPr>
          <w:rFonts w:cs="Arial"/>
          <w:sz w:val="22"/>
        </w:rPr>
        <w:t>.</w:t>
      </w:r>
    </w:p>
    <w:p w:rsidR="007E70A8" w:rsidP="00351EA9">
      <w:pPr>
        <w:rPr>
          <w:rFonts w:cs="Arial"/>
          <w:sz w:val="22"/>
        </w:rPr>
      </w:pPr>
    </w:p>
    <w:p w:rsidR="00351EA9" w:rsidP="00351EA9">
      <w:pPr>
        <w:rPr>
          <w:rFonts w:cs="Arial"/>
          <w:sz w:val="22"/>
        </w:rPr>
      </w:pPr>
      <w:r>
        <w:rPr>
          <w:rFonts w:cs="Arial"/>
          <w:sz w:val="22"/>
        </w:rPr>
        <w:t>2.3 Many were</w:t>
      </w:r>
      <w:r w:rsidRPr="00351EA9">
        <w:rPr>
          <w:rFonts w:cs="Arial"/>
          <w:sz w:val="22"/>
        </w:rPr>
        <w:t xml:space="preserve"> protected by the Coronavirus Job Retention Scheme which required them not to work, </w:t>
      </w:r>
      <w:r>
        <w:rPr>
          <w:rFonts w:cs="Arial"/>
          <w:sz w:val="22"/>
        </w:rPr>
        <w:t xml:space="preserve">but </w:t>
      </w:r>
      <w:r w:rsidRPr="00351EA9">
        <w:rPr>
          <w:rFonts w:cs="Arial"/>
          <w:sz w:val="22"/>
        </w:rPr>
        <w:t>45% of individuals experienced at least a 10% decline i</w:t>
      </w:r>
      <w:r w:rsidRPr="00351EA9">
        <w:rPr>
          <w:rFonts w:cs="Arial"/>
          <w:sz w:val="22"/>
        </w:rPr>
        <w:t>n household earnings</w:t>
      </w:r>
      <w:r>
        <w:rPr>
          <w:rFonts w:cs="Arial"/>
          <w:sz w:val="22"/>
        </w:rPr>
        <w:t>.</w:t>
      </w:r>
    </w:p>
    <w:p w:rsidR="007E70A8" w:rsidP="00351EA9">
      <w:pPr>
        <w:rPr>
          <w:rFonts w:cs="Arial"/>
          <w:sz w:val="22"/>
        </w:rPr>
      </w:pPr>
    </w:p>
    <w:p w:rsidR="007E70A8" w:rsidP="00351EA9">
      <w:pPr>
        <w:rPr>
          <w:rFonts w:cs="Arial"/>
          <w:sz w:val="22"/>
        </w:rPr>
      </w:pPr>
      <w:r>
        <w:rPr>
          <w:rFonts w:cs="Arial"/>
          <w:sz w:val="22"/>
        </w:rPr>
        <w:t xml:space="preserve">2.4 The impact </w:t>
      </w:r>
      <w:r w:rsidRPr="00351EA9">
        <w:rPr>
          <w:rFonts w:cs="Arial"/>
          <w:sz w:val="22"/>
        </w:rPr>
        <w:t>of these economic shocks depend</w:t>
      </w:r>
      <w:r>
        <w:rPr>
          <w:rFonts w:cs="Arial"/>
          <w:sz w:val="22"/>
        </w:rPr>
        <w:t>s</w:t>
      </w:r>
      <w:r w:rsidRPr="00351EA9">
        <w:rPr>
          <w:rFonts w:cs="Arial"/>
          <w:sz w:val="22"/>
        </w:rPr>
        <w:t xml:space="preserve"> not just on the size of the direct shocks but also on the mechanisms households used to mitigate the</w:t>
      </w:r>
      <w:r>
        <w:rPr>
          <w:rFonts w:cs="Arial"/>
          <w:sz w:val="22"/>
        </w:rPr>
        <w:t>m</w:t>
      </w:r>
      <w:r w:rsidRPr="00351EA9">
        <w:rPr>
          <w:rFonts w:cs="Arial"/>
          <w:sz w:val="22"/>
        </w:rPr>
        <w:t xml:space="preserve">. </w:t>
      </w:r>
      <w:r>
        <w:rPr>
          <w:rFonts w:cs="Arial"/>
          <w:sz w:val="22"/>
        </w:rPr>
        <w:t>U</w:t>
      </w:r>
      <w:r w:rsidRPr="00351EA9">
        <w:rPr>
          <w:rFonts w:cs="Arial"/>
          <w:sz w:val="22"/>
        </w:rPr>
        <w:t>sing savings and additional borrowing w</w:t>
      </w:r>
      <w:r>
        <w:rPr>
          <w:rFonts w:cs="Arial"/>
          <w:sz w:val="22"/>
        </w:rPr>
        <w:t>ere</w:t>
      </w:r>
      <w:r w:rsidRPr="00351EA9">
        <w:rPr>
          <w:rFonts w:cs="Arial"/>
          <w:sz w:val="22"/>
        </w:rPr>
        <w:t xml:space="preserve"> highly prevalent.</w:t>
      </w:r>
    </w:p>
    <w:p w:rsidR="007E70A8" w:rsidP="00351EA9">
      <w:pPr>
        <w:rPr>
          <w:rFonts w:cs="Arial"/>
          <w:sz w:val="22"/>
        </w:rPr>
      </w:pPr>
    </w:p>
    <w:p w:rsidR="007E70A8" w:rsidP="00351EA9">
      <w:pPr>
        <w:rPr>
          <w:rFonts w:cs="Arial"/>
          <w:sz w:val="22"/>
        </w:rPr>
      </w:pPr>
      <w:r>
        <w:rPr>
          <w:rFonts w:cs="Arial"/>
          <w:sz w:val="22"/>
        </w:rPr>
        <w:t xml:space="preserve">2.5 </w:t>
      </w:r>
      <w:r w:rsidRPr="00351EA9">
        <w:rPr>
          <w:rFonts w:cs="Arial"/>
          <w:sz w:val="22"/>
        </w:rPr>
        <w:t>The use of addi</w:t>
      </w:r>
      <w:r w:rsidRPr="00351EA9">
        <w:rPr>
          <w:rFonts w:cs="Arial"/>
          <w:sz w:val="22"/>
        </w:rPr>
        <w:t>tional borrowing was highest for those who had been hardest hit in the labour market: the lowest income quintiles</w:t>
      </w:r>
      <w:r>
        <w:rPr>
          <w:rFonts w:cs="Arial"/>
          <w:sz w:val="22"/>
        </w:rPr>
        <w:t>,</w:t>
      </w:r>
      <w:r w:rsidRPr="00351EA9">
        <w:rPr>
          <w:rFonts w:cs="Arial"/>
          <w:sz w:val="22"/>
        </w:rPr>
        <w:t xml:space="preserve"> minority ethnic groups</w:t>
      </w:r>
      <w:r>
        <w:rPr>
          <w:rFonts w:cs="Arial"/>
          <w:sz w:val="22"/>
        </w:rPr>
        <w:t>, and</w:t>
      </w:r>
      <w:r w:rsidRPr="00351EA9">
        <w:rPr>
          <w:rFonts w:cs="Arial"/>
          <w:sz w:val="22"/>
        </w:rPr>
        <w:t xml:space="preserve"> single parents.</w:t>
      </w:r>
      <w:r w:rsidRPr="007E70A8">
        <w:rPr>
          <w:rFonts w:cs="Arial"/>
          <w:sz w:val="22"/>
        </w:rPr>
        <w:t xml:space="preserve"> </w:t>
      </w:r>
      <w:r>
        <w:rPr>
          <w:rFonts w:cs="Arial"/>
          <w:sz w:val="22"/>
        </w:rPr>
        <w:t xml:space="preserve">Borrowing </w:t>
      </w:r>
      <w:r w:rsidRPr="00351EA9">
        <w:rPr>
          <w:rFonts w:cs="Arial"/>
          <w:sz w:val="22"/>
        </w:rPr>
        <w:t>from friends and family w</w:t>
      </w:r>
      <w:r>
        <w:rPr>
          <w:rFonts w:cs="Arial"/>
          <w:sz w:val="22"/>
        </w:rPr>
        <w:t>as</w:t>
      </w:r>
      <w:r w:rsidRPr="00351EA9">
        <w:rPr>
          <w:rFonts w:cs="Arial"/>
          <w:sz w:val="22"/>
        </w:rPr>
        <w:t xml:space="preserve"> particularly important for the most-affected groups.</w:t>
      </w:r>
    </w:p>
    <w:p w:rsidR="007E70A8" w:rsidP="00351EA9">
      <w:pPr>
        <w:rPr>
          <w:rFonts w:cs="Arial"/>
          <w:sz w:val="22"/>
        </w:rPr>
      </w:pPr>
    </w:p>
    <w:p w:rsidR="007E70A8" w:rsidP="00351EA9">
      <w:pPr>
        <w:rPr>
          <w:rFonts w:cs="Arial"/>
          <w:sz w:val="22"/>
        </w:rPr>
      </w:pPr>
      <w:r>
        <w:rPr>
          <w:rFonts w:cs="Arial"/>
          <w:sz w:val="22"/>
        </w:rPr>
        <w:t>2.6 T</w:t>
      </w:r>
      <w:r>
        <w:rPr>
          <w:rFonts w:cs="Arial"/>
          <w:sz w:val="22"/>
        </w:rPr>
        <w:t xml:space="preserve">his reliance on borrowing raises the question of whether this approach is sustainable, which will be important for these households in later waves, especially when </w:t>
      </w:r>
      <w:r w:rsidRPr="00351EA9">
        <w:rPr>
          <w:rFonts w:cs="Arial"/>
          <w:sz w:val="22"/>
        </w:rPr>
        <w:t>the Coronavirus Job Protection Scheme ends and those who are notionally employed but not wor</w:t>
      </w:r>
      <w:r w:rsidRPr="00351EA9">
        <w:rPr>
          <w:rFonts w:cs="Arial"/>
          <w:sz w:val="22"/>
        </w:rPr>
        <w:t>king any hours will move into unemployment or need to adjust.</w:t>
      </w:r>
    </w:p>
    <w:p w:rsidR="007E70A8" w:rsidP="00351EA9">
      <w:pPr>
        <w:rPr>
          <w:rFonts w:cs="Arial"/>
          <w:sz w:val="22"/>
        </w:rPr>
      </w:pPr>
    </w:p>
    <w:p w:rsidR="00142A37" w:rsidP="00142A37">
      <w:pPr>
        <w:rPr>
          <w:sz w:val="22"/>
          <w:szCs w:val="24"/>
        </w:rPr>
      </w:pPr>
      <w:r w:rsidRPr="00142A37">
        <w:rPr>
          <w:sz w:val="22"/>
          <w:szCs w:val="24"/>
        </w:rPr>
        <w:t>2.7 Those with precarious employment, aged under 30 and from minority ethnic groups faced the biggest labour market shocks from the pandemic. Almost 50% of individuals have experienced declines</w:t>
      </w:r>
      <w:r w:rsidRPr="00142A37">
        <w:rPr>
          <w:sz w:val="22"/>
          <w:szCs w:val="24"/>
        </w:rPr>
        <w:t xml:space="preserve"> in household earnings of at least 10%, but declines are most severe in the bottom pre-pandemic income quintiles. Methods of mitigation vary substantially across groups: borrowing and transfers from family and friends are most prevalent among those most in</w:t>
      </w:r>
      <w:r w:rsidRPr="00142A37">
        <w:rPr>
          <w:sz w:val="22"/>
          <w:szCs w:val="24"/>
        </w:rPr>
        <w:t xml:space="preserve"> need.</w:t>
      </w:r>
    </w:p>
    <w:p w:rsidR="00806B94" w:rsidP="00142A37">
      <w:pPr>
        <w:rPr>
          <w:sz w:val="22"/>
          <w:szCs w:val="24"/>
        </w:rPr>
      </w:pPr>
    </w:p>
    <w:p w:rsidR="00806B94" w:rsidP="00806B94">
      <w:pPr>
        <w:rPr>
          <w:sz w:val="22"/>
          <w:szCs w:val="24"/>
        </w:rPr>
      </w:pPr>
      <w:r>
        <w:rPr>
          <w:sz w:val="22"/>
          <w:szCs w:val="24"/>
        </w:rPr>
        <w:t xml:space="preserve">2.8 </w:t>
      </w:r>
      <w:r w:rsidRPr="00142A37">
        <w:rPr>
          <w:sz w:val="22"/>
          <w:szCs w:val="24"/>
        </w:rPr>
        <w:t>Government interventions support</w:t>
      </w:r>
      <w:r>
        <w:rPr>
          <w:sz w:val="22"/>
          <w:szCs w:val="24"/>
        </w:rPr>
        <w:t>ed</w:t>
      </w:r>
      <w:r w:rsidRPr="00142A37">
        <w:rPr>
          <w:sz w:val="22"/>
          <w:szCs w:val="24"/>
        </w:rPr>
        <w:t xml:space="preserve"> the poorest working households the most.</w:t>
      </w:r>
    </w:p>
    <w:p w:rsidR="00D64173" w:rsidP="00806B94">
      <w:pPr>
        <w:rPr>
          <w:sz w:val="22"/>
          <w:szCs w:val="24"/>
        </w:rPr>
      </w:pPr>
    </w:p>
    <w:p w:rsidR="00D64173" w:rsidP="00806B94">
      <w:pPr>
        <w:rPr>
          <w:sz w:val="22"/>
          <w:szCs w:val="24"/>
        </w:rPr>
      </w:pPr>
      <w:r>
        <w:rPr>
          <w:sz w:val="22"/>
          <w:szCs w:val="24"/>
        </w:rPr>
        <w:t xml:space="preserve">2.9 </w:t>
      </w:r>
      <w:r w:rsidRPr="00D64173">
        <w:rPr>
          <w:sz w:val="22"/>
          <w:szCs w:val="24"/>
        </w:rPr>
        <w:t>A significant minority of both existing U</w:t>
      </w:r>
      <w:r>
        <w:rPr>
          <w:sz w:val="22"/>
          <w:szCs w:val="24"/>
        </w:rPr>
        <w:t xml:space="preserve">niversal </w:t>
      </w:r>
      <w:r w:rsidRPr="00D64173">
        <w:rPr>
          <w:sz w:val="22"/>
          <w:szCs w:val="24"/>
        </w:rPr>
        <w:t>C</w:t>
      </w:r>
      <w:r>
        <w:rPr>
          <w:sz w:val="22"/>
          <w:szCs w:val="24"/>
        </w:rPr>
        <w:t>redit (UC)</w:t>
      </w:r>
      <w:r w:rsidRPr="00D64173">
        <w:rPr>
          <w:sz w:val="22"/>
          <w:szCs w:val="24"/>
        </w:rPr>
        <w:t xml:space="preserve"> and new UC households reported not being up to date with household bills throughout the pandemic. </w:t>
      </w:r>
      <w:r>
        <w:rPr>
          <w:sz w:val="22"/>
          <w:szCs w:val="24"/>
        </w:rPr>
        <w:t>For</w:t>
      </w:r>
      <w:r w:rsidRPr="00D64173">
        <w:rPr>
          <w:sz w:val="22"/>
          <w:szCs w:val="24"/>
        </w:rPr>
        <w:t xml:space="preserve"> existing UC claimants, this </w:t>
      </w:r>
      <w:r>
        <w:rPr>
          <w:sz w:val="22"/>
          <w:szCs w:val="24"/>
        </w:rPr>
        <w:t>peaked</w:t>
      </w:r>
      <w:r w:rsidRPr="00D64173">
        <w:rPr>
          <w:sz w:val="22"/>
          <w:szCs w:val="24"/>
        </w:rPr>
        <w:t xml:space="preserve"> at 46% in November 2020.</w:t>
      </w:r>
    </w:p>
    <w:p w:rsidR="00D64173" w:rsidP="00806B94">
      <w:pPr>
        <w:rPr>
          <w:sz w:val="22"/>
          <w:szCs w:val="24"/>
        </w:rPr>
      </w:pPr>
    </w:p>
    <w:p w:rsidR="00D64173" w:rsidP="00806B94">
      <w:pPr>
        <w:rPr>
          <w:sz w:val="22"/>
          <w:szCs w:val="24"/>
        </w:rPr>
      </w:pPr>
      <w:r>
        <w:rPr>
          <w:sz w:val="22"/>
          <w:szCs w:val="24"/>
        </w:rPr>
        <w:t xml:space="preserve">2.10 </w:t>
      </w:r>
      <w:r w:rsidRPr="0085133A">
        <w:rPr>
          <w:sz w:val="22"/>
          <w:szCs w:val="24"/>
        </w:rPr>
        <w:t>A significant minority of both existing UC and new UC households also reported not bein</w:t>
      </w:r>
      <w:r w:rsidRPr="0085133A">
        <w:rPr>
          <w:sz w:val="22"/>
          <w:szCs w:val="24"/>
        </w:rPr>
        <w:t xml:space="preserve">g up to date on housing payments, such as rent or mortgage payments, </w:t>
      </w:r>
      <w:r>
        <w:rPr>
          <w:sz w:val="22"/>
          <w:szCs w:val="24"/>
        </w:rPr>
        <w:t>and e</w:t>
      </w:r>
      <w:r w:rsidRPr="0085133A">
        <w:rPr>
          <w:sz w:val="22"/>
          <w:szCs w:val="24"/>
        </w:rPr>
        <w:t>xisting UC claimants were more likely to face a worsening than an improving level of personal debt in the initial part of the pandemic.</w:t>
      </w:r>
      <w:r w:rsidRPr="0085133A">
        <w:t xml:space="preserve"> </w:t>
      </w:r>
      <w:r w:rsidRPr="0085133A">
        <w:rPr>
          <w:sz w:val="22"/>
          <w:szCs w:val="24"/>
        </w:rPr>
        <w:t>A significant minority of UC claimants reporte</w:t>
      </w:r>
      <w:r w:rsidRPr="0085133A">
        <w:rPr>
          <w:sz w:val="22"/>
          <w:szCs w:val="24"/>
        </w:rPr>
        <w:t>d finding it ‘quite’ or ‘very’ difficult to manage financially during the pandemic.</w:t>
      </w:r>
    </w:p>
    <w:p w:rsidR="0085133A" w:rsidP="00806B94">
      <w:pPr>
        <w:rPr>
          <w:sz w:val="22"/>
          <w:szCs w:val="24"/>
        </w:rPr>
      </w:pPr>
    </w:p>
    <w:p w:rsidR="0085133A" w:rsidRPr="0085133A" w:rsidP="0085133A">
      <w:pPr>
        <w:rPr>
          <w:sz w:val="22"/>
          <w:szCs w:val="24"/>
        </w:rPr>
      </w:pPr>
      <w:r>
        <w:rPr>
          <w:sz w:val="22"/>
          <w:szCs w:val="24"/>
        </w:rPr>
        <w:t xml:space="preserve">2.11 </w:t>
      </w:r>
      <w:r w:rsidRPr="0085133A">
        <w:rPr>
          <w:sz w:val="22"/>
          <w:szCs w:val="24"/>
        </w:rPr>
        <w:t>Even with the Government increasing financial support provided through Universal Credit in March 2020, many claimants have continued to face significant financial dif</w:t>
      </w:r>
      <w:r w:rsidRPr="0085133A">
        <w:rPr>
          <w:sz w:val="22"/>
          <w:szCs w:val="24"/>
        </w:rPr>
        <w:t>ficulties as the pandemic progressed</w:t>
      </w:r>
      <w:r>
        <w:rPr>
          <w:sz w:val="22"/>
          <w:szCs w:val="24"/>
        </w:rPr>
        <w:t xml:space="preserve">, although there has been </w:t>
      </w:r>
      <w:r w:rsidRPr="0085133A">
        <w:rPr>
          <w:sz w:val="22"/>
          <w:szCs w:val="24"/>
        </w:rPr>
        <w:t>some evidence for improvement.</w:t>
      </w:r>
    </w:p>
    <w:p w:rsidR="0085133A" w:rsidRPr="0085133A" w:rsidP="0085133A">
      <w:pPr>
        <w:rPr>
          <w:sz w:val="22"/>
          <w:szCs w:val="24"/>
        </w:rPr>
      </w:pPr>
    </w:p>
    <w:p w:rsidR="0085133A" w:rsidP="0085133A">
      <w:pPr>
        <w:rPr>
          <w:sz w:val="22"/>
          <w:szCs w:val="24"/>
        </w:rPr>
      </w:pPr>
      <w:r>
        <w:rPr>
          <w:sz w:val="22"/>
          <w:szCs w:val="24"/>
        </w:rPr>
        <w:t xml:space="preserve">2.12 </w:t>
      </w:r>
      <w:r w:rsidRPr="0085133A">
        <w:rPr>
          <w:sz w:val="22"/>
          <w:szCs w:val="24"/>
        </w:rPr>
        <w:t>Fully withdrawing the Universal Credit uplift in September 2021 will put claimants at risk of financial problems at a point when the economic recovery is onl</w:t>
      </w:r>
      <w:r w:rsidRPr="0085133A">
        <w:rPr>
          <w:sz w:val="22"/>
          <w:szCs w:val="24"/>
        </w:rPr>
        <w:t>y gathering pace.</w:t>
      </w:r>
    </w:p>
    <w:p w:rsidR="00806B94" w:rsidP="00806B94">
      <w:pPr>
        <w:rPr>
          <w:sz w:val="22"/>
          <w:szCs w:val="24"/>
        </w:rPr>
      </w:pPr>
    </w:p>
    <w:p w:rsidR="00806B94" w:rsidRPr="007E70A8" w:rsidP="00806B94">
      <w:pPr>
        <w:rPr>
          <w:rFonts w:cs="Arial"/>
          <w:b/>
          <w:bCs/>
          <w:sz w:val="22"/>
        </w:rPr>
      </w:pPr>
      <w:r>
        <w:rPr>
          <w:rFonts w:cs="Arial"/>
          <w:b/>
          <w:bCs/>
          <w:sz w:val="22"/>
        </w:rPr>
        <w:t>3</w:t>
      </w:r>
      <w:r w:rsidRPr="002546CC">
        <w:rPr>
          <w:rFonts w:cs="Arial"/>
          <w:b/>
          <w:bCs/>
          <w:sz w:val="22"/>
        </w:rPr>
        <w:t xml:space="preserve">. </w:t>
      </w:r>
      <w:r>
        <w:rPr>
          <w:rFonts w:cs="Arial"/>
          <w:b/>
          <w:bCs/>
          <w:sz w:val="22"/>
        </w:rPr>
        <w:t>Trends in income and wealth inequality – what can previous recessions tell us?</w:t>
      </w:r>
    </w:p>
    <w:p w:rsidR="00806B94" w:rsidP="00351EA9">
      <w:pPr>
        <w:rPr>
          <w:sz w:val="22"/>
          <w:szCs w:val="24"/>
        </w:rPr>
      </w:pPr>
    </w:p>
    <w:p w:rsidR="006D22B9" w:rsidRPr="006D22B9" w:rsidP="006D22B9">
      <w:pPr>
        <w:rPr>
          <w:sz w:val="22"/>
          <w:szCs w:val="24"/>
        </w:rPr>
      </w:pPr>
      <w:r>
        <w:rPr>
          <w:sz w:val="22"/>
          <w:szCs w:val="24"/>
        </w:rPr>
        <w:t xml:space="preserve">3.1 </w:t>
      </w:r>
      <w:r w:rsidRPr="006D22B9">
        <w:rPr>
          <w:sz w:val="22"/>
          <w:szCs w:val="24"/>
        </w:rPr>
        <w:t>The downturn caused by the pandemic has particularly affected vulnerable groups, as did three previous recessions – in the early 1980s, the early 1990</w:t>
      </w:r>
      <w:r w:rsidRPr="006D22B9">
        <w:rPr>
          <w:sz w:val="22"/>
          <w:szCs w:val="24"/>
        </w:rPr>
        <w:t>s and after the global financial crisis in the 2000s – but this recession has distinctive features with some groups being hit especially hard.</w:t>
      </w:r>
    </w:p>
    <w:p w:rsidR="006D22B9" w:rsidRPr="006D22B9" w:rsidP="006D22B9">
      <w:pPr>
        <w:rPr>
          <w:sz w:val="22"/>
          <w:szCs w:val="24"/>
        </w:rPr>
      </w:pPr>
    </w:p>
    <w:p w:rsidR="006D22B9" w:rsidRPr="006D22B9" w:rsidP="006D22B9">
      <w:pPr>
        <w:rPr>
          <w:sz w:val="22"/>
          <w:szCs w:val="24"/>
        </w:rPr>
      </w:pPr>
      <w:r>
        <w:rPr>
          <w:sz w:val="22"/>
          <w:szCs w:val="24"/>
        </w:rPr>
        <w:t xml:space="preserve">3.2 </w:t>
      </w:r>
      <w:bookmarkStart w:id="1" w:name="_Hlk74127146"/>
      <w:r w:rsidRPr="006D22B9">
        <w:rPr>
          <w:sz w:val="22"/>
          <w:szCs w:val="24"/>
        </w:rPr>
        <w:t>Individuals who are young, low-paid, Black, in self-employment, have low education levels or live in large f</w:t>
      </w:r>
      <w:r w:rsidRPr="006D22B9">
        <w:rPr>
          <w:sz w:val="22"/>
          <w:szCs w:val="24"/>
        </w:rPr>
        <w:t xml:space="preserve">amilies have been disproportionately affected. They are more likely to have lost their jobs, not </w:t>
      </w:r>
      <w:r>
        <w:rPr>
          <w:sz w:val="22"/>
          <w:szCs w:val="24"/>
        </w:rPr>
        <w:t xml:space="preserve">to </w:t>
      </w:r>
      <w:r w:rsidRPr="006D22B9">
        <w:rPr>
          <w:sz w:val="22"/>
          <w:szCs w:val="24"/>
        </w:rPr>
        <w:t xml:space="preserve">be working any hours or </w:t>
      </w:r>
      <w:r>
        <w:rPr>
          <w:sz w:val="22"/>
          <w:szCs w:val="24"/>
        </w:rPr>
        <w:t xml:space="preserve">to have </w:t>
      </w:r>
      <w:r w:rsidRPr="006D22B9">
        <w:rPr>
          <w:sz w:val="22"/>
          <w:szCs w:val="24"/>
        </w:rPr>
        <w:t>had their pay cut</w:t>
      </w:r>
      <w:bookmarkEnd w:id="1"/>
      <w:r w:rsidRPr="006D22B9">
        <w:rPr>
          <w:sz w:val="22"/>
          <w:szCs w:val="24"/>
        </w:rPr>
        <w:t>.</w:t>
      </w:r>
    </w:p>
    <w:p w:rsidR="006D22B9" w:rsidRPr="006D22B9" w:rsidP="006D22B9">
      <w:pPr>
        <w:rPr>
          <w:sz w:val="22"/>
          <w:szCs w:val="24"/>
        </w:rPr>
      </w:pPr>
    </w:p>
    <w:p w:rsidR="006D22B9" w:rsidRPr="006D22B9" w:rsidP="006D22B9">
      <w:pPr>
        <w:rPr>
          <w:sz w:val="22"/>
          <w:szCs w:val="24"/>
        </w:rPr>
      </w:pPr>
      <w:r>
        <w:rPr>
          <w:sz w:val="22"/>
          <w:szCs w:val="24"/>
        </w:rPr>
        <w:t xml:space="preserve">3.3 </w:t>
      </w:r>
      <w:r w:rsidRPr="006D22B9">
        <w:rPr>
          <w:sz w:val="22"/>
          <w:szCs w:val="24"/>
        </w:rPr>
        <w:t>With the total number of hours worked in June at only 80</w:t>
      </w:r>
      <w:r>
        <w:rPr>
          <w:sz w:val="22"/>
          <w:szCs w:val="24"/>
        </w:rPr>
        <w:t>%</w:t>
      </w:r>
      <w:r w:rsidRPr="006D22B9">
        <w:rPr>
          <w:sz w:val="22"/>
          <w:szCs w:val="24"/>
        </w:rPr>
        <w:t xml:space="preserve"> of the level in February 2020, the picture</w:t>
      </w:r>
      <w:r w:rsidRPr="006D22B9">
        <w:rPr>
          <w:sz w:val="22"/>
          <w:szCs w:val="24"/>
        </w:rPr>
        <w:t xml:space="preserve"> is bleak – the UK economy is on track to suffer its biggest unemployment shock since at least the 1980s recession.</w:t>
      </w:r>
    </w:p>
    <w:p w:rsidR="006D22B9" w:rsidRPr="006D22B9" w:rsidP="006D22B9">
      <w:pPr>
        <w:rPr>
          <w:sz w:val="22"/>
          <w:szCs w:val="24"/>
        </w:rPr>
      </w:pPr>
    </w:p>
    <w:p w:rsidR="006D22B9" w:rsidRPr="006D22B9" w:rsidP="006D22B9">
      <w:pPr>
        <w:rPr>
          <w:sz w:val="22"/>
          <w:szCs w:val="24"/>
        </w:rPr>
      </w:pPr>
      <w:r>
        <w:rPr>
          <w:sz w:val="22"/>
          <w:szCs w:val="24"/>
        </w:rPr>
        <w:t xml:space="preserve">3.4 </w:t>
      </w:r>
      <w:r w:rsidRPr="006D22B9">
        <w:rPr>
          <w:sz w:val="22"/>
          <w:szCs w:val="24"/>
        </w:rPr>
        <w:t xml:space="preserve">Employees who were earning less than £151 per week in February 2020, were three times more likely to be furloughed or have their hours </w:t>
      </w:r>
      <w:r w:rsidRPr="006D22B9">
        <w:rPr>
          <w:sz w:val="22"/>
          <w:szCs w:val="24"/>
        </w:rPr>
        <w:t>cut by at least half than those earning more than £600 per week (53.7% compared to 18%).</w:t>
      </w:r>
    </w:p>
    <w:p w:rsidR="006D22B9" w:rsidRPr="006D22B9" w:rsidP="006D22B9">
      <w:pPr>
        <w:rPr>
          <w:sz w:val="22"/>
          <w:szCs w:val="24"/>
        </w:rPr>
      </w:pPr>
    </w:p>
    <w:p w:rsidR="006D22B9" w:rsidRPr="006D22B9" w:rsidP="006D22B9">
      <w:pPr>
        <w:rPr>
          <w:sz w:val="22"/>
          <w:szCs w:val="24"/>
        </w:rPr>
      </w:pPr>
      <w:r>
        <w:rPr>
          <w:sz w:val="22"/>
          <w:szCs w:val="24"/>
        </w:rPr>
        <w:t xml:space="preserve">3.5 </w:t>
      </w:r>
      <w:r w:rsidRPr="006D22B9">
        <w:rPr>
          <w:sz w:val="22"/>
          <w:szCs w:val="24"/>
        </w:rPr>
        <w:t xml:space="preserve">Those aged 18-24 who were still employed in June were almost 18% more likely than those aged 35-54 to have had their hours cut by at least half or to have </w:t>
      </w:r>
      <w:r w:rsidRPr="006D22B9">
        <w:rPr>
          <w:sz w:val="22"/>
          <w:szCs w:val="24"/>
        </w:rPr>
        <w:t>been furloughed.</w:t>
      </w:r>
    </w:p>
    <w:p w:rsidR="006D22B9" w:rsidRPr="006D22B9" w:rsidP="006D22B9">
      <w:pPr>
        <w:rPr>
          <w:sz w:val="22"/>
          <w:szCs w:val="24"/>
        </w:rPr>
      </w:pPr>
    </w:p>
    <w:p w:rsidR="006D22B9" w:rsidRPr="006D22B9" w:rsidP="006D22B9">
      <w:pPr>
        <w:rPr>
          <w:sz w:val="22"/>
          <w:szCs w:val="24"/>
        </w:rPr>
      </w:pPr>
      <w:r>
        <w:rPr>
          <w:sz w:val="22"/>
          <w:szCs w:val="24"/>
        </w:rPr>
        <w:t xml:space="preserve">3.6 </w:t>
      </w:r>
      <w:r w:rsidRPr="006D22B9">
        <w:rPr>
          <w:sz w:val="22"/>
          <w:szCs w:val="24"/>
        </w:rPr>
        <w:t>Individuals with only GCSE qualifications or equivalent are 17.1% more likely to have been furloughed or lost at least half of working hours compared with those with a degree.</w:t>
      </w:r>
    </w:p>
    <w:p w:rsidR="006D22B9" w:rsidP="00351EA9">
      <w:pPr>
        <w:rPr>
          <w:sz w:val="22"/>
          <w:szCs w:val="24"/>
        </w:rPr>
      </w:pPr>
    </w:p>
    <w:p w:rsidR="00142A37" w:rsidRPr="00142A37" w:rsidP="00351EA9">
      <w:pPr>
        <w:rPr>
          <w:b/>
          <w:bCs/>
          <w:sz w:val="22"/>
          <w:szCs w:val="24"/>
        </w:rPr>
      </w:pPr>
      <w:r>
        <w:rPr>
          <w:rFonts w:cs="Arial"/>
          <w:b/>
          <w:bCs/>
          <w:sz w:val="22"/>
        </w:rPr>
        <w:t>4</w:t>
      </w:r>
      <w:r w:rsidRPr="002546CC">
        <w:rPr>
          <w:rFonts w:cs="Arial"/>
          <w:b/>
          <w:bCs/>
          <w:sz w:val="22"/>
        </w:rPr>
        <w:t xml:space="preserve">. </w:t>
      </w:r>
      <w:r>
        <w:rPr>
          <w:rFonts w:cs="Arial"/>
          <w:b/>
          <w:bCs/>
          <w:sz w:val="22"/>
        </w:rPr>
        <w:t>Trends in income and wealth inequality – u</w:t>
      </w:r>
      <w:r w:rsidRPr="00142A37">
        <w:rPr>
          <w:b/>
          <w:bCs/>
          <w:sz w:val="22"/>
          <w:szCs w:val="24"/>
        </w:rPr>
        <w:t>nequal expos</w:t>
      </w:r>
      <w:r w:rsidRPr="00142A37">
        <w:rPr>
          <w:b/>
          <w:bCs/>
          <w:sz w:val="22"/>
          <w:szCs w:val="24"/>
        </w:rPr>
        <w:t>ure to Covid-induced hardship</w:t>
      </w:r>
    </w:p>
    <w:p w:rsidR="00142A37" w:rsidP="00351EA9">
      <w:pPr>
        <w:rPr>
          <w:sz w:val="22"/>
          <w:szCs w:val="24"/>
        </w:rPr>
      </w:pPr>
    </w:p>
    <w:p w:rsidR="00142A37" w:rsidP="00351EA9">
      <w:pPr>
        <w:rPr>
          <w:sz w:val="22"/>
          <w:szCs w:val="24"/>
        </w:rPr>
      </w:pPr>
      <w:r>
        <w:rPr>
          <w:sz w:val="22"/>
          <w:szCs w:val="24"/>
        </w:rPr>
        <w:t xml:space="preserve">4.1 </w:t>
      </w:r>
      <w:bookmarkStart w:id="2" w:name="_Hlk74127228"/>
      <w:r w:rsidRPr="00142A37">
        <w:rPr>
          <w:sz w:val="22"/>
          <w:szCs w:val="24"/>
        </w:rPr>
        <w:t>Lower earning groups were more than twice as likely to experience economic hardship relative to top quintile earners</w:t>
      </w:r>
      <w:bookmarkEnd w:id="2"/>
      <w:r w:rsidRPr="00142A37">
        <w:rPr>
          <w:sz w:val="22"/>
          <w:szCs w:val="24"/>
        </w:rPr>
        <w:t>.</w:t>
      </w:r>
    </w:p>
    <w:p w:rsidR="00142A37" w:rsidRPr="007E70A8" w:rsidP="00351EA9">
      <w:pPr>
        <w:rPr>
          <w:sz w:val="22"/>
          <w:szCs w:val="24"/>
        </w:rPr>
      </w:pPr>
    </w:p>
    <w:p w:rsidR="00142A37" w:rsidP="00142A37">
      <w:pPr>
        <w:rPr>
          <w:sz w:val="22"/>
          <w:szCs w:val="24"/>
        </w:rPr>
      </w:pPr>
      <w:r>
        <w:rPr>
          <w:sz w:val="22"/>
          <w:szCs w:val="24"/>
        </w:rPr>
        <w:t xml:space="preserve">4.2 </w:t>
      </w:r>
      <w:r w:rsidRPr="00142A37">
        <w:rPr>
          <w:sz w:val="22"/>
          <w:szCs w:val="24"/>
        </w:rPr>
        <w:t>Among those who were employed before C</w:t>
      </w:r>
      <w:r>
        <w:rPr>
          <w:sz w:val="22"/>
          <w:szCs w:val="24"/>
        </w:rPr>
        <w:t>ovid</w:t>
      </w:r>
      <w:r w:rsidRPr="00142A37">
        <w:rPr>
          <w:sz w:val="22"/>
          <w:szCs w:val="24"/>
        </w:rPr>
        <w:t xml:space="preserve">, men had a higher probability of being </w:t>
      </w:r>
      <w:r w:rsidRPr="00142A37">
        <w:rPr>
          <w:sz w:val="22"/>
          <w:szCs w:val="24"/>
        </w:rPr>
        <w:t>furloughed or dismissed from work, as well as White people in middle-income jobs.</w:t>
      </w:r>
    </w:p>
    <w:p w:rsidR="00142A37" w:rsidP="00142A37">
      <w:pPr>
        <w:rPr>
          <w:sz w:val="22"/>
          <w:szCs w:val="24"/>
        </w:rPr>
      </w:pPr>
    </w:p>
    <w:p w:rsidR="00142A37" w:rsidP="00142A37">
      <w:pPr>
        <w:rPr>
          <w:sz w:val="22"/>
          <w:szCs w:val="24"/>
        </w:rPr>
      </w:pPr>
      <w:r>
        <w:rPr>
          <w:sz w:val="22"/>
          <w:szCs w:val="24"/>
        </w:rPr>
        <w:t xml:space="preserve">4.3 </w:t>
      </w:r>
      <w:r w:rsidRPr="00142A37">
        <w:rPr>
          <w:sz w:val="22"/>
          <w:szCs w:val="24"/>
        </w:rPr>
        <w:t>These gaps are to a large extent attributable to structural gender earnings inequalities within occupations, and the fact that women and racial-ethnic minorities are emp</w:t>
      </w:r>
      <w:r w:rsidRPr="00142A37">
        <w:rPr>
          <w:sz w:val="22"/>
          <w:szCs w:val="24"/>
        </w:rPr>
        <w:t>loyed in essential occupations.</w:t>
      </w:r>
    </w:p>
    <w:p w:rsidR="00142A37" w:rsidRPr="00142A37" w:rsidP="00142A37">
      <w:pPr>
        <w:rPr>
          <w:sz w:val="22"/>
          <w:szCs w:val="24"/>
        </w:rPr>
      </w:pPr>
    </w:p>
    <w:p w:rsidR="006D22B9" w:rsidRPr="0021521C" w:rsidP="00142A37">
      <w:pPr>
        <w:rPr>
          <w:b/>
          <w:bCs/>
          <w:sz w:val="22"/>
          <w:szCs w:val="24"/>
        </w:rPr>
      </w:pPr>
      <w:r>
        <w:rPr>
          <w:rFonts w:cs="Arial"/>
          <w:b/>
          <w:bCs/>
          <w:sz w:val="22"/>
        </w:rPr>
        <w:t>5</w:t>
      </w:r>
      <w:r w:rsidRPr="002546CC">
        <w:rPr>
          <w:rFonts w:cs="Arial"/>
          <w:b/>
          <w:bCs/>
          <w:sz w:val="22"/>
        </w:rPr>
        <w:t xml:space="preserve">. </w:t>
      </w:r>
      <w:r>
        <w:rPr>
          <w:rFonts w:cs="Arial"/>
          <w:b/>
          <w:bCs/>
          <w:sz w:val="22"/>
        </w:rPr>
        <w:t>Trends in income and wealth inequality – e</w:t>
      </w:r>
      <w:r w:rsidRPr="0021521C">
        <w:rPr>
          <w:b/>
          <w:bCs/>
          <w:sz w:val="22"/>
          <w:szCs w:val="24"/>
        </w:rPr>
        <w:t>ffects on working class women</w:t>
      </w:r>
    </w:p>
    <w:p w:rsidR="0021521C" w:rsidP="006D22B9">
      <w:pPr>
        <w:rPr>
          <w:sz w:val="22"/>
        </w:rPr>
      </w:pPr>
    </w:p>
    <w:p w:rsidR="0021521C" w:rsidP="0021521C">
      <w:pPr>
        <w:rPr>
          <w:sz w:val="22"/>
        </w:rPr>
      </w:pPr>
      <w:r>
        <w:rPr>
          <w:sz w:val="22"/>
        </w:rPr>
        <w:t xml:space="preserve">5.1 </w:t>
      </w:r>
      <w:r w:rsidRPr="0021521C">
        <w:rPr>
          <w:sz w:val="22"/>
        </w:rPr>
        <w:t>Lockdown brought a big increase in the numbers of people who were still employed but doing no work at all in their jobs.</w:t>
      </w:r>
    </w:p>
    <w:p w:rsidR="0021521C" w:rsidP="0021521C">
      <w:pPr>
        <w:rPr>
          <w:sz w:val="22"/>
        </w:rPr>
      </w:pPr>
    </w:p>
    <w:p w:rsidR="0021521C" w:rsidP="0021521C">
      <w:pPr>
        <w:rPr>
          <w:sz w:val="22"/>
        </w:rPr>
      </w:pPr>
      <w:r>
        <w:rPr>
          <w:sz w:val="22"/>
        </w:rPr>
        <w:t xml:space="preserve">5.2 </w:t>
      </w:r>
      <w:r w:rsidRPr="0021521C">
        <w:rPr>
          <w:sz w:val="22"/>
        </w:rPr>
        <w:t xml:space="preserve">Very few </w:t>
      </w:r>
      <w:r w:rsidRPr="0021521C">
        <w:rPr>
          <w:sz w:val="22"/>
        </w:rPr>
        <w:t>working class women could work from home after lockdown.</w:t>
      </w:r>
      <w:r>
        <w:rPr>
          <w:sz w:val="22"/>
        </w:rPr>
        <w:t xml:space="preserve"> </w:t>
      </w:r>
      <w:r w:rsidRPr="0021521C">
        <w:rPr>
          <w:sz w:val="22"/>
        </w:rPr>
        <w:t>Working class women and men were more likely to be furloughed than workers in middle class jobs.</w:t>
      </w:r>
    </w:p>
    <w:p w:rsidR="0021521C" w:rsidP="0021521C">
      <w:pPr>
        <w:rPr>
          <w:sz w:val="22"/>
        </w:rPr>
      </w:pPr>
    </w:p>
    <w:p w:rsidR="0021521C" w:rsidP="0021521C">
      <w:pPr>
        <w:rPr>
          <w:sz w:val="22"/>
          <w:szCs w:val="24"/>
        </w:rPr>
      </w:pPr>
      <w:r>
        <w:rPr>
          <w:sz w:val="22"/>
          <w:szCs w:val="24"/>
        </w:rPr>
        <w:t xml:space="preserve">5.3 </w:t>
      </w:r>
      <w:r w:rsidRPr="0021521C">
        <w:rPr>
          <w:sz w:val="22"/>
          <w:szCs w:val="24"/>
        </w:rPr>
        <w:t>For some working class women, e.g. domestic cleaners and non-essential shop workers, the pandemic</w:t>
      </w:r>
      <w:r w:rsidRPr="0021521C">
        <w:rPr>
          <w:sz w:val="22"/>
          <w:szCs w:val="24"/>
        </w:rPr>
        <w:t xml:space="preserve"> puts jobs at risk and cuts hours.</w:t>
      </w:r>
    </w:p>
    <w:p w:rsidR="0021521C" w:rsidP="0021521C">
      <w:pPr>
        <w:rPr>
          <w:sz w:val="22"/>
          <w:szCs w:val="24"/>
        </w:rPr>
      </w:pPr>
    </w:p>
    <w:p w:rsidR="0021521C" w:rsidP="0021521C">
      <w:pPr>
        <w:rPr>
          <w:sz w:val="22"/>
        </w:rPr>
      </w:pPr>
      <w:r>
        <w:rPr>
          <w:sz w:val="22"/>
        </w:rPr>
        <w:t xml:space="preserve">5.4 </w:t>
      </w:r>
      <w:r w:rsidRPr="0021521C">
        <w:rPr>
          <w:sz w:val="22"/>
        </w:rPr>
        <w:t>Keyworking is highest among working class women. Female keyworkers are disproportionately working in customer- and patient-facing</w:t>
      </w:r>
      <w:r>
        <w:rPr>
          <w:sz w:val="22"/>
        </w:rPr>
        <w:t xml:space="preserve"> </w:t>
      </w:r>
      <w:r w:rsidRPr="0021521C">
        <w:rPr>
          <w:sz w:val="22"/>
        </w:rPr>
        <w:t xml:space="preserve">jobs, </w:t>
      </w:r>
      <w:r w:rsidRPr="0021521C">
        <w:rPr>
          <w:sz w:val="22"/>
          <w:szCs w:val="24"/>
        </w:rPr>
        <w:t>and are exposed to the mental and physical stresses of carrying out precarious a</w:t>
      </w:r>
      <w:r w:rsidRPr="0021521C">
        <w:rPr>
          <w:sz w:val="22"/>
          <w:szCs w:val="24"/>
        </w:rPr>
        <w:t>nd risky work</w:t>
      </w:r>
      <w:r w:rsidRPr="0021521C">
        <w:rPr>
          <w:sz w:val="22"/>
        </w:rPr>
        <w:t>.</w:t>
      </w:r>
    </w:p>
    <w:p w:rsidR="0021521C" w:rsidP="0021521C">
      <w:pPr>
        <w:rPr>
          <w:sz w:val="22"/>
        </w:rPr>
      </w:pPr>
    </w:p>
    <w:p w:rsidR="0021521C" w:rsidP="0021521C">
      <w:pPr>
        <w:rPr>
          <w:sz w:val="22"/>
        </w:rPr>
      </w:pPr>
      <w:r>
        <w:rPr>
          <w:sz w:val="22"/>
        </w:rPr>
        <w:t xml:space="preserve">5.5 </w:t>
      </w:r>
      <w:r w:rsidRPr="0021521C">
        <w:rPr>
          <w:sz w:val="22"/>
        </w:rPr>
        <w:t>More women than men, and slightly more working class than middle class women, were experiencing psychological distress.</w:t>
      </w:r>
    </w:p>
    <w:p w:rsidR="0021521C" w:rsidRPr="0021521C" w:rsidP="006D22B9">
      <w:pPr>
        <w:rPr>
          <w:sz w:val="22"/>
        </w:rPr>
      </w:pPr>
    </w:p>
    <w:p w:rsidR="0031085B" w:rsidRPr="0031085B" w:rsidP="00142A37">
      <w:pPr>
        <w:rPr>
          <w:b/>
          <w:bCs/>
          <w:sz w:val="22"/>
          <w:szCs w:val="24"/>
        </w:rPr>
      </w:pPr>
      <w:r>
        <w:rPr>
          <w:rFonts w:cs="Arial"/>
          <w:b/>
          <w:bCs/>
          <w:sz w:val="22"/>
        </w:rPr>
        <w:t>6</w:t>
      </w:r>
      <w:r w:rsidRPr="002546CC">
        <w:rPr>
          <w:rFonts w:cs="Arial"/>
          <w:b/>
          <w:bCs/>
          <w:sz w:val="22"/>
        </w:rPr>
        <w:t xml:space="preserve">. </w:t>
      </w:r>
      <w:r>
        <w:rPr>
          <w:rFonts w:cs="Arial"/>
          <w:b/>
          <w:bCs/>
          <w:sz w:val="22"/>
        </w:rPr>
        <w:t>Trends in income and wealth inequality – j</w:t>
      </w:r>
      <w:r w:rsidRPr="0031085B">
        <w:rPr>
          <w:b/>
          <w:bCs/>
          <w:sz w:val="22"/>
          <w:szCs w:val="24"/>
        </w:rPr>
        <w:t>ob and financial security and mental health</w:t>
      </w:r>
    </w:p>
    <w:p w:rsidR="0031085B" w:rsidRPr="0031085B" w:rsidP="0031085B">
      <w:pPr>
        <w:rPr>
          <w:sz w:val="22"/>
          <w:szCs w:val="24"/>
        </w:rPr>
      </w:pPr>
      <w:bookmarkStart w:id="3" w:name="_Hlk74127465"/>
    </w:p>
    <w:p w:rsidR="0031085B" w:rsidRPr="0031085B" w:rsidP="0031085B">
      <w:pPr>
        <w:rPr>
          <w:sz w:val="22"/>
          <w:szCs w:val="24"/>
        </w:rPr>
      </w:pPr>
      <w:r>
        <w:rPr>
          <w:sz w:val="22"/>
          <w:szCs w:val="24"/>
        </w:rPr>
        <w:t xml:space="preserve">6.1 </w:t>
      </w:r>
      <w:r w:rsidRPr="0031085B">
        <w:rPr>
          <w:sz w:val="22"/>
          <w:szCs w:val="24"/>
        </w:rPr>
        <w:t>There were six distin</w:t>
      </w:r>
      <w:r w:rsidRPr="0031085B">
        <w:rPr>
          <w:sz w:val="22"/>
          <w:szCs w:val="24"/>
        </w:rPr>
        <w:t>ct financial experiences of the pandemic: people whose finances were largely unaffected (‘</w:t>
      </w:r>
      <w:r>
        <w:rPr>
          <w:sz w:val="22"/>
          <w:szCs w:val="24"/>
        </w:rPr>
        <w:t>u</w:t>
      </w:r>
      <w:r w:rsidRPr="0031085B">
        <w:rPr>
          <w:sz w:val="22"/>
          <w:szCs w:val="24"/>
        </w:rPr>
        <w:t>ndisrupted’); people whose finances improved (‘</w:t>
      </w:r>
      <w:r>
        <w:rPr>
          <w:sz w:val="22"/>
          <w:szCs w:val="24"/>
        </w:rPr>
        <w:t>b</w:t>
      </w:r>
      <w:r w:rsidRPr="0031085B">
        <w:rPr>
          <w:sz w:val="22"/>
          <w:szCs w:val="24"/>
        </w:rPr>
        <w:t>eneficiaries’); those who managed to cope with loss of income with little change to their lives (‘</w:t>
      </w:r>
      <w:r>
        <w:rPr>
          <w:sz w:val="22"/>
          <w:szCs w:val="24"/>
        </w:rPr>
        <w:t>s</w:t>
      </w:r>
      <w:r w:rsidRPr="0031085B">
        <w:rPr>
          <w:sz w:val="22"/>
          <w:szCs w:val="24"/>
        </w:rPr>
        <w:t xml:space="preserve">elf-supporters’); </w:t>
      </w:r>
      <w:r w:rsidRPr="0031085B">
        <w:rPr>
          <w:sz w:val="22"/>
          <w:szCs w:val="24"/>
        </w:rPr>
        <w:t>people who used their savings to cover shortfalls (‘</w:t>
      </w:r>
      <w:r>
        <w:rPr>
          <w:sz w:val="22"/>
          <w:szCs w:val="24"/>
        </w:rPr>
        <w:t>c</w:t>
      </w:r>
      <w:r w:rsidRPr="0031085B">
        <w:rPr>
          <w:sz w:val="22"/>
          <w:szCs w:val="24"/>
        </w:rPr>
        <w:t>opers’); those who sought help from self-employment support schemes and Universal Credit to cover losses in income (‘</w:t>
      </w:r>
      <w:r>
        <w:rPr>
          <w:sz w:val="22"/>
          <w:szCs w:val="24"/>
        </w:rPr>
        <w:t>h</w:t>
      </w:r>
      <w:r w:rsidRPr="0031085B">
        <w:rPr>
          <w:sz w:val="22"/>
          <w:szCs w:val="24"/>
        </w:rPr>
        <w:t>elp</w:t>
      </w:r>
      <w:r>
        <w:rPr>
          <w:sz w:val="22"/>
          <w:szCs w:val="24"/>
        </w:rPr>
        <w:t>-</w:t>
      </w:r>
      <w:r w:rsidRPr="0031085B">
        <w:rPr>
          <w:sz w:val="22"/>
          <w:szCs w:val="24"/>
        </w:rPr>
        <w:t>seekers’); and people who faced multiple financial struggles who took advantage o</w:t>
      </w:r>
      <w:r w:rsidRPr="0031085B">
        <w:rPr>
          <w:sz w:val="22"/>
          <w:szCs w:val="24"/>
        </w:rPr>
        <w:t>f many different types of non-work-based financial support (‘</w:t>
      </w:r>
      <w:r>
        <w:rPr>
          <w:sz w:val="22"/>
          <w:szCs w:val="24"/>
        </w:rPr>
        <w:t>m</w:t>
      </w:r>
      <w:r w:rsidRPr="0031085B">
        <w:rPr>
          <w:sz w:val="22"/>
          <w:szCs w:val="24"/>
        </w:rPr>
        <w:t>ulti-strugglers’).</w:t>
      </w:r>
    </w:p>
    <w:p w:rsidR="0031085B" w:rsidRPr="0031085B" w:rsidP="0031085B">
      <w:pPr>
        <w:rPr>
          <w:sz w:val="22"/>
          <w:szCs w:val="24"/>
        </w:rPr>
      </w:pPr>
    </w:p>
    <w:p w:rsidR="0031085B" w:rsidRPr="0031085B" w:rsidP="0031085B">
      <w:pPr>
        <w:rPr>
          <w:sz w:val="22"/>
          <w:szCs w:val="24"/>
        </w:rPr>
      </w:pPr>
      <w:r>
        <w:rPr>
          <w:sz w:val="22"/>
          <w:szCs w:val="24"/>
        </w:rPr>
        <w:t xml:space="preserve">6.2 </w:t>
      </w:r>
      <w:r w:rsidRPr="0031085B">
        <w:rPr>
          <w:sz w:val="22"/>
          <w:szCs w:val="24"/>
        </w:rPr>
        <w:t>People’s financial experiences differed by age. People who were ‘undisrupted’ tended to be aged 60 or older and less reliant on work-based income, while ‘help-seekers’ an</w:t>
      </w:r>
      <w:r w:rsidRPr="0031085B">
        <w:rPr>
          <w:sz w:val="22"/>
          <w:szCs w:val="24"/>
        </w:rPr>
        <w:t>d ‘multi-strugglers’ were slightly younger than other groups.</w:t>
      </w:r>
    </w:p>
    <w:p w:rsidR="0031085B" w:rsidRPr="0031085B" w:rsidP="0031085B">
      <w:pPr>
        <w:rPr>
          <w:sz w:val="22"/>
          <w:szCs w:val="24"/>
        </w:rPr>
      </w:pPr>
    </w:p>
    <w:p w:rsidR="0031085B" w:rsidRPr="0031085B" w:rsidP="0031085B">
      <w:pPr>
        <w:rPr>
          <w:sz w:val="22"/>
          <w:szCs w:val="24"/>
        </w:rPr>
      </w:pPr>
      <w:r>
        <w:rPr>
          <w:sz w:val="22"/>
          <w:szCs w:val="24"/>
        </w:rPr>
        <w:t xml:space="preserve">6.3 </w:t>
      </w:r>
      <w:r w:rsidRPr="0031085B">
        <w:rPr>
          <w:sz w:val="22"/>
          <w:szCs w:val="24"/>
        </w:rPr>
        <w:t>People from Black, Asian and Minority Ethnic backgrounds were twice as likely as White people to be ‘help-seekers’ who accessed new forms of financial help to cover their income losses.</w:t>
      </w:r>
    </w:p>
    <w:p w:rsidR="0031085B" w:rsidRPr="0031085B" w:rsidP="0031085B">
      <w:pPr>
        <w:rPr>
          <w:sz w:val="22"/>
          <w:szCs w:val="24"/>
        </w:rPr>
      </w:pPr>
    </w:p>
    <w:p w:rsidR="0031085B" w:rsidRPr="0031085B" w:rsidP="0031085B">
      <w:pPr>
        <w:rPr>
          <w:sz w:val="22"/>
          <w:szCs w:val="24"/>
        </w:rPr>
      </w:pPr>
      <w:bookmarkEnd w:id="3"/>
      <w:r>
        <w:rPr>
          <w:sz w:val="22"/>
          <w:szCs w:val="24"/>
        </w:rPr>
        <w:t>6.</w:t>
      </w:r>
      <w:r>
        <w:rPr>
          <w:sz w:val="22"/>
          <w:szCs w:val="24"/>
        </w:rPr>
        <w:t xml:space="preserve">4 </w:t>
      </w:r>
      <w:r w:rsidRPr="0031085B">
        <w:rPr>
          <w:sz w:val="22"/>
          <w:szCs w:val="24"/>
        </w:rPr>
        <w:t>‘Multi-strugglers’ had the highest levels of mental distress before the pandemic began (39%). Following the onset of the pandemic in April 2020, this increased further to 54% before returning to pre-pandemic levels in January 2021.</w:t>
      </w:r>
    </w:p>
    <w:p w:rsidR="0031085B" w:rsidRPr="0031085B" w:rsidP="0031085B">
      <w:pPr>
        <w:rPr>
          <w:sz w:val="22"/>
          <w:szCs w:val="24"/>
        </w:rPr>
      </w:pPr>
    </w:p>
    <w:p w:rsidR="0031085B" w:rsidRPr="0031085B" w:rsidP="0031085B">
      <w:pPr>
        <w:rPr>
          <w:sz w:val="22"/>
          <w:szCs w:val="24"/>
        </w:rPr>
      </w:pPr>
      <w:r>
        <w:rPr>
          <w:sz w:val="22"/>
          <w:szCs w:val="24"/>
        </w:rPr>
        <w:t xml:space="preserve">6.5 </w:t>
      </w:r>
      <w:r w:rsidRPr="0031085B">
        <w:rPr>
          <w:sz w:val="22"/>
          <w:szCs w:val="24"/>
        </w:rPr>
        <w:t xml:space="preserve">‘Help-seekers’ </w:t>
      </w:r>
      <w:r w:rsidRPr="0031085B">
        <w:rPr>
          <w:sz w:val="22"/>
          <w:szCs w:val="24"/>
        </w:rPr>
        <w:t>experienced the largest and most sustained increases in mental distress – 42% of people in this group reported being in poor mental health at the beginning of 2021, an increase from 29% before the crisis.</w:t>
      </w:r>
    </w:p>
    <w:p w:rsidR="0031085B" w:rsidRPr="0031085B" w:rsidP="0031085B">
      <w:pPr>
        <w:rPr>
          <w:sz w:val="22"/>
          <w:szCs w:val="24"/>
        </w:rPr>
      </w:pPr>
    </w:p>
    <w:p w:rsidR="0031085B" w:rsidRPr="0031085B" w:rsidP="0031085B">
      <w:pPr>
        <w:rPr>
          <w:sz w:val="22"/>
          <w:szCs w:val="24"/>
        </w:rPr>
      </w:pPr>
      <w:r>
        <w:rPr>
          <w:sz w:val="22"/>
          <w:szCs w:val="24"/>
        </w:rPr>
        <w:t xml:space="preserve">6.6 </w:t>
      </w:r>
      <w:r w:rsidRPr="0031085B">
        <w:rPr>
          <w:sz w:val="22"/>
          <w:szCs w:val="24"/>
        </w:rPr>
        <w:t xml:space="preserve">Around 14% of </w:t>
      </w:r>
      <w:r w:rsidRPr="0031085B">
        <w:rPr>
          <w:sz w:val="22"/>
          <w:szCs w:val="24"/>
        </w:rPr>
        <w:t>‘multi-strugglers’ had a new mental health diagnosis between May 2020 and January 2021, significantly higher than the 4% of people who benefited financially during the pandemic.</w:t>
      </w:r>
    </w:p>
    <w:p w:rsidR="0031085B" w:rsidRPr="0031085B" w:rsidP="0031085B">
      <w:pPr>
        <w:rPr>
          <w:sz w:val="22"/>
          <w:szCs w:val="24"/>
        </w:rPr>
      </w:pPr>
    </w:p>
    <w:p w:rsidR="00F17914" w:rsidRPr="00024BE7" w:rsidP="00F17914">
      <w:pPr>
        <w:rPr>
          <w:b/>
          <w:bCs/>
          <w:sz w:val="22"/>
          <w:szCs w:val="24"/>
        </w:rPr>
      </w:pPr>
      <w:r>
        <w:rPr>
          <w:b/>
          <w:bCs/>
          <w:sz w:val="22"/>
          <w:szCs w:val="24"/>
        </w:rPr>
        <w:t>7.</w:t>
      </w:r>
      <w:r w:rsidRPr="00024BE7">
        <w:rPr>
          <w:b/>
          <w:bCs/>
          <w:sz w:val="22"/>
          <w:szCs w:val="24"/>
        </w:rPr>
        <w:t xml:space="preserve"> </w:t>
      </w:r>
      <w:r>
        <w:rPr>
          <w:b/>
          <w:bCs/>
          <w:sz w:val="22"/>
          <w:szCs w:val="24"/>
        </w:rPr>
        <w:t>Measures to combat</w:t>
      </w:r>
      <w:r w:rsidRPr="00024BE7">
        <w:rPr>
          <w:b/>
          <w:bCs/>
          <w:sz w:val="22"/>
          <w:szCs w:val="24"/>
        </w:rPr>
        <w:t xml:space="preserve"> inequality</w:t>
      </w:r>
      <w:r>
        <w:rPr>
          <w:b/>
          <w:bCs/>
          <w:sz w:val="22"/>
          <w:szCs w:val="24"/>
        </w:rPr>
        <w:t xml:space="preserve"> following Covid-19</w:t>
      </w:r>
    </w:p>
    <w:p w:rsidR="007E70A8" w:rsidP="00F17914">
      <w:pPr>
        <w:rPr>
          <w:sz w:val="22"/>
          <w:szCs w:val="24"/>
        </w:rPr>
      </w:pPr>
    </w:p>
    <w:p w:rsidR="00024BE7" w:rsidP="00024BE7">
      <w:pPr>
        <w:rPr>
          <w:sz w:val="22"/>
          <w:szCs w:val="24"/>
        </w:rPr>
      </w:pPr>
      <w:r>
        <w:rPr>
          <w:sz w:val="22"/>
          <w:szCs w:val="24"/>
        </w:rPr>
        <w:t xml:space="preserve">7.1 </w:t>
      </w:r>
      <w:r w:rsidRPr="002360AA">
        <w:rPr>
          <w:sz w:val="22"/>
          <w:szCs w:val="24"/>
        </w:rPr>
        <w:t>There have been larg</w:t>
      </w:r>
      <w:r w:rsidRPr="002360AA">
        <w:rPr>
          <w:sz w:val="22"/>
          <w:szCs w:val="24"/>
        </w:rPr>
        <w:t xml:space="preserve">e increases in wealth inequality, with substantial reductions in wealth for households in the </w:t>
      </w:r>
      <w:r>
        <w:rPr>
          <w:sz w:val="22"/>
          <w:szCs w:val="24"/>
        </w:rPr>
        <w:t>‘</w:t>
      </w:r>
      <w:r w:rsidRPr="002360AA">
        <w:rPr>
          <w:sz w:val="22"/>
          <w:szCs w:val="24"/>
        </w:rPr>
        <w:t>intermediate</w:t>
      </w:r>
      <w:r>
        <w:rPr>
          <w:sz w:val="22"/>
          <w:szCs w:val="24"/>
        </w:rPr>
        <w:t>’</w:t>
      </w:r>
      <w:r w:rsidRPr="002360AA">
        <w:rPr>
          <w:sz w:val="22"/>
          <w:szCs w:val="24"/>
        </w:rPr>
        <w:t xml:space="preserve"> and </w:t>
      </w:r>
      <w:r>
        <w:rPr>
          <w:sz w:val="22"/>
          <w:szCs w:val="24"/>
        </w:rPr>
        <w:t>‘</w:t>
      </w:r>
      <w:r w:rsidRPr="002360AA">
        <w:rPr>
          <w:sz w:val="22"/>
          <w:szCs w:val="24"/>
        </w:rPr>
        <w:t>routine</w:t>
      </w:r>
      <w:r>
        <w:rPr>
          <w:sz w:val="22"/>
          <w:szCs w:val="24"/>
        </w:rPr>
        <w:t>’ socioeconomic</w:t>
      </w:r>
      <w:r w:rsidRPr="002360AA">
        <w:rPr>
          <w:sz w:val="22"/>
          <w:szCs w:val="24"/>
        </w:rPr>
        <w:t xml:space="preserve"> groups.</w:t>
      </w:r>
    </w:p>
    <w:p w:rsidR="00024BE7" w:rsidP="00024BE7">
      <w:pPr>
        <w:rPr>
          <w:sz w:val="22"/>
          <w:szCs w:val="24"/>
        </w:rPr>
      </w:pPr>
    </w:p>
    <w:p w:rsidR="002360AA" w:rsidP="00024BE7">
      <w:pPr>
        <w:rPr>
          <w:sz w:val="22"/>
          <w:szCs w:val="24"/>
        </w:rPr>
      </w:pPr>
      <w:r>
        <w:rPr>
          <w:sz w:val="22"/>
          <w:szCs w:val="24"/>
        </w:rPr>
        <w:t>7</w:t>
      </w:r>
      <w:r>
        <w:rPr>
          <w:sz w:val="22"/>
          <w:szCs w:val="24"/>
        </w:rPr>
        <w:t xml:space="preserve">.2 </w:t>
      </w:r>
      <w:r w:rsidRPr="00024BE7">
        <w:rPr>
          <w:sz w:val="22"/>
          <w:szCs w:val="24"/>
        </w:rPr>
        <w:t xml:space="preserve">If there is a short recession, the impact </w:t>
      </w:r>
      <w:r>
        <w:rPr>
          <w:sz w:val="22"/>
          <w:szCs w:val="24"/>
        </w:rPr>
        <w:t xml:space="preserve">on </w:t>
      </w:r>
      <w:r w:rsidRPr="00024BE7">
        <w:rPr>
          <w:sz w:val="22"/>
          <w:szCs w:val="24"/>
        </w:rPr>
        <w:t>wealth inequality is likely to be of the same order of magnit</w:t>
      </w:r>
      <w:r w:rsidRPr="00024BE7">
        <w:rPr>
          <w:sz w:val="22"/>
          <w:szCs w:val="24"/>
        </w:rPr>
        <w:t>ude as after the 2008 recession.</w:t>
      </w:r>
    </w:p>
    <w:p w:rsidR="00024BE7" w:rsidP="00024BE7">
      <w:pPr>
        <w:rPr>
          <w:sz w:val="22"/>
          <w:szCs w:val="24"/>
        </w:rPr>
      </w:pPr>
    </w:p>
    <w:p w:rsidR="00024BE7" w:rsidP="00024BE7">
      <w:pPr>
        <w:rPr>
          <w:sz w:val="22"/>
          <w:szCs w:val="24"/>
        </w:rPr>
      </w:pPr>
      <w:r>
        <w:rPr>
          <w:sz w:val="22"/>
          <w:szCs w:val="24"/>
        </w:rPr>
        <w:t xml:space="preserve">7.3 Factors such as </w:t>
      </w:r>
      <w:r w:rsidRPr="002360AA">
        <w:rPr>
          <w:sz w:val="22"/>
          <w:szCs w:val="24"/>
        </w:rPr>
        <w:t xml:space="preserve">very strong income growth or redistributive policy </w:t>
      </w:r>
      <w:r w:rsidRPr="002360AA">
        <w:rPr>
          <w:sz w:val="22"/>
          <w:szCs w:val="24"/>
        </w:rPr>
        <w:t>could prevent a large increase in inequality in the next few years. Also, a rise in tax revenue is expected to be required to finance the government de</w:t>
      </w:r>
      <w:r w:rsidRPr="002360AA">
        <w:rPr>
          <w:sz w:val="22"/>
          <w:szCs w:val="24"/>
        </w:rPr>
        <w:t>ficits, resulting in reductions in household income that can have important inequality implications, depending on the policy chosen</w:t>
      </w:r>
      <w:r>
        <w:rPr>
          <w:sz w:val="22"/>
          <w:szCs w:val="24"/>
        </w:rPr>
        <w:t>.</w:t>
      </w:r>
    </w:p>
    <w:p w:rsidR="00024BE7" w:rsidP="00024BE7">
      <w:pPr>
        <w:rPr>
          <w:sz w:val="22"/>
          <w:szCs w:val="24"/>
        </w:rPr>
      </w:pPr>
    </w:p>
    <w:p w:rsidR="002360AA" w:rsidRPr="00024BE7" w:rsidP="00024BE7">
      <w:pPr>
        <w:rPr>
          <w:sz w:val="22"/>
          <w:szCs w:val="24"/>
        </w:rPr>
      </w:pPr>
      <w:r>
        <w:rPr>
          <w:sz w:val="22"/>
          <w:szCs w:val="24"/>
        </w:rPr>
        <w:t>7</w:t>
      </w:r>
      <w:r>
        <w:rPr>
          <w:sz w:val="22"/>
          <w:szCs w:val="24"/>
        </w:rPr>
        <w:t xml:space="preserve">.4 </w:t>
      </w:r>
      <w:r w:rsidRPr="00024BE7">
        <w:rPr>
          <w:sz w:val="22"/>
          <w:szCs w:val="24"/>
        </w:rPr>
        <w:t xml:space="preserve">The </w:t>
      </w:r>
      <w:r w:rsidRPr="00024BE7">
        <w:rPr>
          <w:sz w:val="22"/>
          <w:szCs w:val="24"/>
        </w:rPr>
        <w:t xml:space="preserve">predicted </w:t>
      </w:r>
      <w:r w:rsidRPr="00024BE7">
        <w:rPr>
          <w:sz w:val="22"/>
          <w:szCs w:val="24"/>
        </w:rPr>
        <w:t xml:space="preserve">large </w:t>
      </w:r>
      <w:r w:rsidRPr="002360AA">
        <w:rPr>
          <w:sz w:val="22"/>
          <w:szCs w:val="24"/>
        </w:rPr>
        <w:t>increases in wealth inequality</w:t>
      </w:r>
      <w:r w:rsidRPr="00024BE7">
        <w:rPr>
          <w:sz w:val="22"/>
          <w:szCs w:val="24"/>
        </w:rPr>
        <w:t xml:space="preserve"> </w:t>
      </w:r>
      <w:r w:rsidRPr="00024BE7">
        <w:rPr>
          <w:sz w:val="22"/>
          <w:szCs w:val="24"/>
        </w:rPr>
        <w:t xml:space="preserve">highlight the need to examine the distributional effects of </w:t>
      </w:r>
      <w:r w:rsidRPr="00024BE7">
        <w:rPr>
          <w:sz w:val="22"/>
          <w:szCs w:val="24"/>
        </w:rPr>
        <w:t>policy in terms of wealth and income inequality, especially given their links with health inequality</w:t>
      </w:r>
      <w:r>
        <w:rPr>
          <w:sz w:val="22"/>
          <w:szCs w:val="24"/>
        </w:rPr>
        <w:t>, which</w:t>
      </w:r>
      <w:r w:rsidRPr="00024BE7">
        <w:rPr>
          <w:sz w:val="22"/>
          <w:szCs w:val="24"/>
        </w:rPr>
        <w:t xml:space="preserve"> has already worsened as a result of the pandemic and the measures taken to contain it.</w:t>
      </w:r>
    </w:p>
    <w:p w:rsidR="002360AA" w:rsidP="002360AA">
      <w:pPr>
        <w:rPr>
          <w:sz w:val="22"/>
          <w:szCs w:val="24"/>
        </w:rPr>
      </w:pPr>
    </w:p>
    <w:p w:rsidR="00F17914" w:rsidRPr="00806B94" w:rsidP="00F17914">
      <w:pPr>
        <w:rPr>
          <w:b/>
          <w:bCs/>
          <w:sz w:val="22"/>
          <w:szCs w:val="24"/>
        </w:rPr>
      </w:pPr>
      <w:r>
        <w:rPr>
          <w:b/>
          <w:bCs/>
          <w:sz w:val="22"/>
          <w:szCs w:val="24"/>
        </w:rPr>
        <w:t xml:space="preserve">8. </w:t>
      </w:r>
      <w:r w:rsidRPr="00806B94">
        <w:rPr>
          <w:b/>
          <w:bCs/>
          <w:sz w:val="22"/>
          <w:szCs w:val="24"/>
        </w:rPr>
        <w:t>Economic impact on race inequality</w:t>
      </w:r>
    </w:p>
    <w:p w:rsidR="00806B94" w:rsidP="00F17914">
      <w:pPr>
        <w:rPr>
          <w:sz w:val="22"/>
          <w:szCs w:val="24"/>
        </w:rPr>
      </w:pPr>
    </w:p>
    <w:p w:rsidR="003D2306" w:rsidRPr="00E62937" w:rsidP="003D2306">
      <w:pPr>
        <w:rPr>
          <w:sz w:val="22"/>
          <w:szCs w:val="24"/>
        </w:rPr>
      </w:pPr>
      <w:bookmarkStart w:id="4" w:name="_Hlk74127844"/>
      <w:r>
        <w:rPr>
          <w:sz w:val="22"/>
          <w:szCs w:val="24"/>
        </w:rPr>
        <w:t xml:space="preserve">8.1 </w:t>
      </w:r>
      <w:r w:rsidRPr="00E62937">
        <w:rPr>
          <w:sz w:val="22"/>
          <w:szCs w:val="24"/>
        </w:rPr>
        <w:t>Single parents an</w:t>
      </w:r>
      <w:r w:rsidRPr="00E62937">
        <w:rPr>
          <w:sz w:val="22"/>
          <w:szCs w:val="24"/>
        </w:rPr>
        <w:t xml:space="preserve">d workers from black, Asian and minority ethnic </w:t>
      </w:r>
      <w:r>
        <w:rPr>
          <w:sz w:val="22"/>
          <w:szCs w:val="24"/>
        </w:rPr>
        <w:t xml:space="preserve">(BAME) </w:t>
      </w:r>
      <w:r w:rsidRPr="00E62937">
        <w:rPr>
          <w:sz w:val="22"/>
          <w:szCs w:val="24"/>
        </w:rPr>
        <w:t>groups have experienced the hardest economic shocks as a result of the Covid-19 crisis.</w:t>
      </w:r>
    </w:p>
    <w:p w:rsidR="003D2306" w:rsidRPr="00E62937" w:rsidP="003D2306">
      <w:pPr>
        <w:rPr>
          <w:sz w:val="22"/>
          <w:szCs w:val="24"/>
        </w:rPr>
      </w:pPr>
    </w:p>
    <w:p w:rsidR="003D2306" w:rsidRPr="00E62937" w:rsidP="003D2306">
      <w:pPr>
        <w:rPr>
          <w:sz w:val="22"/>
          <w:szCs w:val="24"/>
        </w:rPr>
      </w:pPr>
      <w:r>
        <w:rPr>
          <w:sz w:val="22"/>
          <w:szCs w:val="24"/>
        </w:rPr>
        <w:t xml:space="preserve">8.2 </w:t>
      </w:r>
      <w:r w:rsidRPr="00E62937">
        <w:rPr>
          <w:sz w:val="22"/>
          <w:szCs w:val="24"/>
        </w:rPr>
        <w:t>44% of non-BAME individuals whose working hours declined during the crisis were furloughed, while 7% found t</w:t>
      </w:r>
      <w:r w:rsidRPr="00E62937">
        <w:rPr>
          <w:sz w:val="22"/>
          <w:szCs w:val="24"/>
        </w:rPr>
        <w:t xml:space="preserve">hemselves unemployed. </w:t>
      </w:r>
      <w:r>
        <w:rPr>
          <w:sz w:val="22"/>
          <w:szCs w:val="24"/>
        </w:rPr>
        <w:t xml:space="preserve">Only </w:t>
      </w:r>
      <w:r w:rsidRPr="00E62937">
        <w:rPr>
          <w:sz w:val="22"/>
          <w:szCs w:val="24"/>
        </w:rPr>
        <w:t>31% of BAME workers who experienced a drop in working hours were furloughed, and more than 20% lost their jobs.</w:t>
      </w:r>
    </w:p>
    <w:p w:rsidR="003D2306" w:rsidRPr="00E62937" w:rsidP="003D2306">
      <w:pPr>
        <w:rPr>
          <w:sz w:val="22"/>
          <w:szCs w:val="24"/>
        </w:rPr>
      </w:pPr>
    </w:p>
    <w:p w:rsidR="003D2306" w:rsidRPr="00E62937" w:rsidP="003D2306">
      <w:pPr>
        <w:rPr>
          <w:sz w:val="22"/>
          <w:szCs w:val="24"/>
        </w:rPr>
      </w:pPr>
      <w:r>
        <w:rPr>
          <w:sz w:val="22"/>
          <w:szCs w:val="24"/>
        </w:rPr>
        <w:t xml:space="preserve">8.3 </w:t>
      </w:r>
      <w:r w:rsidRPr="00E62937">
        <w:rPr>
          <w:sz w:val="22"/>
          <w:szCs w:val="24"/>
        </w:rPr>
        <w:t>BAME household earnings fell from an average £441 a week to £404. Non-BAME groups saw their average weekly earni</w:t>
      </w:r>
      <w:r w:rsidRPr="00E62937">
        <w:rPr>
          <w:sz w:val="22"/>
          <w:szCs w:val="24"/>
        </w:rPr>
        <w:t>ngs fall from £547 to £503.</w:t>
      </w:r>
    </w:p>
    <w:p w:rsidR="003D2306" w:rsidP="003D2306">
      <w:pPr>
        <w:rPr>
          <w:sz w:val="22"/>
          <w:szCs w:val="24"/>
        </w:rPr>
      </w:pPr>
    </w:p>
    <w:p w:rsidR="00800221" w:rsidRPr="003D2306" w:rsidP="00800221">
      <w:pPr>
        <w:rPr>
          <w:sz w:val="22"/>
          <w:szCs w:val="24"/>
        </w:rPr>
      </w:pPr>
      <w:r>
        <w:rPr>
          <w:sz w:val="22"/>
          <w:szCs w:val="24"/>
        </w:rPr>
        <w:t xml:space="preserve">8.4 </w:t>
      </w:r>
      <w:r w:rsidRPr="003D2306">
        <w:rPr>
          <w:sz w:val="22"/>
          <w:szCs w:val="24"/>
        </w:rPr>
        <w:t>BAME migrants in the UK are more likely to experience job loss during the C</w:t>
      </w:r>
      <w:r>
        <w:rPr>
          <w:sz w:val="22"/>
          <w:szCs w:val="24"/>
        </w:rPr>
        <w:t>ovid</w:t>
      </w:r>
      <w:r w:rsidRPr="003D2306">
        <w:rPr>
          <w:sz w:val="22"/>
          <w:szCs w:val="24"/>
        </w:rPr>
        <w:t>-19 lockdown than UK-born white British.</w:t>
      </w:r>
      <w:r>
        <w:rPr>
          <w:sz w:val="22"/>
          <w:szCs w:val="24"/>
        </w:rPr>
        <w:t xml:space="preserve"> </w:t>
      </w:r>
      <w:r w:rsidRPr="003D2306">
        <w:rPr>
          <w:sz w:val="22"/>
          <w:szCs w:val="24"/>
        </w:rPr>
        <w:t>BAME natives are less likely to enjoy employment protection such as furloughing.</w:t>
      </w:r>
    </w:p>
    <w:p w:rsidR="00800221" w:rsidRPr="003D2306" w:rsidP="00800221">
      <w:pPr>
        <w:rPr>
          <w:sz w:val="22"/>
          <w:szCs w:val="24"/>
        </w:rPr>
      </w:pPr>
    </w:p>
    <w:p w:rsidR="00800221" w:rsidRPr="003D2306" w:rsidP="00800221">
      <w:pPr>
        <w:rPr>
          <w:sz w:val="22"/>
          <w:szCs w:val="24"/>
        </w:rPr>
      </w:pPr>
      <w:r>
        <w:rPr>
          <w:sz w:val="22"/>
          <w:szCs w:val="24"/>
        </w:rPr>
        <w:t xml:space="preserve">8.5 </w:t>
      </w:r>
      <w:r w:rsidRPr="003D2306">
        <w:rPr>
          <w:sz w:val="22"/>
          <w:szCs w:val="24"/>
        </w:rPr>
        <w:t xml:space="preserve">Although UK-born </w:t>
      </w:r>
      <w:r w:rsidRPr="003D2306">
        <w:rPr>
          <w:sz w:val="22"/>
          <w:szCs w:val="24"/>
        </w:rPr>
        <w:t>white British are more likely to reduce their work hours during the C</w:t>
      </w:r>
      <w:r>
        <w:rPr>
          <w:sz w:val="22"/>
          <w:szCs w:val="24"/>
        </w:rPr>
        <w:t>ovid</w:t>
      </w:r>
      <w:r w:rsidRPr="003D2306">
        <w:rPr>
          <w:sz w:val="22"/>
          <w:szCs w:val="24"/>
        </w:rPr>
        <w:t>-19 pandemic than BAME migrants, they are less likely to experience income loss and face increased financial hardship during the pandemic than BAME migrants.</w:t>
      </w:r>
    </w:p>
    <w:p w:rsidR="00800221" w:rsidRPr="003D2306" w:rsidP="00800221">
      <w:pPr>
        <w:rPr>
          <w:sz w:val="22"/>
          <w:szCs w:val="24"/>
        </w:rPr>
      </w:pPr>
    </w:p>
    <w:p w:rsidR="00800221" w:rsidRPr="003D2306" w:rsidP="00800221">
      <w:pPr>
        <w:rPr>
          <w:sz w:val="22"/>
          <w:szCs w:val="24"/>
        </w:rPr>
      </w:pPr>
      <w:r>
        <w:rPr>
          <w:sz w:val="22"/>
          <w:szCs w:val="24"/>
        </w:rPr>
        <w:t xml:space="preserve">8.6 </w:t>
      </w:r>
      <w:r w:rsidRPr="003D2306">
        <w:rPr>
          <w:sz w:val="22"/>
          <w:szCs w:val="24"/>
        </w:rPr>
        <w:t>The pandemic exacerb</w:t>
      </w:r>
      <w:r w:rsidRPr="003D2306">
        <w:rPr>
          <w:sz w:val="22"/>
          <w:szCs w:val="24"/>
        </w:rPr>
        <w:t>ates entrenched socio-economic inequalities along intersecting ethnic and native-migrant lines.</w:t>
      </w:r>
    </w:p>
    <w:p w:rsidR="00800221" w:rsidRPr="003D2306" w:rsidP="00800221">
      <w:pPr>
        <w:rPr>
          <w:sz w:val="22"/>
          <w:szCs w:val="24"/>
        </w:rPr>
      </w:pPr>
    </w:p>
    <w:p w:rsidR="00800221" w:rsidRPr="003D2306" w:rsidP="00800221">
      <w:pPr>
        <w:rPr>
          <w:sz w:val="22"/>
          <w:szCs w:val="24"/>
        </w:rPr>
      </w:pPr>
      <w:r>
        <w:rPr>
          <w:sz w:val="22"/>
          <w:szCs w:val="24"/>
        </w:rPr>
        <w:t xml:space="preserve">8.7 </w:t>
      </w:r>
      <w:r w:rsidRPr="003D2306">
        <w:rPr>
          <w:sz w:val="22"/>
          <w:szCs w:val="24"/>
        </w:rPr>
        <w:t>Governments and policy makers need to put racial justice at the centre of policy developments in response to the pandemic.</w:t>
      </w:r>
    </w:p>
    <w:p w:rsidR="00800221" w:rsidRPr="00806B94" w:rsidP="00800221">
      <w:pPr>
        <w:rPr>
          <w:sz w:val="22"/>
          <w:szCs w:val="24"/>
        </w:rPr>
      </w:pPr>
    </w:p>
    <w:p w:rsidR="00800221" w:rsidRPr="00806B94" w:rsidP="00800221">
      <w:pPr>
        <w:rPr>
          <w:b/>
          <w:bCs/>
          <w:sz w:val="22"/>
          <w:szCs w:val="24"/>
        </w:rPr>
      </w:pPr>
      <w:bookmarkEnd w:id="4"/>
      <w:r>
        <w:rPr>
          <w:b/>
          <w:bCs/>
          <w:sz w:val="22"/>
          <w:szCs w:val="24"/>
        </w:rPr>
        <w:t xml:space="preserve">9. </w:t>
      </w:r>
      <w:r w:rsidRPr="00806B94">
        <w:rPr>
          <w:b/>
          <w:bCs/>
          <w:sz w:val="22"/>
          <w:szCs w:val="24"/>
        </w:rPr>
        <w:t xml:space="preserve">Economic impact on </w:t>
      </w:r>
      <w:r w:rsidRPr="00806B94">
        <w:rPr>
          <w:b/>
          <w:bCs/>
          <w:sz w:val="22"/>
          <w:szCs w:val="24"/>
        </w:rPr>
        <w:t>disability inequality</w:t>
      </w:r>
    </w:p>
    <w:p w:rsidR="00800221" w:rsidRPr="003D2306" w:rsidP="003D2306">
      <w:pPr>
        <w:rPr>
          <w:sz w:val="22"/>
          <w:szCs w:val="24"/>
        </w:rPr>
      </w:pPr>
    </w:p>
    <w:p w:rsidR="00CC6CDF" w:rsidRPr="00800221" w:rsidP="00800221">
      <w:pPr>
        <w:rPr>
          <w:sz w:val="22"/>
          <w:szCs w:val="24"/>
        </w:rPr>
      </w:pPr>
      <w:r>
        <w:rPr>
          <w:sz w:val="22"/>
          <w:szCs w:val="24"/>
        </w:rPr>
        <w:t xml:space="preserve">9.1 </w:t>
      </w:r>
      <w:r w:rsidRPr="00800221">
        <w:rPr>
          <w:sz w:val="22"/>
          <w:szCs w:val="24"/>
        </w:rPr>
        <w:t xml:space="preserve">During the first lockdown in the UK, respondents with disability were </w:t>
      </w:r>
      <w:r w:rsidRPr="00800221">
        <w:rPr>
          <w:sz w:val="22"/>
          <w:szCs w:val="24"/>
        </w:rPr>
        <w:t xml:space="preserve">particularly disadvantaged by the financial impact. They were </w:t>
      </w:r>
      <w:r w:rsidRPr="00800221">
        <w:rPr>
          <w:sz w:val="22"/>
          <w:szCs w:val="24"/>
        </w:rPr>
        <w:t xml:space="preserve">more likely than their peers to be working reduced hours and </w:t>
      </w:r>
      <w:r>
        <w:rPr>
          <w:sz w:val="22"/>
          <w:szCs w:val="24"/>
        </w:rPr>
        <w:t xml:space="preserve">to </w:t>
      </w:r>
      <w:r w:rsidRPr="00800221">
        <w:rPr>
          <w:sz w:val="22"/>
          <w:szCs w:val="24"/>
        </w:rPr>
        <w:t>experience higher levels of finan</w:t>
      </w:r>
      <w:r w:rsidRPr="00800221">
        <w:rPr>
          <w:sz w:val="22"/>
          <w:szCs w:val="24"/>
        </w:rPr>
        <w:t>cial stress.</w:t>
      </w:r>
    </w:p>
    <w:p w:rsidR="00CC6CDF" w:rsidRPr="00800221" w:rsidP="00800221">
      <w:pPr>
        <w:rPr>
          <w:sz w:val="22"/>
          <w:szCs w:val="24"/>
        </w:rPr>
      </w:pPr>
    </w:p>
    <w:p w:rsidR="00CC6CDF" w:rsidRPr="00800221" w:rsidP="00800221">
      <w:pPr>
        <w:rPr>
          <w:sz w:val="22"/>
          <w:szCs w:val="24"/>
        </w:rPr>
      </w:pPr>
      <w:r>
        <w:rPr>
          <w:sz w:val="22"/>
          <w:szCs w:val="24"/>
        </w:rPr>
        <w:t xml:space="preserve">9.2 </w:t>
      </w:r>
      <w:r w:rsidRPr="00800221">
        <w:rPr>
          <w:sz w:val="22"/>
          <w:szCs w:val="24"/>
        </w:rPr>
        <w:t xml:space="preserve">These differences were </w:t>
      </w:r>
      <w:r w:rsidRPr="00800221">
        <w:rPr>
          <w:sz w:val="22"/>
          <w:szCs w:val="24"/>
        </w:rPr>
        <w:t>reduced</w:t>
      </w:r>
      <w:r w:rsidRPr="00800221">
        <w:rPr>
          <w:sz w:val="22"/>
          <w:szCs w:val="24"/>
        </w:rPr>
        <w:t>, but not eliminated, when estimates were adjusted to take account of pre-lockdown financial status.</w:t>
      </w:r>
    </w:p>
    <w:p w:rsidR="00CC6CDF" w:rsidRPr="00800221" w:rsidP="00800221">
      <w:pPr>
        <w:rPr>
          <w:sz w:val="22"/>
          <w:szCs w:val="24"/>
        </w:rPr>
      </w:pPr>
    </w:p>
    <w:p w:rsidR="00476DD0" w:rsidRPr="00800221" w:rsidP="00800221">
      <w:pPr>
        <w:rPr>
          <w:sz w:val="22"/>
          <w:szCs w:val="24"/>
        </w:rPr>
      </w:pPr>
      <w:r>
        <w:rPr>
          <w:sz w:val="22"/>
          <w:szCs w:val="24"/>
        </w:rPr>
        <w:t xml:space="preserve">9.3 </w:t>
      </w:r>
      <w:r w:rsidRPr="00800221">
        <w:rPr>
          <w:sz w:val="22"/>
          <w:szCs w:val="24"/>
        </w:rPr>
        <w:t>The UN Secretary-General António Guterres has stated the need for a disability-inclusive C</w:t>
      </w:r>
      <w:r>
        <w:rPr>
          <w:sz w:val="22"/>
          <w:szCs w:val="24"/>
        </w:rPr>
        <w:t>ovid</w:t>
      </w:r>
      <w:r w:rsidRPr="00800221">
        <w:rPr>
          <w:sz w:val="22"/>
          <w:szCs w:val="24"/>
        </w:rPr>
        <w:t>-19 gove</w:t>
      </w:r>
      <w:r w:rsidRPr="00800221">
        <w:rPr>
          <w:sz w:val="22"/>
          <w:szCs w:val="24"/>
        </w:rPr>
        <w:t>rnment response. The analysis suggest</w:t>
      </w:r>
      <w:r w:rsidRPr="00800221">
        <w:rPr>
          <w:sz w:val="22"/>
          <w:szCs w:val="24"/>
        </w:rPr>
        <w:t>s</w:t>
      </w:r>
      <w:r w:rsidRPr="00800221">
        <w:rPr>
          <w:sz w:val="22"/>
          <w:szCs w:val="24"/>
        </w:rPr>
        <w:t xml:space="preserve"> that these pleas have either not been heeded, or if measures have been implemented, they have so far been ineffectual.</w:t>
      </w:r>
    </w:p>
    <w:p w:rsidR="00F17914" w:rsidRPr="00800221" w:rsidP="00800221">
      <w:pPr>
        <w:rPr>
          <w:sz w:val="22"/>
          <w:szCs w:val="24"/>
        </w:rPr>
      </w:pPr>
    </w:p>
    <w:p w:rsidR="008A712F" w:rsidP="00800221">
      <w:pPr>
        <w:rPr>
          <w:b/>
          <w:bCs/>
          <w:sz w:val="22"/>
          <w:szCs w:val="24"/>
        </w:rPr>
      </w:pPr>
    </w:p>
    <w:p w:rsidR="008A712F" w:rsidP="00800221">
      <w:pPr>
        <w:rPr>
          <w:b/>
          <w:bCs/>
          <w:sz w:val="22"/>
          <w:szCs w:val="24"/>
        </w:rPr>
      </w:pPr>
    </w:p>
    <w:p w:rsidR="008A712F" w:rsidP="00800221">
      <w:pPr>
        <w:rPr>
          <w:b/>
          <w:bCs/>
          <w:sz w:val="22"/>
          <w:szCs w:val="24"/>
        </w:rPr>
      </w:pPr>
    </w:p>
    <w:p w:rsidR="00800221" w:rsidRPr="00806B94" w:rsidP="00800221">
      <w:pPr>
        <w:rPr>
          <w:b/>
          <w:bCs/>
          <w:sz w:val="22"/>
          <w:szCs w:val="24"/>
        </w:rPr>
      </w:pPr>
      <w:r>
        <w:rPr>
          <w:b/>
          <w:bCs/>
          <w:sz w:val="22"/>
          <w:szCs w:val="24"/>
        </w:rPr>
        <w:t xml:space="preserve">10. </w:t>
      </w:r>
      <w:r w:rsidRPr="00806B94">
        <w:rPr>
          <w:b/>
          <w:bCs/>
          <w:sz w:val="22"/>
          <w:szCs w:val="24"/>
        </w:rPr>
        <w:t>Economic impact on gender inequality</w:t>
      </w:r>
    </w:p>
    <w:p w:rsidR="00800221" w:rsidRPr="000627E7" w:rsidP="00F17914">
      <w:pPr>
        <w:rPr>
          <w:sz w:val="22"/>
          <w:szCs w:val="24"/>
        </w:rPr>
      </w:pPr>
    </w:p>
    <w:p w:rsidR="00CC6CDF" w:rsidRPr="000627E7" w:rsidP="000627E7">
      <w:pPr>
        <w:rPr>
          <w:sz w:val="22"/>
          <w:szCs w:val="24"/>
        </w:rPr>
      </w:pPr>
      <w:r>
        <w:rPr>
          <w:sz w:val="22"/>
          <w:szCs w:val="24"/>
        </w:rPr>
        <w:t xml:space="preserve">10.1 </w:t>
      </w:r>
      <w:r w:rsidRPr="000627E7">
        <w:rPr>
          <w:sz w:val="22"/>
          <w:szCs w:val="24"/>
        </w:rPr>
        <w:t>A</w:t>
      </w:r>
      <w:r w:rsidRPr="000627E7">
        <w:rPr>
          <w:sz w:val="22"/>
          <w:szCs w:val="24"/>
        </w:rPr>
        <w:t>t the start of the pandemic in the UK, men were s</w:t>
      </w:r>
      <w:r w:rsidRPr="000627E7">
        <w:rPr>
          <w:sz w:val="22"/>
          <w:szCs w:val="24"/>
        </w:rPr>
        <w:t>lightly more likely than women to be furloughed and to experience earnings losses, but by late summer the gender differential in furlough rates had reversed.</w:t>
      </w:r>
    </w:p>
    <w:p w:rsidR="00CC6CDF" w:rsidRPr="000627E7" w:rsidP="00CC6CDF">
      <w:pPr>
        <w:rPr>
          <w:sz w:val="22"/>
          <w:szCs w:val="24"/>
        </w:rPr>
      </w:pPr>
    </w:p>
    <w:p w:rsidR="00476DD0" w:rsidRPr="000627E7" w:rsidP="000627E7">
      <w:pPr>
        <w:rPr>
          <w:sz w:val="22"/>
          <w:szCs w:val="24"/>
        </w:rPr>
      </w:pPr>
      <w:r>
        <w:rPr>
          <w:sz w:val="22"/>
          <w:szCs w:val="24"/>
        </w:rPr>
        <w:t xml:space="preserve">10.2 </w:t>
      </w:r>
      <w:r w:rsidRPr="000627E7">
        <w:rPr>
          <w:sz w:val="22"/>
          <w:szCs w:val="24"/>
        </w:rPr>
        <w:t xml:space="preserve">Women also provided </w:t>
      </w:r>
      <w:r w:rsidRPr="000627E7">
        <w:rPr>
          <w:sz w:val="22"/>
          <w:szCs w:val="24"/>
        </w:rPr>
        <w:t>more</w:t>
      </w:r>
      <w:r w:rsidRPr="000627E7">
        <w:rPr>
          <w:sz w:val="22"/>
          <w:szCs w:val="24"/>
        </w:rPr>
        <w:t xml:space="preserve"> childcare on average, although </w:t>
      </w:r>
      <w:r w:rsidRPr="000627E7">
        <w:rPr>
          <w:sz w:val="22"/>
          <w:szCs w:val="24"/>
        </w:rPr>
        <w:t>fathers became the primary childcare</w:t>
      </w:r>
      <w:r w:rsidRPr="000627E7">
        <w:rPr>
          <w:sz w:val="22"/>
          <w:szCs w:val="24"/>
        </w:rPr>
        <w:t xml:space="preserve"> providers during the first lockdown </w:t>
      </w:r>
      <w:r w:rsidRPr="000627E7">
        <w:rPr>
          <w:sz w:val="22"/>
          <w:szCs w:val="24"/>
        </w:rPr>
        <w:t>in an important share of households.</w:t>
      </w:r>
    </w:p>
    <w:p w:rsidR="00CC6CDF" w:rsidRPr="000627E7" w:rsidP="00F17914">
      <w:pPr>
        <w:rPr>
          <w:sz w:val="22"/>
          <w:szCs w:val="24"/>
        </w:rPr>
      </w:pPr>
    </w:p>
    <w:p w:rsidR="000627E7" w:rsidP="000627E7">
      <w:pPr>
        <w:rPr>
          <w:sz w:val="22"/>
          <w:szCs w:val="24"/>
        </w:rPr>
      </w:pPr>
      <w:r>
        <w:rPr>
          <w:sz w:val="22"/>
          <w:szCs w:val="24"/>
        </w:rPr>
        <w:t xml:space="preserve">10.3 </w:t>
      </w:r>
      <w:r w:rsidRPr="000627E7">
        <w:rPr>
          <w:sz w:val="22"/>
          <w:szCs w:val="24"/>
        </w:rPr>
        <w:t xml:space="preserve">In the medium term, we might observe a reversal of traditional gender roles in a sizeable share of UK households, in which fathers took the role of primary childcare </w:t>
      </w:r>
      <w:r w:rsidRPr="000627E7">
        <w:rPr>
          <w:sz w:val="22"/>
          <w:szCs w:val="24"/>
        </w:rPr>
        <w:t>providers during the first lockdown.</w:t>
      </w:r>
    </w:p>
    <w:p w:rsidR="000627E7" w:rsidP="000627E7">
      <w:pPr>
        <w:rPr>
          <w:sz w:val="22"/>
          <w:szCs w:val="24"/>
        </w:rPr>
      </w:pPr>
    </w:p>
    <w:p w:rsidR="00F17914" w:rsidRPr="000627E7" w:rsidP="000627E7">
      <w:pPr>
        <w:rPr>
          <w:sz w:val="22"/>
          <w:szCs w:val="24"/>
        </w:rPr>
      </w:pPr>
      <w:r>
        <w:rPr>
          <w:sz w:val="22"/>
          <w:szCs w:val="24"/>
        </w:rPr>
        <w:t xml:space="preserve">10.4 </w:t>
      </w:r>
      <w:r w:rsidRPr="000627E7">
        <w:rPr>
          <w:sz w:val="22"/>
          <w:szCs w:val="24"/>
        </w:rPr>
        <w:t xml:space="preserve">However, in other households, particularly where mothers </w:t>
      </w:r>
      <w:r>
        <w:rPr>
          <w:sz w:val="22"/>
          <w:szCs w:val="24"/>
        </w:rPr>
        <w:t>ar</w:t>
      </w:r>
      <w:r w:rsidRPr="000627E7">
        <w:rPr>
          <w:sz w:val="22"/>
          <w:szCs w:val="24"/>
        </w:rPr>
        <w:t xml:space="preserve">e forced to stay </w:t>
      </w:r>
      <w:r>
        <w:rPr>
          <w:sz w:val="22"/>
          <w:szCs w:val="24"/>
        </w:rPr>
        <w:t xml:space="preserve">at </w:t>
      </w:r>
      <w:r w:rsidRPr="000627E7">
        <w:rPr>
          <w:sz w:val="22"/>
          <w:szCs w:val="24"/>
        </w:rPr>
        <w:t xml:space="preserve">home again during </w:t>
      </w:r>
      <w:r>
        <w:rPr>
          <w:sz w:val="22"/>
          <w:szCs w:val="24"/>
        </w:rPr>
        <w:t>later</w:t>
      </w:r>
      <w:r w:rsidRPr="000627E7">
        <w:rPr>
          <w:sz w:val="22"/>
          <w:szCs w:val="24"/>
        </w:rPr>
        <w:t xml:space="preserve"> lockdown</w:t>
      </w:r>
      <w:r>
        <w:rPr>
          <w:sz w:val="22"/>
          <w:szCs w:val="24"/>
        </w:rPr>
        <w:t>(s),</w:t>
      </w:r>
      <w:r w:rsidRPr="000627E7">
        <w:rPr>
          <w:sz w:val="22"/>
          <w:szCs w:val="24"/>
        </w:rPr>
        <w:t xml:space="preserve"> while fathers can continue to work, traditional gender roles might be further entrenched.</w:t>
      </w:r>
    </w:p>
    <w:p w:rsidR="00476DD0" w:rsidRPr="000627E7" w:rsidP="00F17914">
      <w:pPr>
        <w:rPr>
          <w:sz w:val="22"/>
          <w:szCs w:val="24"/>
        </w:rPr>
      </w:pPr>
    </w:p>
    <w:p w:rsidR="00F17914" w:rsidRPr="00806B94" w:rsidP="00F17914">
      <w:pPr>
        <w:rPr>
          <w:b/>
          <w:bCs/>
          <w:sz w:val="22"/>
          <w:szCs w:val="24"/>
        </w:rPr>
      </w:pPr>
      <w:r>
        <w:rPr>
          <w:b/>
          <w:bCs/>
          <w:sz w:val="22"/>
          <w:szCs w:val="24"/>
        </w:rPr>
        <w:t xml:space="preserve">11. </w:t>
      </w:r>
      <w:r w:rsidRPr="00806B94">
        <w:rPr>
          <w:b/>
          <w:bCs/>
          <w:sz w:val="22"/>
          <w:szCs w:val="24"/>
        </w:rPr>
        <w:t>I</w:t>
      </w:r>
      <w:r w:rsidRPr="00806B94">
        <w:rPr>
          <w:b/>
          <w:bCs/>
          <w:sz w:val="22"/>
          <w:szCs w:val="24"/>
        </w:rPr>
        <w:t>n</w:t>
      </w:r>
      <w:r w:rsidRPr="00806B94">
        <w:rPr>
          <w:b/>
          <w:bCs/>
          <w:sz w:val="22"/>
          <w:szCs w:val="24"/>
        </w:rPr>
        <w:t xml:space="preserve">tergenerational </w:t>
      </w:r>
      <w:r>
        <w:rPr>
          <w:b/>
          <w:bCs/>
          <w:sz w:val="22"/>
          <w:szCs w:val="24"/>
        </w:rPr>
        <w:t>inequality</w:t>
      </w:r>
    </w:p>
    <w:p w:rsidR="00F17914" w:rsidRPr="000627E7" w:rsidP="00F17914">
      <w:pPr>
        <w:rPr>
          <w:sz w:val="22"/>
          <w:szCs w:val="24"/>
        </w:rPr>
      </w:pPr>
    </w:p>
    <w:p w:rsidR="000627E7" w:rsidRPr="000627E7" w:rsidP="000627E7">
      <w:pPr>
        <w:rPr>
          <w:sz w:val="22"/>
          <w:szCs w:val="24"/>
        </w:rPr>
      </w:pPr>
      <w:r>
        <w:rPr>
          <w:sz w:val="22"/>
          <w:szCs w:val="24"/>
        </w:rPr>
        <w:t xml:space="preserve">11.1 </w:t>
      </w:r>
      <w:r w:rsidRPr="000627E7">
        <w:rPr>
          <w:sz w:val="22"/>
          <w:szCs w:val="24"/>
        </w:rPr>
        <w:t>G</w:t>
      </w:r>
      <w:r w:rsidRPr="000627E7">
        <w:rPr>
          <w:sz w:val="22"/>
          <w:szCs w:val="24"/>
        </w:rPr>
        <w:t>eneration C</w:t>
      </w:r>
      <w:r w:rsidRPr="000627E7">
        <w:rPr>
          <w:sz w:val="22"/>
          <w:szCs w:val="24"/>
        </w:rPr>
        <w:t>ovid</w:t>
      </w:r>
      <w:r w:rsidRPr="000627E7">
        <w:rPr>
          <w:sz w:val="22"/>
          <w:szCs w:val="24"/>
        </w:rPr>
        <w:t xml:space="preserve"> (16-25 year olds) has experienced worse labour market outcomes in terms of job loss, not working and</w:t>
      </w:r>
      <w:r w:rsidRPr="000627E7">
        <w:rPr>
          <w:sz w:val="22"/>
          <w:szCs w:val="24"/>
        </w:rPr>
        <w:t xml:space="preserve"> </w:t>
      </w:r>
      <w:r w:rsidRPr="000627E7">
        <w:rPr>
          <w:sz w:val="22"/>
          <w:szCs w:val="24"/>
        </w:rPr>
        <w:t>earnings losses during and after lockdown.</w:t>
      </w:r>
    </w:p>
    <w:p w:rsidR="000627E7" w:rsidRPr="000627E7" w:rsidP="000627E7">
      <w:pPr>
        <w:rPr>
          <w:sz w:val="22"/>
          <w:szCs w:val="24"/>
        </w:rPr>
      </w:pPr>
    </w:p>
    <w:p w:rsidR="000627E7" w:rsidRPr="000627E7" w:rsidP="000627E7">
      <w:pPr>
        <w:rPr>
          <w:sz w:val="22"/>
          <w:szCs w:val="24"/>
        </w:rPr>
      </w:pPr>
      <w:r>
        <w:rPr>
          <w:sz w:val="22"/>
          <w:szCs w:val="24"/>
        </w:rPr>
        <w:t xml:space="preserve">11.2 </w:t>
      </w:r>
      <w:r w:rsidRPr="000627E7">
        <w:rPr>
          <w:sz w:val="22"/>
          <w:szCs w:val="24"/>
        </w:rPr>
        <w:t>Those aged 16-25 were over twice as likely as older empl</w:t>
      </w:r>
      <w:r w:rsidRPr="000627E7">
        <w:rPr>
          <w:sz w:val="22"/>
          <w:szCs w:val="24"/>
        </w:rPr>
        <w:t>oyees</w:t>
      </w:r>
      <w:r w:rsidRPr="000627E7">
        <w:rPr>
          <w:sz w:val="22"/>
          <w:szCs w:val="24"/>
        </w:rPr>
        <w:t xml:space="preserve"> </w:t>
      </w:r>
      <w:r w:rsidRPr="000627E7">
        <w:rPr>
          <w:sz w:val="22"/>
          <w:szCs w:val="24"/>
        </w:rPr>
        <w:t>to have suffered job loss, with over one in ten losing their job, and just under six in ten seeing their</w:t>
      </w:r>
      <w:r w:rsidRPr="000627E7">
        <w:rPr>
          <w:sz w:val="22"/>
          <w:szCs w:val="24"/>
        </w:rPr>
        <w:t xml:space="preserve"> </w:t>
      </w:r>
      <w:r w:rsidRPr="000627E7">
        <w:rPr>
          <w:sz w:val="22"/>
          <w:szCs w:val="24"/>
        </w:rPr>
        <w:t>earnings fall.</w:t>
      </w:r>
    </w:p>
    <w:p w:rsidR="000627E7" w:rsidRPr="000627E7" w:rsidP="000627E7">
      <w:pPr>
        <w:rPr>
          <w:sz w:val="22"/>
          <w:szCs w:val="24"/>
        </w:rPr>
      </w:pPr>
    </w:p>
    <w:p w:rsidR="00427C36" w:rsidRPr="000627E7" w:rsidP="000627E7">
      <w:pPr>
        <w:rPr>
          <w:sz w:val="22"/>
          <w:szCs w:val="24"/>
        </w:rPr>
      </w:pPr>
      <w:r>
        <w:rPr>
          <w:sz w:val="22"/>
          <w:szCs w:val="24"/>
        </w:rPr>
        <w:t xml:space="preserve">11.3 </w:t>
      </w:r>
      <w:r w:rsidRPr="000627E7">
        <w:rPr>
          <w:sz w:val="22"/>
          <w:szCs w:val="24"/>
        </w:rPr>
        <w:t>Labour market losses are more pronounced for women, the self-employed and those who</w:t>
      </w:r>
      <w:r w:rsidRPr="000627E7">
        <w:rPr>
          <w:sz w:val="22"/>
          <w:szCs w:val="24"/>
        </w:rPr>
        <w:t xml:space="preserve"> </w:t>
      </w:r>
      <w:r w:rsidRPr="000627E7">
        <w:rPr>
          <w:sz w:val="22"/>
          <w:szCs w:val="24"/>
        </w:rPr>
        <w:t>grew up in a poor family.</w:t>
      </w:r>
    </w:p>
    <w:p w:rsidR="007F735F" w:rsidRPr="000627E7" w:rsidP="00427C36">
      <w:pPr>
        <w:rPr>
          <w:sz w:val="22"/>
          <w:szCs w:val="24"/>
        </w:rPr>
      </w:pPr>
    </w:p>
    <w:p w:rsidR="00F41F2D" w:rsidRPr="00F41F2D" w:rsidP="00F41F2D">
      <w:pPr>
        <w:rPr>
          <w:sz w:val="22"/>
          <w:szCs w:val="24"/>
        </w:rPr>
      </w:pPr>
      <w:r>
        <w:rPr>
          <w:sz w:val="22"/>
          <w:szCs w:val="24"/>
        </w:rPr>
        <w:t xml:space="preserve">11.4 </w:t>
      </w:r>
      <w:r w:rsidRPr="00F41F2D">
        <w:rPr>
          <w:sz w:val="22"/>
          <w:szCs w:val="24"/>
        </w:rPr>
        <w:t>There is tentative evidence that the youngest and oldest employees had been more like to move from being furloughed before June to being out of work in June. However, the big hit to the self-employed during lockdown was felt across the age range.</w:t>
      </w:r>
    </w:p>
    <w:p w:rsidR="00F41F2D" w:rsidRPr="00F41F2D" w:rsidP="00F41F2D">
      <w:pPr>
        <w:rPr>
          <w:sz w:val="22"/>
          <w:szCs w:val="24"/>
        </w:rPr>
      </w:pPr>
    </w:p>
    <w:p w:rsidR="000627E7" w:rsidRPr="00806B94" w:rsidP="000627E7">
      <w:pPr>
        <w:rPr>
          <w:b/>
          <w:bCs/>
          <w:sz w:val="22"/>
          <w:szCs w:val="24"/>
        </w:rPr>
      </w:pPr>
      <w:r>
        <w:rPr>
          <w:b/>
          <w:bCs/>
          <w:sz w:val="22"/>
          <w:szCs w:val="24"/>
        </w:rPr>
        <w:t>1</w:t>
      </w:r>
      <w:r>
        <w:rPr>
          <w:b/>
          <w:bCs/>
          <w:sz w:val="22"/>
          <w:szCs w:val="24"/>
        </w:rPr>
        <w:t>2</w:t>
      </w:r>
      <w:r>
        <w:rPr>
          <w:b/>
          <w:bCs/>
          <w:sz w:val="22"/>
          <w:szCs w:val="24"/>
        </w:rPr>
        <w:t>. Hous</w:t>
      </w:r>
      <w:r>
        <w:rPr>
          <w:b/>
          <w:bCs/>
          <w:sz w:val="22"/>
          <w:szCs w:val="24"/>
        </w:rPr>
        <w:t>ing and i</w:t>
      </w:r>
      <w:r w:rsidRPr="00806B94">
        <w:rPr>
          <w:b/>
          <w:bCs/>
          <w:sz w:val="22"/>
          <w:szCs w:val="24"/>
        </w:rPr>
        <w:t xml:space="preserve">ntergenerational </w:t>
      </w:r>
      <w:r>
        <w:rPr>
          <w:b/>
          <w:bCs/>
          <w:sz w:val="22"/>
          <w:szCs w:val="24"/>
        </w:rPr>
        <w:t>inequality</w:t>
      </w:r>
      <w:r>
        <w:rPr>
          <w:b/>
          <w:bCs/>
          <w:sz w:val="22"/>
          <w:szCs w:val="24"/>
        </w:rPr>
        <w:t xml:space="preserve"> – trends</w:t>
      </w:r>
    </w:p>
    <w:p w:rsidR="000627E7" w:rsidRPr="000627E7" w:rsidP="00427C36">
      <w:pPr>
        <w:rPr>
          <w:sz w:val="22"/>
          <w:szCs w:val="24"/>
        </w:rPr>
      </w:pPr>
      <w:bookmarkStart w:id="5" w:name="_Hlk74128749"/>
    </w:p>
    <w:p w:rsidR="00F41F2D" w:rsidRPr="0044138A" w:rsidP="00F41F2D">
      <w:pPr>
        <w:rPr>
          <w:sz w:val="22"/>
          <w:szCs w:val="24"/>
        </w:rPr>
      </w:pPr>
      <w:r>
        <w:rPr>
          <w:sz w:val="22"/>
          <w:szCs w:val="24"/>
        </w:rPr>
        <w:t xml:space="preserve">12.1 </w:t>
      </w:r>
      <w:r w:rsidRPr="0044138A">
        <w:rPr>
          <w:sz w:val="22"/>
          <w:szCs w:val="24"/>
        </w:rPr>
        <w:t>Children with parents who have property wealth are more likely to be homeowners themselves by the time they are 30, although overall homeownership has fallen.</w:t>
      </w:r>
    </w:p>
    <w:p w:rsidR="00F41F2D" w:rsidRPr="0044138A" w:rsidP="00F41F2D">
      <w:pPr>
        <w:rPr>
          <w:sz w:val="22"/>
          <w:szCs w:val="24"/>
        </w:rPr>
      </w:pPr>
    </w:p>
    <w:p w:rsidR="00F41F2D" w:rsidRPr="0044138A" w:rsidP="00F41F2D">
      <w:pPr>
        <w:rPr>
          <w:sz w:val="22"/>
          <w:szCs w:val="24"/>
        </w:rPr>
      </w:pPr>
      <w:r>
        <w:rPr>
          <w:sz w:val="22"/>
          <w:szCs w:val="24"/>
        </w:rPr>
        <w:t xml:space="preserve">12.2 </w:t>
      </w:r>
      <w:r w:rsidRPr="0044138A">
        <w:rPr>
          <w:sz w:val="22"/>
          <w:szCs w:val="24"/>
        </w:rPr>
        <w:t xml:space="preserve">Between 1991-2003, about 40% of people </w:t>
      </w:r>
      <w:r w:rsidRPr="0044138A">
        <w:rPr>
          <w:sz w:val="22"/>
          <w:szCs w:val="24"/>
        </w:rPr>
        <w:t>whose parents were homeowners had become homeowners themselves</w:t>
      </w:r>
      <w:r>
        <w:rPr>
          <w:sz w:val="22"/>
          <w:szCs w:val="24"/>
        </w:rPr>
        <w:t xml:space="preserve"> </w:t>
      </w:r>
      <w:r w:rsidRPr="0044138A">
        <w:rPr>
          <w:sz w:val="22"/>
          <w:szCs w:val="24"/>
        </w:rPr>
        <w:t>by the age of 30, compared to 19% of those whose parents were not homeowners.</w:t>
      </w:r>
    </w:p>
    <w:p w:rsidR="00F41F2D" w:rsidRPr="0044138A" w:rsidP="00F41F2D">
      <w:pPr>
        <w:rPr>
          <w:sz w:val="22"/>
          <w:szCs w:val="24"/>
        </w:rPr>
      </w:pPr>
    </w:p>
    <w:p w:rsidR="00F41F2D" w:rsidRPr="0044138A" w:rsidP="00F41F2D">
      <w:pPr>
        <w:rPr>
          <w:sz w:val="22"/>
          <w:szCs w:val="24"/>
        </w:rPr>
      </w:pPr>
      <w:r>
        <w:rPr>
          <w:sz w:val="22"/>
          <w:szCs w:val="24"/>
        </w:rPr>
        <w:t xml:space="preserve">12.3 </w:t>
      </w:r>
      <w:r w:rsidRPr="0044138A">
        <w:rPr>
          <w:sz w:val="22"/>
          <w:szCs w:val="24"/>
        </w:rPr>
        <w:t>By 2004-17, these figures had dropped to 25% of those whose parents were homeowners and 9% of those whose par</w:t>
      </w:r>
      <w:r w:rsidRPr="0044138A">
        <w:rPr>
          <w:sz w:val="22"/>
          <w:szCs w:val="24"/>
        </w:rPr>
        <w:t>ents were not.</w:t>
      </w:r>
    </w:p>
    <w:p w:rsidR="00F41F2D" w:rsidRPr="0044138A" w:rsidP="00F41F2D">
      <w:pPr>
        <w:rPr>
          <w:sz w:val="22"/>
          <w:szCs w:val="24"/>
        </w:rPr>
      </w:pPr>
    </w:p>
    <w:p w:rsidR="00AE4CB3" w:rsidRPr="00AE4CB3" w:rsidP="00AE4CB3">
      <w:pPr>
        <w:rPr>
          <w:sz w:val="22"/>
          <w:szCs w:val="24"/>
        </w:rPr>
      </w:pPr>
      <w:r>
        <w:rPr>
          <w:sz w:val="22"/>
          <w:szCs w:val="24"/>
        </w:rPr>
        <w:t xml:space="preserve">12.4 </w:t>
      </w:r>
      <w:r w:rsidRPr="00AE4CB3">
        <w:rPr>
          <w:sz w:val="22"/>
          <w:szCs w:val="24"/>
        </w:rPr>
        <w:t>In many countries, young adults are finding it increasingly difficult to buy their first property because of a combination of factors such as high prices, debts (often due to the cost of higher education), delayed family formation, les</w:t>
      </w:r>
      <w:r w:rsidRPr="00AE4CB3">
        <w:rPr>
          <w:sz w:val="22"/>
          <w:szCs w:val="24"/>
        </w:rPr>
        <w:t>s welfare provision and difficulty in finding secure, well-paid work. Homeownership increasingly depends on having parents who are in a financial position to help.</w:t>
      </w:r>
    </w:p>
    <w:p w:rsidR="00AE4CB3" w:rsidRPr="00AE4CB3" w:rsidP="00AE4CB3">
      <w:pPr>
        <w:rPr>
          <w:sz w:val="22"/>
          <w:szCs w:val="24"/>
        </w:rPr>
      </w:pPr>
    </w:p>
    <w:p w:rsidR="00AE4CB3" w:rsidRPr="00AE4CB3" w:rsidP="00AE4CB3">
      <w:pPr>
        <w:rPr>
          <w:sz w:val="22"/>
          <w:szCs w:val="24"/>
        </w:rPr>
      </w:pPr>
      <w:r>
        <w:rPr>
          <w:sz w:val="22"/>
          <w:szCs w:val="24"/>
        </w:rPr>
        <w:t xml:space="preserve">12.5 </w:t>
      </w:r>
      <w:r w:rsidRPr="00AE4CB3">
        <w:rPr>
          <w:sz w:val="22"/>
          <w:szCs w:val="24"/>
        </w:rPr>
        <w:t>Buying a home in early adulthood is more common in Britain than in Germany, but also m</w:t>
      </w:r>
      <w:r w:rsidRPr="00AE4CB3">
        <w:rPr>
          <w:sz w:val="22"/>
          <w:szCs w:val="24"/>
        </w:rPr>
        <w:t>ore strongly influenced by socio-economic status. In Germany, it is common to rent for a lifetime and renting carries less stigma than in Britain.</w:t>
      </w:r>
    </w:p>
    <w:p w:rsidR="00AE4CB3" w:rsidRPr="00AE4CB3" w:rsidP="00AE4CB3">
      <w:pPr>
        <w:rPr>
          <w:sz w:val="22"/>
          <w:szCs w:val="24"/>
        </w:rPr>
      </w:pPr>
    </w:p>
    <w:p w:rsidR="00AE4CB3" w:rsidRPr="00AE4CB3" w:rsidP="00AE4CB3">
      <w:pPr>
        <w:rPr>
          <w:sz w:val="22"/>
          <w:szCs w:val="24"/>
        </w:rPr>
      </w:pPr>
      <w:r>
        <w:rPr>
          <w:sz w:val="22"/>
          <w:szCs w:val="24"/>
        </w:rPr>
        <w:t xml:space="preserve">12.6 </w:t>
      </w:r>
      <w:r w:rsidRPr="00AE4CB3">
        <w:rPr>
          <w:sz w:val="22"/>
          <w:szCs w:val="24"/>
        </w:rPr>
        <w:t>British government initiatives to help young adults buy property are likely to disproportionately benef</w:t>
      </w:r>
      <w:r w:rsidRPr="00AE4CB3">
        <w:rPr>
          <w:sz w:val="22"/>
          <w:szCs w:val="24"/>
        </w:rPr>
        <w:t>it more advantaged social groups and effectively increase inequality in the housing market and in wealth accumulation.</w:t>
      </w:r>
    </w:p>
    <w:p w:rsidR="00AE4CB3" w:rsidRPr="00AE4CB3" w:rsidP="00AE4CB3">
      <w:pPr>
        <w:rPr>
          <w:sz w:val="22"/>
          <w:szCs w:val="24"/>
        </w:rPr>
      </w:pPr>
    </w:p>
    <w:p w:rsidR="00AE4CB3" w:rsidP="00AE4CB3">
      <w:pPr>
        <w:rPr>
          <w:sz w:val="22"/>
          <w:szCs w:val="24"/>
        </w:rPr>
      </w:pPr>
      <w:r>
        <w:rPr>
          <w:sz w:val="22"/>
          <w:szCs w:val="24"/>
        </w:rPr>
        <w:t xml:space="preserve">12.7 </w:t>
      </w:r>
      <w:r w:rsidRPr="00AE4CB3">
        <w:rPr>
          <w:sz w:val="22"/>
          <w:szCs w:val="24"/>
        </w:rPr>
        <w:t>A fairer way to improve young people’s residential conditions would be to improve the cost and quality of renting, reducing the nee</w:t>
      </w:r>
      <w:r w:rsidRPr="00AE4CB3">
        <w:rPr>
          <w:sz w:val="22"/>
          <w:szCs w:val="24"/>
        </w:rPr>
        <w:t>d to own property.</w:t>
      </w:r>
    </w:p>
    <w:p w:rsidR="00AE4CB3" w:rsidRPr="00AE4CB3" w:rsidP="00AE4CB3">
      <w:pPr>
        <w:rPr>
          <w:sz w:val="22"/>
          <w:szCs w:val="24"/>
        </w:rPr>
      </w:pPr>
    </w:p>
    <w:p w:rsidR="00F41F2D" w:rsidRPr="00806B94" w:rsidP="00F41F2D">
      <w:pPr>
        <w:rPr>
          <w:b/>
          <w:bCs/>
          <w:sz w:val="22"/>
          <w:szCs w:val="24"/>
        </w:rPr>
      </w:pPr>
      <w:bookmarkEnd w:id="5"/>
      <w:r>
        <w:rPr>
          <w:b/>
          <w:bCs/>
          <w:sz w:val="22"/>
          <w:szCs w:val="24"/>
        </w:rPr>
        <w:t>13. Housing and i</w:t>
      </w:r>
      <w:r w:rsidRPr="00806B94">
        <w:rPr>
          <w:b/>
          <w:bCs/>
          <w:sz w:val="22"/>
          <w:szCs w:val="24"/>
        </w:rPr>
        <w:t xml:space="preserve">ntergenerational </w:t>
      </w:r>
      <w:r>
        <w:rPr>
          <w:b/>
          <w:bCs/>
          <w:sz w:val="22"/>
          <w:szCs w:val="24"/>
        </w:rPr>
        <w:t>inequality – during Covid</w:t>
      </w:r>
    </w:p>
    <w:p w:rsidR="00F41F2D" w:rsidRPr="00CB26F0" w:rsidP="00F41F2D">
      <w:pPr>
        <w:rPr>
          <w:sz w:val="22"/>
          <w:szCs w:val="24"/>
        </w:rPr>
      </w:pPr>
    </w:p>
    <w:p w:rsidR="00F41F2D" w:rsidRPr="00F41F2D" w:rsidP="00F41F2D">
      <w:pPr>
        <w:rPr>
          <w:sz w:val="22"/>
          <w:szCs w:val="24"/>
        </w:rPr>
      </w:pPr>
      <w:bookmarkStart w:id="6" w:name="_Hlk74137365"/>
      <w:r>
        <w:rPr>
          <w:sz w:val="22"/>
          <w:szCs w:val="24"/>
        </w:rPr>
        <w:t>1</w:t>
      </w:r>
      <w:r>
        <w:rPr>
          <w:sz w:val="22"/>
          <w:szCs w:val="24"/>
        </w:rPr>
        <w:t>3.</w:t>
      </w:r>
      <w:r>
        <w:rPr>
          <w:sz w:val="22"/>
          <w:szCs w:val="24"/>
        </w:rPr>
        <w:t xml:space="preserve">1 </w:t>
      </w:r>
      <w:r w:rsidRPr="00F41F2D">
        <w:rPr>
          <w:sz w:val="22"/>
          <w:szCs w:val="24"/>
        </w:rPr>
        <w:t xml:space="preserve">More renters than home owners were behind on housing costs payments in lockdown, and young renters are more likely than not to lack sufficient desk space for </w:t>
      </w:r>
      <w:r w:rsidRPr="00F41F2D">
        <w:rPr>
          <w:sz w:val="22"/>
          <w:szCs w:val="24"/>
        </w:rPr>
        <w:t>everyone in the household. Renters’ wellbeing deteriorated by mid-lockdown, even after controlling for a range of characteristics.</w:t>
      </w:r>
    </w:p>
    <w:p w:rsidR="00F41F2D" w:rsidRPr="00F41F2D" w:rsidP="00F41F2D">
      <w:pPr>
        <w:rPr>
          <w:sz w:val="22"/>
          <w:szCs w:val="24"/>
        </w:rPr>
      </w:pPr>
    </w:p>
    <w:p w:rsidR="00CB26F0" w:rsidP="00CB26F0">
      <w:pPr>
        <w:rPr>
          <w:sz w:val="22"/>
          <w:szCs w:val="24"/>
        </w:rPr>
      </w:pPr>
      <w:r>
        <w:rPr>
          <w:sz w:val="22"/>
          <w:szCs w:val="24"/>
        </w:rPr>
        <w:t xml:space="preserve">13.2 </w:t>
      </w:r>
      <w:r w:rsidRPr="00CB26F0">
        <w:rPr>
          <w:sz w:val="22"/>
          <w:szCs w:val="24"/>
        </w:rPr>
        <w:t>Going into the pandemic, one in three households (32% or 7.6 million) in England had at least one major housing problem</w:t>
      </w:r>
      <w:r w:rsidRPr="00CB26F0">
        <w:rPr>
          <w:sz w:val="22"/>
          <w:szCs w:val="24"/>
        </w:rPr>
        <w:t xml:space="preserve"> relating to overcrowding, affordability or poor-quality housing.</w:t>
      </w:r>
    </w:p>
    <w:p w:rsidR="0085133A" w:rsidP="00CB26F0">
      <w:pPr>
        <w:rPr>
          <w:sz w:val="22"/>
          <w:szCs w:val="24"/>
        </w:rPr>
      </w:pPr>
    </w:p>
    <w:p w:rsidR="00CB26F0" w:rsidRPr="00CB26F0" w:rsidP="00CB26F0">
      <w:pPr>
        <w:rPr>
          <w:sz w:val="22"/>
          <w:szCs w:val="24"/>
        </w:rPr>
      </w:pPr>
      <w:r>
        <w:rPr>
          <w:sz w:val="22"/>
          <w:szCs w:val="24"/>
        </w:rPr>
        <w:t xml:space="preserve">13.3 </w:t>
      </w:r>
      <w:r w:rsidRPr="00CB26F0">
        <w:rPr>
          <w:sz w:val="22"/>
          <w:szCs w:val="24"/>
        </w:rPr>
        <w:t>Fewer homes are classed as non-decent compared with 10 years ago, but overcrowding and affordability problems have increased in recent years.</w:t>
      </w:r>
    </w:p>
    <w:p w:rsidR="00CB26F0" w:rsidRPr="00CB26F0" w:rsidP="00CB26F0">
      <w:pPr>
        <w:rPr>
          <w:sz w:val="22"/>
          <w:szCs w:val="24"/>
        </w:rPr>
      </w:pPr>
    </w:p>
    <w:p w:rsidR="00CB26F0" w:rsidP="00CB26F0">
      <w:pPr>
        <w:rPr>
          <w:sz w:val="22"/>
          <w:szCs w:val="24"/>
        </w:rPr>
      </w:pPr>
      <w:r>
        <w:rPr>
          <w:sz w:val="22"/>
          <w:szCs w:val="24"/>
        </w:rPr>
        <w:t xml:space="preserve">13.4 </w:t>
      </w:r>
      <w:r w:rsidRPr="00CB26F0">
        <w:rPr>
          <w:sz w:val="22"/>
          <w:szCs w:val="24"/>
        </w:rPr>
        <w:t xml:space="preserve">The pandemic has </w:t>
      </w:r>
      <w:r w:rsidRPr="00CB26F0">
        <w:rPr>
          <w:sz w:val="22"/>
          <w:szCs w:val="24"/>
        </w:rPr>
        <w:t>highlighted the health implications of housing. Poor housing conditions such as overcrowding and high density are associated with greater spread of C</w:t>
      </w:r>
      <w:r>
        <w:rPr>
          <w:sz w:val="22"/>
          <w:szCs w:val="24"/>
        </w:rPr>
        <w:t>ovid</w:t>
      </w:r>
      <w:r w:rsidRPr="00CB26F0">
        <w:rPr>
          <w:sz w:val="22"/>
          <w:szCs w:val="24"/>
        </w:rPr>
        <w:t>-19, and people have had to spend more time in homes that are overcrowded, damp or unsafe.</w:t>
      </w:r>
    </w:p>
    <w:p w:rsidR="00CB26F0" w:rsidP="00CB26F0">
      <w:pPr>
        <w:rPr>
          <w:sz w:val="22"/>
          <w:szCs w:val="24"/>
        </w:rPr>
      </w:pPr>
    </w:p>
    <w:p w:rsidR="00CB26F0" w:rsidRPr="00CB26F0" w:rsidP="00CB26F0">
      <w:pPr>
        <w:rPr>
          <w:sz w:val="22"/>
          <w:szCs w:val="24"/>
        </w:rPr>
      </w:pPr>
      <w:r>
        <w:rPr>
          <w:sz w:val="22"/>
          <w:szCs w:val="24"/>
        </w:rPr>
        <w:t xml:space="preserve">13.5 </w:t>
      </w:r>
      <w:r w:rsidRPr="00CB26F0">
        <w:rPr>
          <w:sz w:val="22"/>
          <w:szCs w:val="24"/>
        </w:rPr>
        <w:t>The ec</w:t>
      </w:r>
      <w:r w:rsidRPr="00CB26F0">
        <w:rPr>
          <w:sz w:val="22"/>
          <w:szCs w:val="24"/>
        </w:rPr>
        <w:t>onomic fallout from the pandemic may lead to an increase in evictions.</w:t>
      </w:r>
    </w:p>
    <w:p w:rsidR="00CB26F0" w:rsidRPr="00CB26F0" w:rsidP="00CB26F0">
      <w:pPr>
        <w:rPr>
          <w:sz w:val="22"/>
          <w:szCs w:val="24"/>
        </w:rPr>
      </w:pPr>
    </w:p>
    <w:p w:rsidR="00CB26F0" w:rsidRPr="00CB26F0" w:rsidP="00CB26F0">
      <w:pPr>
        <w:rPr>
          <w:sz w:val="22"/>
          <w:szCs w:val="24"/>
        </w:rPr>
      </w:pPr>
      <w:r>
        <w:rPr>
          <w:sz w:val="22"/>
          <w:szCs w:val="24"/>
        </w:rPr>
        <w:t xml:space="preserve">13.6 </w:t>
      </w:r>
      <w:r w:rsidRPr="00CB26F0">
        <w:rPr>
          <w:sz w:val="22"/>
          <w:szCs w:val="24"/>
        </w:rPr>
        <w:t>These housing problems have multiple causes: a focus on increasing supply to the detriment of other objectives; sustained reductions in housing benefits; and a private rented mode</w:t>
      </w:r>
      <w:r w:rsidRPr="00CB26F0">
        <w:rPr>
          <w:sz w:val="22"/>
          <w:szCs w:val="24"/>
        </w:rPr>
        <w:t>l which does not meet the needs of tenants.</w:t>
      </w:r>
    </w:p>
    <w:p w:rsidR="00CB26F0" w:rsidRPr="00CB26F0" w:rsidP="00CB26F0">
      <w:pPr>
        <w:rPr>
          <w:sz w:val="22"/>
          <w:szCs w:val="24"/>
        </w:rPr>
      </w:pPr>
    </w:p>
    <w:p w:rsidR="00CB26F0" w:rsidP="00CB26F0">
      <w:pPr>
        <w:rPr>
          <w:sz w:val="22"/>
          <w:szCs w:val="24"/>
        </w:rPr>
      </w:pPr>
      <w:r>
        <w:rPr>
          <w:sz w:val="22"/>
          <w:szCs w:val="24"/>
        </w:rPr>
        <w:t xml:space="preserve">13.7 </w:t>
      </w:r>
      <w:r w:rsidRPr="00CB26F0">
        <w:rPr>
          <w:sz w:val="22"/>
          <w:szCs w:val="24"/>
        </w:rPr>
        <w:t>A combination of greater investment in social housing, more secure private tenancies, and reversing reductions in housing benefit support – such as the cuts to Local Housing Allowance (LHA) – will be needed</w:t>
      </w:r>
      <w:r w:rsidRPr="00CB26F0">
        <w:rPr>
          <w:sz w:val="22"/>
          <w:szCs w:val="24"/>
        </w:rPr>
        <w:t xml:space="preserve"> to improve the contribution of housing to health.</w:t>
      </w:r>
    </w:p>
    <w:p w:rsidR="0085133A" w:rsidP="00CB26F0">
      <w:pPr>
        <w:rPr>
          <w:sz w:val="22"/>
          <w:szCs w:val="24"/>
        </w:rPr>
      </w:pPr>
    </w:p>
    <w:p w:rsidR="0085133A" w:rsidRPr="0085133A" w:rsidP="00CB26F0">
      <w:pPr>
        <w:rPr>
          <w:b/>
          <w:bCs/>
          <w:sz w:val="22"/>
          <w:szCs w:val="24"/>
        </w:rPr>
      </w:pPr>
      <w:r w:rsidRPr="0085133A">
        <w:rPr>
          <w:b/>
          <w:bCs/>
          <w:sz w:val="22"/>
          <w:szCs w:val="24"/>
        </w:rPr>
        <w:t>14. Impact of policy on housing</w:t>
      </w:r>
    </w:p>
    <w:p w:rsidR="00D64173" w:rsidP="00CB26F0">
      <w:pPr>
        <w:rPr>
          <w:sz w:val="22"/>
          <w:szCs w:val="24"/>
        </w:rPr>
      </w:pPr>
      <w:bookmarkStart w:id="7" w:name="_Hlk75251127"/>
    </w:p>
    <w:p w:rsidR="0085133A" w:rsidRPr="00CB26F0" w:rsidP="00A743C7">
      <w:pPr>
        <w:rPr>
          <w:sz w:val="22"/>
          <w:szCs w:val="24"/>
        </w:rPr>
      </w:pPr>
      <w:r>
        <w:rPr>
          <w:sz w:val="22"/>
          <w:szCs w:val="24"/>
        </w:rPr>
        <w:t xml:space="preserve">14.1 </w:t>
      </w:r>
      <w:r w:rsidRPr="00D64173">
        <w:rPr>
          <w:sz w:val="22"/>
          <w:szCs w:val="24"/>
        </w:rPr>
        <w:t>During the pandemic,</w:t>
      </w:r>
      <w:r>
        <w:rPr>
          <w:sz w:val="22"/>
          <w:szCs w:val="24"/>
        </w:rPr>
        <w:t xml:space="preserve"> there has been i</w:t>
      </w:r>
      <w:r w:rsidRPr="00D64173">
        <w:rPr>
          <w:sz w:val="22"/>
          <w:szCs w:val="24"/>
        </w:rPr>
        <w:t xml:space="preserve">ncreased </w:t>
      </w:r>
      <w:r>
        <w:rPr>
          <w:sz w:val="22"/>
          <w:szCs w:val="24"/>
        </w:rPr>
        <w:t xml:space="preserve">residential </w:t>
      </w:r>
      <w:r w:rsidRPr="00D64173">
        <w:rPr>
          <w:sz w:val="22"/>
          <w:szCs w:val="24"/>
        </w:rPr>
        <w:t xml:space="preserve">mobility </w:t>
      </w:r>
      <w:r>
        <w:rPr>
          <w:sz w:val="22"/>
          <w:szCs w:val="24"/>
        </w:rPr>
        <w:t xml:space="preserve">(moving home) for </w:t>
      </w:r>
      <w:r w:rsidRPr="00D64173">
        <w:rPr>
          <w:sz w:val="22"/>
          <w:szCs w:val="24"/>
        </w:rPr>
        <w:t>home owners and students</w:t>
      </w:r>
      <w:r>
        <w:rPr>
          <w:sz w:val="22"/>
          <w:szCs w:val="24"/>
        </w:rPr>
        <w:t xml:space="preserve">, and </w:t>
      </w:r>
      <w:r w:rsidRPr="00D64173">
        <w:rPr>
          <w:sz w:val="22"/>
          <w:szCs w:val="24"/>
        </w:rPr>
        <w:t>sup</w:t>
      </w:r>
      <w:r>
        <w:rPr>
          <w:sz w:val="22"/>
          <w:szCs w:val="24"/>
        </w:rPr>
        <w:t>p</w:t>
      </w:r>
      <w:r w:rsidRPr="00D64173">
        <w:rPr>
          <w:sz w:val="22"/>
          <w:szCs w:val="24"/>
        </w:rPr>
        <w:t>ressed mobility of renters</w:t>
      </w:r>
      <w:r>
        <w:rPr>
          <w:sz w:val="22"/>
          <w:szCs w:val="24"/>
        </w:rPr>
        <w:t>.</w:t>
      </w:r>
      <w:r w:rsidRPr="00C545DB">
        <w:t xml:space="preserve"> </w:t>
      </w:r>
      <w:r>
        <w:t xml:space="preserve">The </w:t>
      </w:r>
      <w:r w:rsidRPr="00C545DB">
        <w:rPr>
          <w:sz w:val="22"/>
          <w:szCs w:val="24"/>
        </w:rPr>
        <w:t>increased mobility of owners and decreased mobility of renters erased tenure differences</w:t>
      </w:r>
      <w:r>
        <w:rPr>
          <w:sz w:val="22"/>
          <w:szCs w:val="24"/>
        </w:rPr>
        <w:t>.</w:t>
      </w:r>
    </w:p>
    <w:p w:rsidR="0085133A" w:rsidRPr="00CB26F0" w:rsidP="0085133A">
      <w:pPr>
        <w:rPr>
          <w:sz w:val="22"/>
          <w:szCs w:val="24"/>
        </w:rPr>
      </w:pPr>
    </w:p>
    <w:p w:rsidR="00D64173" w:rsidP="00D64173">
      <w:pPr>
        <w:rPr>
          <w:sz w:val="22"/>
          <w:szCs w:val="24"/>
        </w:rPr>
      </w:pPr>
      <w:r>
        <w:rPr>
          <w:sz w:val="22"/>
          <w:szCs w:val="24"/>
        </w:rPr>
        <w:t xml:space="preserve">14.2 </w:t>
      </w:r>
      <w:r>
        <w:rPr>
          <w:sz w:val="22"/>
          <w:szCs w:val="24"/>
        </w:rPr>
        <w:t xml:space="preserve">This demonstrates the </w:t>
      </w:r>
      <w:r w:rsidRPr="00D64173">
        <w:rPr>
          <w:sz w:val="22"/>
          <w:szCs w:val="24"/>
        </w:rPr>
        <w:t>power of policy to shape residential patterns and experiences</w:t>
      </w:r>
      <w:r>
        <w:rPr>
          <w:sz w:val="22"/>
          <w:szCs w:val="24"/>
        </w:rPr>
        <w:t xml:space="preserve">. For example, </w:t>
      </w:r>
      <w:r w:rsidRPr="00D64173">
        <w:rPr>
          <w:sz w:val="22"/>
          <w:szCs w:val="24"/>
        </w:rPr>
        <w:t>the relative stability of renters shows the potential for (non</w:t>
      </w:r>
      <w:r w:rsidRPr="00D64173">
        <w:rPr>
          <w:sz w:val="22"/>
          <w:szCs w:val="24"/>
        </w:rPr>
        <w:t>-eviction) policy to provide housing stability</w:t>
      </w:r>
      <w:r>
        <w:rPr>
          <w:sz w:val="22"/>
          <w:szCs w:val="24"/>
        </w:rPr>
        <w:t xml:space="preserve">. The </w:t>
      </w:r>
      <w:r w:rsidRPr="00D64173">
        <w:rPr>
          <w:sz w:val="22"/>
          <w:szCs w:val="24"/>
        </w:rPr>
        <w:t>provision of accommodation for homeless</w:t>
      </w:r>
      <w:r>
        <w:rPr>
          <w:sz w:val="22"/>
          <w:szCs w:val="24"/>
        </w:rPr>
        <w:t xml:space="preserve"> people also had a significant impact.</w:t>
      </w:r>
    </w:p>
    <w:p w:rsidR="00C545DB" w:rsidP="00D64173">
      <w:pPr>
        <w:rPr>
          <w:sz w:val="22"/>
          <w:szCs w:val="24"/>
        </w:rPr>
      </w:pPr>
    </w:p>
    <w:p w:rsidR="00C545DB" w:rsidP="00D64173">
      <w:pPr>
        <w:rPr>
          <w:sz w:val="22"/>
          <w:szCs w:val="24"/>
        </w:rPr>
      </w:pPr>
      <w:r>
        <w:rPr>
          <w:sz w:val="22"/>
          <w:szCs w:val="24"/>
        </w:rPr>
        <w:t xml:space="preserve">14.3 </w:t>
      </w:r>
      <w:r w:rsidRPr="00C545DB">
        <w:rPr>
          <w:sz w:val="22"/>
          <w:szCs w:val="24"/>
        </w:rPr>
        <w:t xml:space="preserve">Behaviour change during the crisis </w:t>
      </w:r>
      <w:r>
        <w:rPr>
          <w:sz w:val="22"/>
          <w:szCs w:val="24"/>
        </w:rPr>
        <w:t>shows a</w:t>
      </w:r>
      <w:r w:rsidRPr="00C545DB">
        <w:rPr>
          <w:sz w:val="22"/>
          <w:szCs w:val="24"/>
        </w:rPr>
        <w:t xml:space="preserve"> desire to be close to family and friends</w:t>
      </w:r>
      <w:r>
        <w:rPr>
          <w:sz w:val="22"/>
          <w:szCs w:val="24"/>
        </w:rPr>
        <w:t xml:space="preserve">. This could be an </w:t>
      </w:r>
      <w:r w:rsidRPr="00C545DB">
        <w:rPr>
          <w:sz w:val="22"/>
          <w:szCs w:val="24"/>
        </w:rPr>
        <w:t xml:space="preserve">acceleration of a </w:t>
      </w:r>
      <w:r w:rsidRPr="00C545DB">
        <w:rPr>
          <w:sz w:val="22"/>
          <w:szCs w:val="24"/>
        </w:rPr>
        <w:t xml:space="preserve">trend </w:t>
      </w:r>
      <w:r>
        <w:rPr>
          <w:sz w:val="22"/>
          <w:szCs w:val="24"/>
        </w:rPr>
        <w:t>since</w:t>
      </w:r>
      <w:r w:rsidRPr="00C545DB">
        <w:rPr>
          <w:sz w:val="22"/>
          <w:szCs w:val="24"/>
        </w:rPr>
        <w:t xml:space="preserve"> 2010</w:t>
      </w:r>
      <w:r>
        <w:rPr>
          <w:sz w:val="22"/>
          <w:szCs w:val="24"/>
        </w:rPr>
        <w:t>, with people preferring or needing</w:t>
      </w:r>
      <w:r w:rsidRPr="00C545DB">
        <w:rPr>
          <w:sz w:val="22"/>
          <w:szCs w:val="24"/>
        </w:rPr>
        <w:t xml:space="preserve"> to live closer to family</w:t>
      </w:r>
      <w:r>
        <w:rPr>
          <w:sz w:val="22"/>
          <w:szCs w:val="24"/>
        </w:rPr>
        <w:t>/</w:t>
      </w:r>
      <w:r w:rsidRPr="00C545DB">
        <w:rPr>
          <w:sz w:val="22"/>
          <w:szCs w:val="24"/>
        </w:rPr>
        <w:t>friends as informal support replaces some of the support that has conventionally been provided by the state.</w:t>
      </w:r>
    </w:p>
    <w:p w:rsidR="00C545DB" w:rsidRPr="00D64173" w:rsidP="00D64173">
      <w:pPr>
        <w:rPr>
          <w:sz w:val="22"/>
          <w:szCs w:val="24"/>
        </w:rPr>
      </w:pPr>
    </w:p>
    <w:p w:rsidR="00D64173" w:rsidP="00D64173">
      <w:pPr>
        <w:rPr>
          <w:sz w:val="22"/>
          <w:szCs w:val="24"/>
        </w:rPr>
      </w:pPr>
      <w:r>
        <w:rPr>
          <w:sz w:val="22"/>
          <w:szCs w:val="24"/>
        </w:rPr>
        <w:t xml:space="preserve">14.4 </w:t>
      </w:r>
      <w:r>
        <w:rPr>
          <w:sz w:val="22"/>
          <w:szCs w:val="24"/>
        </w:rPr>
        <w:t>This m</w:t>
      </w:r>
      <w:r w:rsidRPr="00C545DB">
        <w:rPr>
          <w:sz w:val="22"/>
          <w:szCs w:val="24"/>
        </w:rPr>
        <w:t>ay</w:t>
      </w:r>
      <w:r>
        <w:rPr>
          <w:sz w:val="22"/>
          <w:szCs w:val="24"/>
        </w:rPr>
        <w:t xml:space="preserve"> mean that</w:t>
      </w:r>
      <w:r w:rsidRPr="00C545DB">
        <w:rPr>
          <w:sz w:val="22"/>
          <w:szCs w:val="24"/>
        </w:rPr>
        <w:t xml:space="preserve"> housing</w:t>
      </w:r>
      <w:r>
        <w:rPr>
          <w:sz w:val="22"/>
          <w:szCs w:val="24"/>
        </w:rPr>
        <w:t>-</w:t>
      </w:r>
      <w:r w:rsidRPr="00C545DB">
        <w:rPr>
          <w:sz w:val="22"/>
          <w:szCs w:val="24"/>
        </w:rPr>
        <w:t xml:space="preserve">related factors </w:t>
      </w:r>
      <w:r>
        <w:rPr>
          <w:sz w:val="22"/>
          <w:szCs w:val="24"/>
        </w:rPr>
        <w:t xml:space="preserve">are </w:t>
      </w:r>
      <w:r w:rsidRPr="00C545DB">
        <w:rPr>
          <w:sz w:val="22"/>
          <w:szCs w:val="24"/>
        </w:rPr>
        <w:t>now more importan</w:t>
      </w:r>
      <w:r w:rsidRPr="00C545DB">
        <w:rPr>
          <w:sz w:val="22"/>
          <w:szCs w:val="24"/>
        </w:rPr>
        <w:t>t than labour market ones in residential decision</w:t>
      </w:r>
      <w:r>
        <w:rPr>
          <w:sz w:val="22"/>
          <w:szCs w:val="24"/>
        </w:rPr>
        <w:t>-</w:t>
      </w:r>
      <w:r w:rsidRPr="00C545DB">
        <w:rPr>
          <w:sz w:val="22"/>
          <w:szCs w:val="24"/>
        </w:rPr>
        <w:t>making</w:t>
      </w:r>
      <w:r>
        <w:rPr>
          <w:sz w:val="22"/>
          <w:szCs w:val="24"/>
        </w:rPr>
        <w:t>, and it raises qu</w:t>
      </w:r>
      <w:r w:rsidRPr="00D64173">
        <w:rPr>
          <w:sz w:val="22"/>
          <w:szCs w:val="24"/>
        </w:rPr>
        <w:t>estions about choice and opportunity</w:t>
      </w:r>
      <w:r>
        <w:rPr>
          <w:sz w:val="22"/>
          <w:szCs w:val="24"/>
        </w:rPr>
        <w:t xml:space="preserve">. </w:t>
      </w:r>
      <w:r>
        <w:rPr>
          <w:sz w:val="22"/>
          <w:szCs w:val="24"/>
        </w:rPr>
        <w:t>Policy needs to address the question</w:t>
      </w:r>
      <w:r w:rsidRPr="00D64173">
        <w:rPr>
          <w:sz w:val="22"/>
          <w:szCs w:val="24"/>
        </w:rPr>
        <w:t>: who is not able to move to improve their circumstances?</w:t>
      </w:r>
    </w:p>
    <w:p w:rsidR="00CB26F0" w:rsidP="00CB26F0">
      <w:pPr>
        <w:rPr>
          <w:sz w:val="22"/>
          <w:szCs w:val="24"/>
        </w:rPr>
      </w:pPr>
      <w:bookmarkEnd w:id="7"/>
    </w:p>
    <w:p w:rsidR="00E2122C" w:rsidRPr="00CB26F0" w:rsidP="00CB26F0">
      <w:pPr>
        <w:rPr>
          <w:sz w:val="22"/>
          <w:szCs w:val="24"/>
        </w:rPr>
      </w:pPr>
    </w:p>
    <w:p w:rsidR="00806B94" w:rsidRPr="00217CBA" w:rsidP="00806B94">
      <w:pPr>
        <w:rPr>
          <w:b/>
          <w:bCs/>
          <w:sz w:val="22"/>
        </w:rPr>
      </w:pPr>
      <w:bookmarkEnd w:id="6"/>
      <w:r w:rsidRPr="00217CBA">
        <w:rPr>
          <w:b/>
          <w:bCs/>
          <w:sz w:val="22"/>
        </w:rPr>
        <w:t>References</w:t>
      </w:r>
    </w:p>
    <w:p w:rsidR="00806B94" w:rsidP="00806B94">
      <w:pPr>
        <w:rPr>
          <w:sz w:val="22"/>
        </w:rPr>
      </w:pPr>
    </w:p>
    <w:p w:rsidR="00CB26F0" w:rsidP="00806B94">
      <w:pPr>
        <w:rPr>
          <w:sz w:val="22"/>
        </w:rPr>
      </w:pPr>
      <w:r>
        <w:rPr>
          <w:sz w:val="22"/>
        </w:rPr>
        <w:t>2.</w:t>
      </w:r>
    </w:p>
    <w:p w:rsidR="00CB26F0" w:rsidP="00806B94">
      <w:pPr>
        <w:rPr>
          <w:sz w:val="22"/>
        </w:rPr>
      </w:pPr>
    </w:p>
    <w:p w:rsidR="00CB26F0" w:rsidP="00CB26F0">
      <w:pPr>
        <w:rPr>
          <w:sz w:val="22"/>
          <w:szCs w:val="24"/>
        </w:rPr>
      </w:pPr>
      <w:r w:rsidRPr="00CB26F0">
        <w:rPr>
          <w:sz w:val="22"/>
          <w:szCs w:val="24"/>
        </w:rPr>
        <w:t xml:space="preserve">Thomas Crossley, Paul Fisher, Hamish Low, The heterogeneous and regressive consequences of COVID-19: Evidence from high quality panel data, Journal of Public Economics, January 2021: </w:t>
      </w:r>
      <w:r>
        <w:fldChar w:fldCharType="begin"/>
      </w:r>
      <w:r>
        <w:instrText xml:space="preserve"> HYPERLINK "https://doi.org/10.1016/j.jpubeco.2020.104334" </w:instrText>
      </w:r>
      <w:r>
        <w:fldChar w:fldCharType="separate"/>
      </w:r>
      <w:r w:rsidRPr="00CB26F0">
        <w:rPr>
          <w:rStyle w:val="Hyperlink"/>
          <w:sz w:val="22"/>
          <w:szCs w:val="24"/>
        </w:rPr>
        <w:t>https://doi.or</w:t>
      </w:r>
      <w:r w:rsidRPr="00CB26F0">
        <w:rPr>
          <w:rStyle w:val="Hyperlink"/>
          <w:sz w:val="22"/>
          <w:szCs w:val="24"/>
        </w:rPr>
        <w:t>g/10.1016/j.jpubeco.2020.104334</w:t>
      </w:r>
      <w:r>
        <w:fldChar w:fldCharType="end"/>
      </w:r>
    </w:p>
    <w:p w:rsidR="00CB26F0" w:rsidRPr="00CB26F0" w:rsidP="00CB26F0">
      <w:pPr>
        <w:rPr>
          <w:sz w:val="22"/>
          <w:szCs w:val="24"/>
        </w:rPr>
      </w:pPr>
    </w:p>
    <w:p w:rsidR="00CB26F0" w:rsidP="00CB26F0">
      <w:pPr>
        <w:rPr>
          <w:sz w:val="22"/>
          <w:szCs w:val="24"/>
        </w:rPr>
      </w:pPr>
      <w:r w:rsidRPr="00CB26F0">
        <w:rPr>
          <w:sz w:val="22"/>
          <w:szCs w:val="24"/>
        </w:rPr>
        <w:t xml:space="preserve">Changing gears: understanding social mobility, Social Mobility Commission, November 2020: </w:t>
      </w:r>
      <w:r>
        <w:fldChar w:fldCharType="begin"/>
      </w:r>
      <w:r>
        <w:instrText xml:space="preserve"> HYPERLINK "https://www.gov.uk/government/news/understanding-downward-social-mobility" </w:instrText>
      </w:r>
      <w:r>
        <w:fldChar w:fldCharType="separate"/>
      </w:r>
      <w:r w:rsidRPr="00CB26F0">
        <w:rPr>
          <w:rStyle w:val="Hyperlink"/>
          <w:sz w:val="22"/>
          <w:szCs w:val="24"/>
        </w:rPr>
        <w:t>https://www.gov.uk/government/news/understa</w:t>
      </w:r>
      <w:r w:rsidRPr="00CB26F0">
        <w:rPr>
          <w:rStyle w:val="Hyperlink"/>
          <w:sz w:val="22"/>
          <w:szCs w:val="24"/>
        </w:rPr>
        <w:t>nding-downward-social-mobility</w:t>
      </w:r>
      <w:r>
        <w:fldChar w:fldCharType="end"/>
      </w:r>
    </w:p>
    <w:p w:rsidR="00CB26F0" w:rsidRPr="00CB26F0" w:rsidP="00CB26F0">
      <w:pPr>
        <w:rPr>
          <w:sz w:val="22"/>
          <w:szCs w:val="24"/>
        </w:rPr>
      </w:pPr>
    </w:p>
    <w:p w:rsidR="00CB26F0" w:rsidP="00CB26F0">
      <w:pPr>
        <w:rPr>
          <w:sz w:val="22"/>
          <w:szCs w:val="24"/>
        </w:rPr>
      </w:pPr>
      <w:r w:rsidRPr="00CB26F0">
        <w:rPr>
          <w:sz w:val="22"/>
          <w:szCs w:val="24"/>
        </w:rPr>
        <w:t xml:space="preserve">Impact on households: distributional analysis to accompany Budget 2021 </w:t>
      </w:r>
      <w:r>
        <w:fldChar w:fldCharType="begin"/>
      </w:r>
      <w:r>
        <w:instrText xml:space="preserve"> HYPERLINK "https://www.gov.uk/government/publications/budget-2021-documents" </w:instrText>
      </w:r>
      <w:r>
        <w:fldChar w:fldCharType="separate"/>
      </w:r>
      <w:r w:rsidRPr="00CB26F0">
        <w:rPr>
          <w:rStyle w:val="Hyperlink"/>
          <w:sz w:val="22"/>
          <w:szCs w:val="24"/>
        </w:rPr>
        <w:t>https://www.gov.uk/government/publications/budget-2021-documents</w:t>
      </w:r>
      <w:r>
        <w:fldChar w:fldCharType="end"/>
      </w:r>
    </w:p>
    <w:p w:rsidR="00CB26F0" w:rsidP="00CB26F0">
      <w:pPr>
        <w:rPr>
          <w:sz w:val="22"/>
          <w:szCs w:val="24"/>
        </w:rPr>
      </w:pPr>
    </w:p>
    <w:p w:rsidR="0085133A" w:rsidP="00CB26F0">
      <w:pPr>
        <w:rPr>
          <w:sz w:val="22"/>
          <w:szCs w:val="24"/>
        </w:rPr>
      </w:pPr>
      <w:r w:rsidRPr="0085133A">
        <w:rPr>
          <w:sz w:val="22"/>
          <w:szCs w:val="24"/>
        </w:rPr>
        <w:t>Anv</w:t>
      </w:r>
      <w:r w:rsidRPr="0085133A">
        <w:rPr>
          <w:sz w:val="22"/>
          <w:szCs w:val="24"/>
        </w:rPr>
        <w:t>ar Sarygulov</w:t>
      </w:r>
      <w:r>
        <w:rPr>
          <w:sz w:val="22"/>
          <w:szCs w:val="24"/>
        </w:rPr>
        <w:t xml:space="preserve">, </w:t>
      </w:r>
      <w:r w:rsidRPr="0085133A">
        <w:rPr>
          <w:sz w:val="22"/>
          <w:szCs w:val="24"/>
        </w:rPr>
        <w:t>Benefit to all? Financial experience of Universal Credit claimants during the pandemic</w:t>
      </w:r>
      <w:r>
        <w:rPr>
          <w:sz w:val="22"/>
          <w:szCs w:val="24"/>
        </w:rPr>
        <w:t xml:space="preserve">, Bright Blue, June 2021: </w:t>
      </w:r>
      <w:r>
        <w:fldChar w:fldCharType="begin"/>
      </w:r>
      <w:r>
        <w:instrText xml:space="preserve"> HYPERLINK "http://www.brightblue.org.uk/benefit-to-all/" </w:instrText>
      </w:r>
      <w:r>
        <w:fldChar w:fldCharType="separate"/>
      </w:r>
      <w:r w:rsidRPr="00BA226F">
        <w:rPr>
          <w:rStyle w:val="Hyperlink"/>
          <w:sz w:val="22"/>
          <w:szCs w:val="24"/>
        </w:rPr>
        <w:t>http://www.brightblue.org.uk/benefit-to-all/</w:t>
      </w:r>
      <w:r>
        <w:fldChar w:fldCharType="end"/>
      </w:r>
    </w:p>
    <w:p w:rsidR="0085133A" w:rsidP="00CB26F0">
      <w:pPr>
        <w:rPr>
          <w:sz w:val="22"/>
          <w:szCs w:val="24"/>
        </w:rPr>
      </w:pPr>
    </w:p>
    <w:p w:rsidR="00CB26F0" w:rsidRPr="00CB26F0" w:rsidP="00CB26F0">
      <w:pPr>
        <w:rPr>
          <w:sz w:val="22"/>
          <w:szCs w:val="24"/>
        </w:rPr>
      </w:pPr>
      <w:r>
        <w:rPr>
          <w:sz w:val="22"/>
          <w:szCs w:val="24"/>
        </w:rPr>
        <w:t>3.</w:t>
      </w:r>
    </w:p>
    <w:p w:rsidR="00CB26F0" w:rsidRPr="00CB26F0" w:rsidP="00CB26F0">
      <w:pPr>
        <w:rPr>
          <w:sz w:val="22"/>
          <w:szCs w:val="24"/>
        </w:rPr>
      </w:pPr>
    </w:p>
    <w:p w:rsidR="00CB26F0" w:rsidP="00CB26F0">
      <w:pPr>
        <w:rPr>
          <w:sz w:val="22"/>
          <w:szCs w:val="24"/>
        </w:rPr>
      </w:pPr>
      <w:r w:rsidRPr="00CB26F0">
        <w:rPr>
          <w:sz w:val="22"/>
          <w:szCs w:val="24"/>
        </w:rPr>
        <w:t>Brian Bell, Mihai C</w:t>
      </w:r>
      <w:r w:rsidRPr="00CB26F0">
        <w:rPr>
          <w:sz w:val="22"/>
          <w:szCs w:val="24"/>
        </w:rPr>
        <w:t xml:space="preserve">odreanu, </w:t>
      </w:r>
      <w:bookmarkStart w:id="8" w:name="_Hlk74061972"/>
      <w:r w:rsidRPr="00CB26F0">
        <w:rPr>
          <w:sz w:val="22"/>
          <w:szCs w:val="24"/>
        </w:rPr>
        <w:t>Stephen Machin, What can previous recessions tell us about the Covid-19 downturn? LSE Centre for Economic Performance analysis, August 2020</w:t>
      </w:r>
      <w:bookmarkEnd w:id="8"/>
      <w:r w:rsidRPr="00CB26F0">
        <w:rPr>
          <w:sz w:val="22"/>
          <w:szCs w:val="24"/>
        </w:rPr>
        <w:t xml:space="preserve">: </w:t>
      </w:r>
      <w:r>
        <w:fldChar w:fldCharType="begin"/>
      </w:r>
      <w:r>
        <w:instrText xml:space="preserve"> HYPERLINK "https://cep.lse.ac.uk/_new/publications/abstract.asp?index=7219" </w:instrText>
      </w:r>
      <w:r>
        <w:fldChar w:fldCharType="separate"/>
      </w:r>
      <w:r w:rsidRPr="00CB26F0">
        <w:rPr>
          <w:rStyle w:val="Hyperlink"/>
          <w:sz w:val="22"/>
          <w:szCs w:val="24"/>
        </w:rPr>
        <w:t>https://cep.lse.ac.uk/_new/pu</w:t>
      </w:r>
      <w:r w:rsidRPr="00CB26F0">
        <w:rPr>
          <w:rStyle w:val="Hyperlink"/>
          <w:sz w:val="22"/>
          <w:szCs w:val="24"/>
        </w:rPr>
        <w:t>blications/abstract.asp?index=7219</w:t>
      </w:r>
      <w:r>
        <w:fldChar w:fldCharType="end"/>
      </w:r>
    </w:p>
    <w:p w:rsidR="00CB26F0" w:rsidP="00CB26F0">
      <w:pPr>
        <w:rPr>
          <w:sz w:val="22"/>
          <w:szCs w:val="24"/>
        </w:rPr>
      </w:pPr>
    </w:p>
    <w:p w:rsidR="00CB26F0" w:rsidRPr="00CB26F0" w:rsidP="00CB26F0">
      <w:pPr>
        <w:rPr>
          <w:sz w:val="22"/>
          <w:szCs w:val="24"/>
        </w:rPr>
      </w:pPr>
      <w:r>
        <w:rPr>
          <w:sz w:val="22"/>
          <w:szCs w:val="24"/>
        </w:rPr>
        <w:t>4.</w:t>
      </w:r>
    </w:p>
    <w:p w:rsidR="00CB26F0" w:rsidRPr="00CB26F0" w:rsidP="00CB26F0">
      <w:pPr>
        <w:rPr>
          <w:sz w:val="22"/>
          <w:szCs w:val="24"/>
        </w:rPr>
      </w:pPr>
    </w:p>
    <w:p w:rsidR="00CB26F0" w:rsidP="00CB26F0">
      <w:pPr>
        <w:rPr>
          <w:sz w:val="22"/>
          <w:szCs w:val="24"/>
        </w:rPr>
      </w:pPr>
      <w:r w:rsidRPr="00CB26F0">
        <w:rPr>
          <w:sz w:val="22"/>
          <w:szCs w:val="24"/>
        </w:rPr>
        <w:t xml:space="preserve">Dirk Witteveen, Sociodemographic inequality in exposure to COVID-19-induced economic hardship in the United Kingdom, Research in Social Stratification and Mobility, October 2020: </w:t>
      </w:r>
      <w:r>
        <w:fldChar w:fldCharType="begin"/>
      </w:r>
      <w:r>
        <w:instrText xml:space="preserve"> HYPERLINK "https://doi.org/10.1016/j.rssm.2020.100551" </w:instrText>
      </w:r>
      <w:r>
        <w:fldChar w:fldCharType="separate"/>
      </w:r>
      <w:r w:rsidRPr="00CB26F0">
        <w:rPr>
          <w:rStyle w:val="Hyperlink"/>
          <w:sz w:val="22"/>
          <w:szCs w:val="24"/>
        </w:rPr>
        <w:t>https://doi.org/10.1016/j.rssm.2020.100551</w:t>
      </w:r>
      <w:r>
        <w:fldChar w:fldCharType="end"/>
      </w:r>
    </w:p>
    <w:p w:rsidR="00CB26F0" w:rsidP="00CB26F0">
      <w:pPr>
        <w:rPr>
          <w:sz w:val="22"/>
          <w:szCs w:val="24"/>
        </w:rPr>
      </w:pPr>
    </w:p>
    <w:p w:rsidR="00CB26F0" w:rsidRPr="00CB26F0" w:rsidP="00CB26F0">
      <w:pPr>
        <w:rPr>
          <w:sz w:val="22"/>
          <w:szCs w:val="24"/>
        </w:rPr>
      </w:pPr>
      <w:r>
        <w:rPr>
          <w:sz w:val="22"/>
          <w:szCs w:val="24"/>
        </w:rPr>
        <w:t>5.</w:t>
      </w:r>
    </w:p>
    <w:p w:rsidR="00CB26F0" w:rsidRPr="00CB26F0" w:rsidP="00CB26F0">
      <w:pPr>
        <w:rPr>
          <w:sz w:val="22"/>
          <w:szCs w:val="24"/>
        </w:rPr>
      </w:pPr>
    </w:p>
    <w:p w:rsidR="00CB26F0" w:rsidP="00CB26F0">
      <w:pPr>
        <w:rPr>
          <w:sz w:val="22"/>
          <w:szCs w:val="24"/>
        </w:rPr>
      </w:pPr>
      <w:r w:rsidRPr="00CB26F0">
        <w:rPr>
          <w:sz w:val="22"/>
          <w:szCs w:val="24"/>
        </w:rPr>
        <w:t xml:space="preserve">Tracey Warren, Clare Lyonette, Carrying the work burden of the COVID-19 pandemic: working class women in the UK. Briefing note 1: employment and mental health, November 2020: </w:t>
      </w:r>
      <w:r>
        <w:fldChar w:fldCharType="begin"/>
      </w:r>
      <w:r>
        <w:instrText xml:space="preserve"> HYPERLINK "https://www.nottingham.ac.uk/business/who-we-are/case-studies/featured-research-case-studies/covid-19-working-women/index.aspx" </w:instrText>
      </w:r>
      <w:r>
        <w:fldChar w:fldCharType="separate"/>
      </w:r>
      <w:r w:rsidRPr="00CB26F0">
        <w:rPr>
          <w:rStyle w:val="Hyperlink"/>
          <w:sz w:val="22"/>
          <w:szCs w:val="24"/>
        </w:rPr>
        <w:t>https://www.nottingham.ac.uk/business/who-we-are/case-studies/featured-research-case-studies/covid-19-working-women/index.as</w:t>
      </w:r>
      <w:r w:rsidRPr="00CB26F0">
        <w:rPr>
          <w:rStyle w:val="Hyperlink"/>
          <w:sz w:val="22"/>
          <w:szCs w:val="24"/>
        </w:rPr>
        <w:t>px</w:t>
      </w:r>
      <w:r>
        <w:fldChar w:fldCharType="end"/>
      </w:r>
    </w:p>
    <w:p w:rsidR="00CB26F0" w:rsidP="00CB26F0">
      <w:pPr>
        <w:rPr>
          <w:sz w:val="22"/>
          <w:szCs w:val="24"/>
        </w:rPr>
      </w:pPr>
    </w:p>
    <w:p w:rsidR="00CB26F0" w:rsidRPr="00CB26F0" w:rsidP="00CB26F0">
      <w:pPr>
        <w:rPr>
          <w:sz w:val="22"/>
          <w:szCs w:val="24"/>
        </w:rPr>
      </w:pPr>
      <w:r>
        <w:rPr>
          <w:sz w:val="22"/>
          <w:szCs w:val="24"/>
        </w:rPr>
        <w:t>6.</w:t>
      </w:r>
    </w:p>
    <w:p w:rsidR="00CB26F0" w:rsidRPr="00CB26F0" w:rsidP="00CB26F0">
      <w:pPr>
        <w:rPr>
          <w:sz w:val="22"/>
          <w:szCs w:val="24"/>
        </w:rPr>
      </w:pPr>
    </w:p>
    <w:p w:rsidR="00CB26F0" w:rsidP="00CB26F0">
      <w:pPr>
        <w:rPr>
          <w:sz w:val="22"/>
          <w:szCs w:val="24"/>
        </w:rPr>
      </w:pPr>
      <w:r w:rsidRPr="0031085B">
        <w:rPr>
          <w:sz w:val="22"/>
          <w:szCs w:val="24"/>
        </w:rPr>
        <w:t xml:space="preserve">Neil Smith, Isabel Taylor, Finances and mental health during the COVID-19 pandemic, NatCen report, April 2021: </w:t>
      </w:r>
      <w:r>
        <w:fldChar w:fldCharType="begin"/>
      </w:r>
      <w:r>
        <w:instrText xml:space="preserve"> HYPERLINK "https://www.natcen.ac.uk/our-research/research/finances-and-mental-health-during-the-covid-19-pandemic/" </w:instrText>
      </w:r>
      <w:r>
        <w:fldChar w:fldCharType="separate"/>
      </w:r>
      <w:r w:rsidRPr="00875A75">
        <w:rPr>
          <w:rStyle w:val="Hyperlink"/>
          <w:sz w:val="22"/>
          <w:szCs w:val="24"/>
        </w:rPr>
        <w:t>https://www.natcen.ac.uk/our-research/research/finances-and-mental-health-during-the-covid-19-pandemic/</w:t>
      </w:r>
      <w:r>
        <w:fldChar w:fldCharType="end"/>
      </w:r>
    </w:p>
    <w:p w:rsidR="00CB26F0" w:rsidP="00CB26F0">
      <w:pPr>
        <w:rPr>
          <w:sz w:val="22"/>
          <w:szCs w:val="24"/>
        </w:rPr>
      </w:pPr>
    </w:p>
    <w:p w:rsidR="00CB26F0" w:rsidRPr="0031085B" w:rsidP="00CB26F0">
      <w:pPr>
        <w:rPr>
          <w:sz w:val="22"/>
          <w:szCs w:val="24"/>
        </w:rPr>
      </w:pPr>
      <w:r>
        <w:rPr>
          <w:sz w:val="22"/>
          <w:szCs w:val="24"/>
        </w:rPr>
        <w:t>7.</w:t>
      </w:r>
    </w:p>
    <w:p w:rsidR="00CB26F0" w:rsidRPr="00142A37" w:rsidP="00CB26F0">
      <w:pPr>
        <w:rPr>
          <w:sz w:val="22"/>
          <w:szCs w:val="24"/>
        </w:rPr>
      </w:pPr>
    </w:p>
    <w:p w:rsidR="00CB26F0" w:rsidRPr="002360AA" w:rsidP="00CB26F0">
      <w:pPr>
        <w:rPr>
          <w:sz w:val="22"/>
          <w:szCs w:val="24"/>
        </w:rPr>
      </w:pPr>
      <w:r w:rsidRPr="002360AA">
        <w:rPr>
          <w:sz w:val="22"/>
          <w:szCs w:val="24"/>
        </w:rPr>
        <w:t xml:space="preserve">Konstantinos Angelopoulos, </w:t>
      </w:r>
      <w:r w:rsidRPr="002360AA">
        <w:rPr>
          <w:sz w:val="22"/>
          <w:szCs w:val="24"/>
        </w:rPr>
        <w:t>Spyridon Lazarakis, Rebecca Mancy, Max Schroeder, Medium-run wealth inequality following COVID-19, University of Glasgow</w:t>
      </w:r>
      <w:r>
        <w:rPr>
          <w:sz w:val="22"/>
          <w:szCs w:val="24"/>
        </w:rPr>
        <w:t xml:space="preserve">/Lancaster University briefing note, May 2021: </w:t>
      </w:r>
      <w:r>
        <w:fldChar w:fldCharType="begin"/>
      </w:r>
      <w:r>
        <w:instrText xml:space="preserve"> HYPERLINK "http://eprints.gla.ac.uk/232684/1/232684.pdf" </w:instrText>
      </w:r>
      <w:r>
        <w:fldChar w:fldCharType="separate"/>
      </w:r>
      <w:r w:rsidRPr="002360AA">
        <w:rPr>
          <w:rStyle w:val="Hyperlink"/>
          <w:sz w:val="22"/>
          <w:szCs w:val="24"/>
        </w:rPr>
        <w:t>http://eprints.gla.ac.uk/232684</w:t>
      </w:r>
      <w:r w:rsidRPr="002360AA">
        <w:rPr>
          <w:rStyle w:val="Hyperlink"/>
          <w:sz w:val="22"/>
          <w:szCs w:val="24"/>
        </w:rPr>
        <w:t>/1/232684.pdf</w:t>
      </w:r>
      <w:r>
        <w:fldChar w:fldCharType="end"/>
      </w:r>
    </w:p>
    <w:p w:rsidR="00CB26F0" w:rsidP="00CB26F0">
      <w:pPr>
        <w:rPr>
          <w:sz w:val="22"/>
          <w:szCs w:val="24"/>
        </w:rPr>
      </w:pPr>
    </w:p>
    <w:p w:rsidR="00CB26F0" w:rsidRPr="002360AA" w:rsidP="00CB26F0">
      <w:pPr>
        <w:rPr>
          <w:sz w:val="22"/>
          <w:szCs w:val="24"/>
        </w:rPr>
      </w:pPr>
      <w:r>
        <w:rPr>
          <w:sz w:val="22"/>
          <w:szCs w:val="24"/>
        </w:rPr>
        <w:t>8.</w:t>
      </w:r>
    </w:p>
    <w:p w:rsidR="00CB26F0" w:rsidP="00CB26F0">
      <w:pPr>
        <w:rPr>
          <w:sz w:val="22"/>
          <w:szCs w:val="24"/>
        </w:rPr>
      </w:pPr>
    </w:p>
    <w:p w:rsidR="00CB26F0" w:rsidP="00CB26F0">
      <w:pPr>
        <w:rPr>
          <w:sz w:val="22"/>
          <w:szCs w:val="24"/>
        </w:rPr>
      </w:pPr>
      <w:r w:rsidRPr="003D2306">
        <w:rPr>
          <w:sz w:val="22"/>
          <w:szCs w:val="24"/>
        </w:rPr>
        <w:t>Michaela Benzeval, Jon Burton, Thomas Crossley, Paul Fisher,</w:t>
      </w:r>
      <w:r>
        <w:rPr>
          <w:sz w:val="22"/>
          <w:szCs w:val="24"/>
        </w:rPr>
        <w:t xml:space="preserve"> </w:t>
      </w:r>
      <w:r w:rsidRPr="003D2306">
        <w:rPr>
          <w:sz w:val="22"/>
          <w:szCs w:val="24"/>
        </w:rPr>
        <w:t>Annette Jӓckle, Hamish Low, Brendan Read</w:t>
      </w:r>
      <w:r>
        <w:rPr>
          <w:sz w:val="22"/>
          <w:szCs w:val="24"/>
        </w:rPr>
        <w:t xml:space="preserve">, </w:t>
      </w:r>
      <w:r w:rsidRPr="00E62937">
        <w:rPr>
          <w:sz w:val="22"/>
          <w:szCs w:val="24"/>
        </w:rPr>
        <w:t>The idiosyncratic impact of an aggregate shock: the distributional consequences of COVID-19</w:t>
      </w:r>
      <w:r>
        <w:rPr>
          <w:sz w:val="22"/>
          <w:szCs w:val="24"/>
        </w:rPr>
        <w:t xml:space="preserve">, </w:t>
      </w:r>
      <w:r w:rsidRPr="003D2306">
        <w:rPr>
          <w:sz w:val="22"/>
          <w:szCs w:val="24"/>
        </w:rPr>
        <w:t>Understanding Society</w:t>
      </w:r>
      <w:r>
        <w:rPr>
          <w:sz w:val="22"/>
          <w:szCs w:val="24"/>
        </w:rPr>
        <w:t xml:space="preserve"> </w:t>
      </w:r>
      <w:r w:rsidRPr="003D2306">
        <w:rPr>
          <w:sz w:val="22"/>
          <w:szCs w:val="24"/>
        </w:rPr>
        <w:t xml:space="preserve">Working </w:t>
      </w:r>
      <w:r w:rsidRPr="003D2306">
        <w:rPr>
          <w:sz w:val="22"/>
          <w:szCs w:val="24"/>
        </w:rPr>
        <w:t>Paper</w:t>
      </w:r>
      <w:r>
        <w:rPr>
          <w:sz w:val="22"/>
          <w:szCs w:val="24"/>
        </w:rPr>
        <w:t xml:space="preserve">, May 2020: </w:t>
      </w:r>
      <w:r>
        <w:fldChar w:fldCharType="begin"/>
      </w:r>
      <w:r>
        <w:instrText xml:space="preserve"> HYPERLINK "https://www.understandingsociety.ac.uk/sites/default/files/downloads/working-papers/2020-09.pdf" </w:instrText>
      </w:r>
      <w:r>
        <w:fldChar w:fldCharType="separate"/>
      </w:r>
      <w:r w:rsidRPr="00875A75">
        <w:rPr>
          <w:rStyle w:val="Hyperlink"/>
          <w:sz w:val="22"/>
          <w:szCs w:val="24"/>
        </w:rPr>
        <w:t>https://www.understandingsociety.ac.uk/sites/default/files/downloads/working-papers/2020-09.pdf</w:t>
      </w:r>
      <w:r>
        <w:fldChar w:fldCharType="end"/>
      </w:r>
    </w:p>
    <w:p w:rsidR="00CB26F0" w:rsidRPr="00E62937" w:rsidP="00CB26F0">
      <w:pPr>
        <w:rPr>
          <w:sz w:val="22"/>
          <w:szCs w:val="24"/>
        </w:rPr>
      </w:pPr>
    </w:p>
    <w:p w:rsidR="00CB26F0" w:rsidP="00CB26F0">
      <w:pPr>
        <w:rPr>
          <w:sz w:val="22"/>
          <w:szCs w:val="24"/>
        </w:rPr>
      </w:pPr>
      <w:r>
        <w:rPr>
          <w:sz w:val="22"/>
          <w:szCs w:val="24"/>
        </w:rPr>
        <w:t xml:space="preserve">Yang Hu, </w:t>
      </w:r>
      <w:r w:rsidRPr="003D2306">
        <w:rPr>
          <w:sz w:val="22"/>
          <w:szCs w:val="24"/>
        </w:rPr>
        <w:t>Intersecting ethnic a</w:t>
      </w:r>
      <w:r w:rsidRPr="003D2306">
        <w:rPr>
          <w:sz w:val="22"/>
          <w:szCs w:val="24"/>
        </w:rPr>
        <w:t>nd native-migrant inequalities in the economic impact of the COVID-19 pandemic in the UK</w:t>
      </w:r>
      <w:r>
        <w:rPr>
          <w:sz w:val="22"/>
          <w:szCs w:val="24"/>
        </w:rPr>
        <w:t xml:space="preserve">, </w:t>
      </w:r>
      <w:r w:rsidRPr="00800221">
        <w:rPr>
          <w:sz w:val="22"/>
          <w:szCs w:val="24"/>
        </w:rPr>
        <w:t>Research in Social Stratification and Mobility</w:t>
      </w:r>
      <w:r>
        <w:rPr>
          <w:sz w:val="22"/>
          <w:szCs w:val="24"/>
        </w:rPr>
        <w:t xml:space="preserve">, August 2020: </w:t>
      </w:r>
      <w:r>
        <w:fldChar w:fldCharType="begin"/>
      </w:r>
      <w:r>
        <w:instrText xml:space="preserve"> HYPERLINK "https://doi.org/10.1016/j.rssm.2020.100528" </w:instrText>
      </w:r>
      <w:r>
        <w:fldChar w:fldCharType="separate"/>
      </w:r>
      <w:r w:rsidRPr="00875A75">
        <w:rPr>
          <w:rStyle w:val="Hyperlink"/>
          <w:sz w:val="22"/>
          <w:szCs w:val="24"/>
        </w:rPr>
        <w:t>https://doi.org/10.1016/j.rssm.2020.100528</w:t>
      </w:r>
      <w:r>
        <w:fldChar w:fldCharType="end"/>
      </w:r>
    </w:p>
    <w:p w:rsidR="00576AA2" w:rsidP="00CB26F0">
      <w:pPr>
        <w:rPr>
          <w:sz w:val="22"/>
          <w:szCs w:val="24"/>
        </w:rPr>
      </w:pPr>
    </w:p>
    <w:p w:rsidR="00CB26F0" w:rsidP="00CB26F0">
      <w:pPr>
        <w:rPr>
          <w:sz w:val="22"/>
          <w:szCs w:val="24"/>
        </w:rPr>
      </w:pPr>
      <w:r>
        <w:rPr>
          <w:sz w:val="22"/>
          <w:szCs w:val="24"/>
        </w:rPr>
        <w:t>9.</w:t>
      </w:r>
    </w:p>
    <w:p w:rsidR="00576AA2" w:rsidP="00CB26F0">
      <w:pPr>
        <w:rPr>
          <w:sz w:val="22"/>
          <w:szCs w:val="24"/>
        </w:rPr>
      </w:pPr>
    </w:p>
    <w:p w:rsidR="00CB26F0" w:rsidP="00CB26F0">
      <w:pPr>
        <w:rPr>
          <w:sz w:val="22"/>
          <w:szCs w:val="24"/>
        </w:rPr>
      </w:pPr>
      <w:r w:rsidRPr="00CB26F0">
        <w:rPr>
          <w:sz w:val="22"/>
          <w:szCs w:val="24"/>
        </w:rPr>
        <w:t>Eric Emerson, Roger Stancliffe, Chris Hatton, Gwynnyth Llewellyn, Tania King, Vaso Totsika, Zoe Aitken, Anne Kavanagh, The impact of disability on employment and financial security following the outbreak of the 2020 COVID-19 pandemic in the UK, Journal o</w:t>
      </w:r>
      <w:r w:rsidRPr="00CB26F0">
        <w:rPr>
          <w:sz w:val="22"/>
          <w:szCs w:val="24"/>
        </w:rPr>
        <w:t xml:space="preserve">f Public Health, January 2021: </w:t>
      </w:r>
      <w:r>
        <w:fldChar w:fldCharType="begin"/>
      </w:r>
      <w:r>
        <w:instrText xml:space="preserve"> HYPERLINK "https://doi.org/10.1093/pubmed/fdaa270" </w:instrText>
      </w:r>
      <w:r>
        <w:fldChar w:fldCharType="separate"/>
      </w:r>
      <w:r w:rsidRPr="00CB26F0">
        <w:rPr>
          <w:rStyle w:val="Hyperlink"/>
          <w:sz w:val="22"/>
          <w:szCs w:val="24"/>
        </w:rPr>
        <w:t>https://doi.org/10.1093/pubmed/fdaa270</w:t>
      </w:r>
      <w:r>
        <w:fldChar w:fldCharType="end"/>
      </w:r>
    </w:p>
    <w:p w:rsidR="00576AA2" w:rsidRPr="00CB26F0" w:rsidP="00CB26F0">
      <w:pPr>
        <w:rPr>
          <w:sz w:val="22"/>
          <w:szCs w:val="24"/>
        </w:rPr>
      </w:pPr>
    </w:p>
    <w:p w:rsidR="00CB26F0" w:rsidP="00CB26F0">
      <w:pPr>
        <w:rPr>
          <w:sz w:val="22"/>
          <w:szCs w:val="24"/>
        </w:rPr>
      </w:pPr>
      <w:r>
        <w:rPr>
          <w:sz w:val="22"/>
          <w:szCs w:val="24"/>
        </w:rPr>
        <w:t>10.</w:t>
      </w:r>
    </w:p>
    <w:p w:rsidR="00576AA2" w:rsidRPr="00CB26F0" w:rsidP="00CB26F0">
      <w:pPr>
        <w:rPr>
          <w:sz w:val="22"/>
          <w:szCs w:val="24"/>
        </w:rPr>
      </w:pPr>
    </w:p>
    <w:p w:rsidR="00CB26F0" w:rsidP="00CB26F0">
      <w:pPr>
        <w:rPr>
          <w:sz w:val="22"/>
          <w:szCs w:val="24"/>
        </w:rPr>
      </w:pPr>
      <w:r w:rsidRPr="00CB26F0">
        <w:rPr>
          <w:sz w:val="22"/>
          <w:szCs w:val="24"/>
        </w:rPr>
        <w:t>Claudia Hupkau, Barbara Petrongolo, Work, care, and gender across UK lockdowns, Centre for Economic Policy Research analysis,</w:t>
      </w:r>
      <w:r w:rsidRPr="00CB26F0">
        <w:rPr>
          <w:sz w:val="22"/>
          <w:szCs w:val="24"/>
        </w:rPr>
        <w:t xml:space="preserve"> November 2020: </w:t>
      </w:r>
      <w:r>
        <w:fldChar w:fldCharType="begin"/>
      </w:r>
      <w:r>
        <w:instrText xml:space="preserve"> HYPERLINK "https://voxeu.org/article/work-care-and-gender-across-uk-lockdowns" </w:instrText>
      </w:r>
      <w:r>
        <w:fldChar w:fldCharType="separate"/>
      </w:r>
      <w:r w:rsidRPr="00CB26F0">
        <w:rPr>
          <w:rStyle w:val="Hyperlink"/>
          <w:sz w:val="22"/>
          <w:szCs w:val="24"/>
        </w:rPr>
        <w:t>https://voxeu.org/article/work-care-and-gender-across-uk-lockdowns</w:t>
      </w:r>
      <w:r>
        <w:fldChar w:fldCharType="end"/>
      </w:r>
    </w:p>
    <w:p w:rsidR="00576AA2" w:rsidP="00CB26F0">
      <w:pPr>
        <w:rPr>
          <w:sz w:val="22"/>
          <w:szCs w:val="24"/>
        </w:rPr>
      </w:pPr>
    </w:p>
    <w:p w:rsidR="00576AA2" w:rsidRPr="00CB26F0" w:rsidP="00CB26F0">
      <w:pPr>
        <w:rPr>
          <w:sz w:val="22"/>
          <w:szCs w:val="24"/>
        </w:rPr>
      </w:pPr>
      <w:r>
        <w:rPr>
          <w:sz w:val="22"/>
          <w:szCs w:val="24"/>
        </w:rPr>
        <w:t>11.</w:t>
      </w:r>
    </w:p>
    <w:p w:rsidR="00CB26F0" w:rsidRPr="00CB26F0" w:rsidP="00CB26F0">
      <w:pPr>
        <w:rPr>
          <w:sz w:val="22"/>
          <w:szCs w:val="24"/>
        </w:rPr>
      </w:pPr>
    </w:p>
    <w:p w:rsidR="00CB26F0" w:rsidP="00CB26F0">
      <w:pPr>
        <w:rPr>
          <w:sz w:val="22"/>
          <w:szCs w:val="24"/>
        </w:rPr>
      </w:pPr>
      <w:r w:rsidRPr="00CB26F0">
        <w:rPr>
          <w:sz w:val="22"/>
          <w:szCs w:val="24"/>
        </w:rPr>
        <w:t xml:space="preserve">Lee Elliot Major, Andrew Eyles, Stephen Machin, Generation COVID: Emerging work and </w:t>
      </w:r>
      <w:r w:rsidRPr="00CB26F0">
        <w:rPr>
          <w:sz w:val="22"/>
          <w:szCs w:val="24"/>
        </w:rPr>
        <w:t xml:space="preserve">education inequalities, LSE Centre for Economic Performance analysis, October 2020: </w:t>
      </w:r>
      <w:r>
        <w:fldChar w:fldCharType="begin"/>
      </w:r>
      <w:r>
        <w:instrText xml:space="preserve"> HYPERLINK "https://cep.lse.ac.uk/pubs/download/cepcovid-19-011.pdf" </w:instrText>
      </w:r>
      <w:r>
        <w:fldChar w:fldCharType="separate"/>
      </w:r>
      <w:r w:rsidRPr="00875A75">
        <w:rPr>
          <w:rStyle w:val="Hyperlink"/>
          <w:sz w:val="22"/>
          <w:szCs w:val="24"/>
        </w:rPr>
        <w:t>https://cep.lse.ac.uk/pubs/download/cepcovid-19-011.pdf</w:t>
      </w:r>
      <w:r>
        <w:fldChar w:fldCharType="end"/>
      </w:r>
    </w:p>
    <w:p w:rsidR="00576AA2" w:rsidRPr="00CB26F0" w:rsidP="00CB26F0">
      <w:pPr>
        <w:rPr>
          <w:sz w:val="22"/>
          <w:szCs w:val="24"/>
        </w:rPr>
      </w:pPr>
    </w:p>
    <w:p w:rsidR="00CB26F0" w:rsidP="00CB26F0">
      <w:pPr>
        <w:rPr>
          <w:sz w:val="22"/>
          <w:szCs w:val="24"/>
        </w:rPr>
      </w:pPr>
      <w:r w:rsidRPr="00CB26F0">
        <w:rPr>
          <w:sz w:val="22"/>
          <w:szCs w:val="24"/>
        </w:rPr>
        <w:t>Laura Gardiner, Maja Gustafsson, Mike Brewe</w:t>
      </w:r>
      <w:r w:rsidRPr="00CB26F0">
        <w:rPr>
          <w:sz w:val="22"/>
          <w:szCs w:val="24"/>
        </w:rPr>
        <w:t xml:space="preserve">r, Karl Handscomb, Kathleen Henehan, Lindsay Judge, Fahmida Rahman, An intergenerational audit for the UK, Resolution Foundation, October 2020: </w:t>
      </w:r>
      <w:r>
        <w:fldChar w:fldCharType="begin"/>
      </w:r>
      <w:r>
        <w:instrText xml:space="preserve"> HYPERLINK "https://www.resolutionfoundation.org/publications/intergenerational-audit-uk-2020/" </w:instrText>
      </w:r>
      <w:r>
        <w:fldChar w:fldCharType="separate"/>
      </w:r>
      <w:r w:rsidRPr="00875A75">
        <w:rPr>
          <w:rStyle w:val="Hyperlink"/>
          <w:sz w:val="22"/>
          <w:szCs w:val="24"/>
        </w:rPr>
        <w:t>https://www.reso</w:t>
      </w:r>
      <w:r w:rsidRPr="00875A75">
        <w:rPr>
          <w:rStyle w:val="Hyperlink"/>
          <w:sz w:val="22"/>
          <w:szCs w:val="24"/>
        </w:rPr>
        <w:t>lutionfoundation.org/publications/intergenerational-audit-uk-2020/</w:t>
      </w:r>
      <w:r>
        <w:fldChar w:fldCharType="end"/>
      </w:r>
    </w:p>
    <w:p w:rsidR="00576AA2" w:rsidRPr="00CB26F0" w:rsidP="00CB26F0">
      <w:pPr>
        <w:rPr>
          <w:sz w:val="22"/>
          <w:szCs w:val="24"/>
        </w:rPr>
      </w:pPr>
    </w:p>
    <w:p w:rsidR="00576AA2" w:rsidP="00576AA2">
      <w:pPr>
        <w:rPr>
          <w:sz w:val="22"/>
          <w:szCs w:val="24"/>
        </w:rPr>
      </w:pPr>
      <w:r>
        <w:rPr>
          <w:sz w:val="22"/>
          <w:szCs w:val="24"/>
        </w:rPr>
        <w:t>12.</w:t>
      </w:r>
    </w:p>
    <w:p w:rsidR="00576AA2" w:rsidRPr="00CB26F0" w:rsidP="00576AA2">
      <w:pPr>
        <w:rPr>
          <w:sz w:val="22"/>
          <w:szCs w:val="24"/>
        </w:rPr>
      </w:pPr>
    </w:p>
    <w:p w:rsidR="00CB26F0" w:rsidP="00CB26F0">
      <w:pPr>
        <w:rPr>
          <w:sz w:val="22"/>
          <w:szCs w:val="24"/>
        </w:rPr>
      </w:pPr>
      <w:r w:rsidRPr="00CB26F0">
        <w:rPr>
          <w:sz w:val="22"/>
          <w:szCs w:val="24"/>
        </w:rPr>
        <w:t xml:space="preserve">John Wood, Stephen Clarke, House of the rising son (or daughter): the impact of parental wealth on their children’s homeownership, Resolution Foundation, December 2018: </w:t>
      </w:r>
      <w:r>
        <w:fldChar w:fldCharType="begin"/>
      </w:r>
      <w:r>
        <w:instrText xml:space="preserve"> HYPERLINK "https://www.resolutionfoundation.org/publications/house-of-the-rising-son-or-daughter/" </w:instrText>
      </w:r>
      <w:r>
        <w:fldChar w:fldCharType="separate"/>
      </w:r>
      <w:r w:rsidRPr="00875A75">
        <w:rPr>
          <w:rStyle w:val="Hyperlink"/>
          <w:sz w:val="22"/>
          <w:szCs w:val="24"/>
        </w:rPr>
        <w:t>https://www.resolutionfoundation.org/publications/house-of-the-rising-son-or-daughter/</w:t>
      </w:r>
      <w:r>
        <w:fldChar w:fldCharType="end"/>
      </w:r>
    </w:p>
    <w:p w:rsidR="00CB26F0" w:rsidRPr="00CB26F0" w:rsidP="00CB26F0">
      <w:pPr>
        <w:rPr>
          <w:sz w:val="22"/>
          <w:szCs w:val="24"/>
        </w:rPr>
      </w:pPr>
    </w:p>
    <w:p w:rsidR="00CB26F0" w:rsidP="00CB26F0">
      <w:pPr>
        <w:rPr>
          <w:sz w:val="22"/>
          <w:szCs w:val="24"/>
        </w:rPr>
      </w:pPr>
      <w:r w:rsidRPr="00CB26F0">
        <w:rPr>
          <w:sz w:val="22"/>
          <w:szCs w:val="24"/>
        </w:rPr>
        <w:t>Sait Bayrakdar, Rory Coulter, Philipp Lersch, Sergi Vidal, Family formation,</w:t>
      </w:r>
      <w:r w:rsidRPr="00CB26F0">
        <w:rPr>
          <w:sz w:val="22"/>
          <w:szCs w:val="24"/>
        </w:rPr>
        <w:t xml:space="preserve"> parental background and young adults’ first entry into homeownership in Britain and Germany, Housing Studies, 2019: </w:t>
      </w:r>
      <w:r>
        <w:fldChar w:fldCharType="begin"/>
      </w:r>
      <w:r>
        <w:instrText xml:space="preserve"> HYPERLINK "https://doi.org/10.1080/02673037.2018.1509949" </w:instrText>
      </w:r>
      <w:r>
        <w:fldChar w:fldCharType="separate"/>
      </w:r>
      <w:r w:rsidRPr="00875A75">
        <w:rPr>
          <w:rStyle w:val="Hyperlink"/>
          <w:sz w:val="22"/>
          <w:szCs w:val="24"/>
        </w:rPr>
        <w:t>https://doi.org/10.1080/02673037.2018.1509949</w:t>
      </w:r>
      <w:r>
        <w:fldChar w:fldCharType="end"/>
      </w:r>
    </w:p>
    <w:p w:rsidR="00576AA2" w:rsidP="00CB26F0">
      <w:pPr>
        <w:rPr>
          <w:sz w:val="22"/>
          <w:szCs w:val="24"/>
        </w:rPr>
      </w:pPr>
    </w:p>
    <w:p w:rsidR="00576AA2" w:rsidRPr="00CB26F0" w:rsidP="00CB26F0">
      <w:pPr>
        <w:rPr>
          <w:sz w:val="22"/>
          <w:szCs w:val="24"/>
        </w:rPr>
      </w:pPr>
      <w:r>
        <w:rPr>
          <w:sz w:val="22"/>
          <w:szCs w:val="24"/>
        </w:rPr>
        <w:t>13.</w:t>
      </w:r>
    </w:p>
    <w:p w:rsidR="00CB26F0" w:rsidRPr="00CB26F0" w:rsidP="00CB26F0">
      <w:pPr>
        <w:rPr>
          <w:sz w:val="22"/>
          <w:szCs w:val="24"/>
        </w:rPr>
      </w:pPr>
    </w:p>
    <w:p w:rsidR="00CB26F0" w:rsidRPr="00CB26F0" w:rsidP="00CB26F0">
      <w:pPr>
        <w:rPr>
          <w:sz w:val="22"/>
          <w:szCs w:val="24"/>
        </w:rPr>
      </w:pPr>
      <w:r w:rsidRPr="00CB26F0">
        <w:rPr>
          <w:sz w:val="22"/>
          <w:szCs w:val="24"/>
        </w:rPr>
        <w:t>Laura Gardiner, Maja Gust</w:t>
      </w:r>
      <w:r w:rsidRPr="00CB26F0">
        <w:rPr>
          <w:sz w:val="22"/>
          <w:szCs w:val="24"/>
        </w:rPr>
        <w:t xml:space="preserve">afsson, Mike Brewer, Karl Handscomb, Kathleen Henehan, Lindsay Judge, </w:t>
      </w:r>
    </w:p>
    <w:p w:rsidR="00CB26F0" w:rsidP="00CB26F0">
      <w:pPr>
        <w:rPr>
          <w:sz w:val="22"/>
          <w:szCs w:val="24"/>
        </w:rPr>
      </w:pPr>
      <w:r w:rsidRPr="00CB26F0">
        <w:rPr>
          <w:sz w:val="22"/>
          <w:szCs w:val="24"/>
        </w:rPr>
        <w:t xml:space="preserve">Fahmida Rahman, An intergenerational audit for the UK, Resolution Foundation, October 2020: </w:t>
      </w:r>
      <w:r>
        <w:fldChar w:fldCharType="begin"/>
      </w:r>
      <w:r>
        <w:instrText xml:space="preserve"> HYPERLINK "https://www.resolutionfoundation.org/publications/intergenerational-audit-uk-2020/" </w:instrText>
      </w:r>
      <w:r>
        <w:fldChar w:fldCharType="separate"/>
      </w:r>
      <w:r w:rsidRPr="00875A75">
        <w:rPr>
          <w:rStyle w:val="Hyperlink"/>
          <w:sz w:val="22"/>
          <w:szCs w:val="24"/>
        </w:rPr>
        <w:t>https://www.resolutionfoundation.org/publications/intergenerational-audit-uk-2020/</w:t>
      </w:r>
      <w:r>
        <w:fldChar w:fldCharType="end"/>
      </w:r>
    </w:p>
    <w:p w:rsidR="00CB26F0" w:rsidRPr="00CB26F0" w:rsidP="00CB26F0">
      <w:pPr>
        <w:rPr>
          <w:sz w:val="22"/>
          <w:szCs w:val="24"/>
        </w:rPr>
      </w:pPr>
    </w:p>
    <w:p w:rsidR="00CB26F0" w:rsidP="00CB26F0">
      <w:pPr>
        <w:rPr>
          <w:sz w:val="22"/>
          <w:szCs w:val="24"/>
        </w:rPr>
      </w:pPr>
      <w:r w:rsidRPr="00CB26F0">
        <w:rPr>
          <w:sz w:val="22"/>
          <w:szCs w:val="24"/>
        </w:rPr>
        <w:t xml:space="preserve">Adam Tinson, Amy Clair, Better housing is crucial for our health and the </w:t>
      </w:r>
      <w:r w:rsidRPr="00CB26F0">
        <w:rPr>
          <w:sz w:val="22"/>
          <w:szCs w:val="24"/>
        </w:rPr>
        <w:t xml:space="preserve">COVID-19 recovery, The Health Foundation, December 2020: </w:t>
      </w:r>
      <w:r>
        <w:fldChar w:fldCharType="begin"/>
      </w:r>
      <w:r>
        <w:instrText xml:space="preserve"> HYPERLINK "https://www.health.org.uk/publications/long-reads/better-housing-is-crucial-for-our-health-and-the-covid-19-recovery" </w:instrText>
      </w:r>
      <w:r>
        <w:fldChar w:fldCharType="separate"/>
      </w:r>
      <w:r w:rsidRPr="00875A75">
        <w:rPr>
          <w:rStyle w:val="Hyperlink"/>
          <w:sz w:val="22"/>
          <w:szCs w:val="24"/>
        </w:rPr>
        <w:t>https://www.health.org.uk/publications/long-reads/better-housing-is-c</w:t>
      </w:r>
      <w:r w:rsidRPr="00875A75">
        <w:rPr>
          <w:rStyle w:val="Hyperlink"/>
          <w:sz w:val="22"/>
          <w:szCs w:val="24"/>
        </w:rPr>
        <w:t>rucial-for-our-health-and-the-covid-19-recovery</w:t>
      </w:r>
      <w:r>
        <w:fldChar w:fldCharType="end"/>
      </w:r>
    </w:p>
    <w:p w:rsidR="00576AA2" w:rsidRPr="00CB26F0" w:rsidP="00CB26F0">
      <w:pPr>
        <w:rPr>
          <w:sz w:val="22"/>
          <w:szCs w:val="24"/>
        </w:rPr>
      </w:pPr>
    </w:p>
    <w:p w:rsidR="00806B94" w:rsidP="00F17914">
      <w:pPr>
        <w:rPr>
          <w:sz w:val="22"/>
          <w:szCs w:val="24"/>
        </w:rPr>
      </w:pPr>
      <w:r>
        <w:rPr>
          <w:sz w:val="22"/>
          <w:szCs w:val="24"/>
        </w:rPr>
        <w:t>14.</w:t>
      </w:r>
    </w:p>
    <w:p w:rsidR="00C545DB" w:rsidP="00F17914">
      <w:pPr>
        <w:rPr>
          <w:sz w:val="22"/>
          <w:szCs w:val="24"/>
        </w:rPr>
      </w:pPr>
    </w:p>
    <w:p w:rsidR="00C545DB" w:rsidP="00F17914">
      <w:pPr>
        <w:rPr>
          <w:sz w:val="22"/>
          <w:szCs w:val="24"/>
        </w:rPr>
      </w:pPr>
      <w:r w:rsidRPr="00C545DB">
        <w:rPr>
          <w:sz w:val="22"/>
          <w:szCs w:val="24"/>
        </w:rPr>
        <w:t>Nissa Finney, Vivian So, David McCollum, Hill Kulu</w:t>
      </w:r>
      <w:r>
        <w:rPr>
          <w:sz w:val="22"/>
          <w:szCs w:val="24"/>
        </w:rPr>
        <w:t xml:space="preserve">, </w:t>
      </w:r>
      <w:r w:rsidRPr="00C545DB">
        <w:rPr>
          <w:sz w:val="22"/>
          <w:szCs w:val="24"/>
        </w:rPr>
        <w:t>Residential mobility in the UK during the coronavirus pandemic: the rise (and rise?) of kinship, roots and boomerang migration?</w:t>
      </w:r>
      <w:r>
        <w:rPr>
          <w:sz w:val="22"/>
          <w:szCs w:val="24"/>
        </w:rPr>
        <w:t xml:space="preserve"> </w:t>
      </w:r>
      <w:r>
        <w:rPr>
          <w:sz w:val="22"/>
          <w:szCs w:val="24"/>
        </w:rPr>
        <w:t xml:space="preserve">Presented at </w:t>
      </w:r>
      <w:r>
        <w:rPr>
          <w:sz w:val="22"/>
          <w:szCs w:val="24"/>
        </w:rPr>
        <w:t>European Network for Housing Research’s</w:t>
      </w:r>
      <w:r w:rsidRPr="00C545DB">
        <w:rPr>
          <w:sz w:val="22"/>
          <w:szCs w:val="24"/>
        </w:rPr>
        <w:t xml:space="preserve"> Housing, Migration and Family Dynamics Workshop, January 2021</w:t>
      </w:r>
      <w:r>
        <w:rPr>
          <w:sz w:val="22"/>
          <w:szCs w:val="24"/>
        </w:rPr>
        <w:t>. Paper forthcoming.</w:t>
      </w:r>
    </w:p>
    <w:p w:rsidR="008A712F" w:rsidP="00F17914">
      <w:pPr>
        <w:rPr>
          <w:sz w:val="22"/>
          <w:szCs w:val="24"/>
        </w:rPr>
      </w:pPr>
    </w:p>
    <w:p w:rsidR="008A712F" w:rsidRPr="008A712F" w:rsidP="00F17914">
      <w:pPr>
        <w:rPr>
          <w:i/>
          <w:iCs/>
          <w:sz w:val="22"/>
          <w:szCs w:val="24"/>
        </w:rPr>
      </w:pPr>
      <w:r>
        <w:rPr>
          <w:i/>
          <w:iCs/>
          <w:sz w:val="22"/>
          <w:szCs w:val="24"/>
        </w:rPr>
        <w:t>June 2021</w:t>
      </w:r>
    </w:p>
    <w:sectPr>
      <w:headerReference w:type="default" r:id="rId4"/>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498564"/>
      <w:docPartObj>
        <w:docPartGallery w:val="Page Numbers (Bottom of Page)"/>
        <w:docPartUnique/>
      </w:docPartObj>
    </w:sdtPr>
    <w:sdtEndPr>
      <w:rPr>
        <w:noProof/>
      </w:rPr>
    </w:sdtEndPr>
    <w:sdtContent>
      <w:p w:rsidR="008A71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A712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12F">
    <w:pPr>
      <w:pStyle w:val="Header"/>
    </w:pPr>
    <w:r>
      <w:t>AER0011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294636"/>
    <w:multiLevelType w:val="multilevel"/>
    <w:tmpl w:val="A346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B6022"/>
    <w:multiLevelType w:val="multilevel"/>
    <w:tmpl w:val="A8182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1C6C4B"/>
    <w:multiLevelType w:val="hybridMultilevel"/>
    <w:tmpl w:val="849CE0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C21E2E"/>
    <w:multiLevelType w:val="hybridMultilevel"/>
    <w:tmpl w:val="0BEA55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2443FF9"/>
    <w:multiLevelType w:val="hybridMultilevel"/>
    <w:tmpl w:val="7AB881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5E31E81"/>
    <w:multiLevelType w:val="multilevel"/>
    <w:tmpl w:val="F74A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512C3A"/>
    <w:multiLevelType w:val="hybridMultilevel"/>
    <w:tmpl w:val="C652E3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4475D6"/>
    <w:multiLevelType w:val="multilevel"/>
    <w:tmpl w:val="B448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943017E"/>
    <w:multiLevelType w:val="hybridMultilevel"/>
    <w:tmpl w:val="720EF1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17F5872"/>
    <w:multiLevelType w:val="hybridMultilevel"/>
    <w:tmpl w:val="BD38A3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9AE57F7"/>
    <w:multiLevelType w:val="hybridMultilevel"/>
    <w:tmpl w:val="0192A2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01579F6"/>
    <w:multiLevelType w:val="hybridMultilevel"/>
    <w:tmpl w:val="EEEEA0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55318A8"/>
    <w:multiLevelType w:val="multilevel"/>
    <w:tmpl w:val="53CE6E2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C736543"/>
    <w:multiLevelType w:val="multilevel"/>
    <w:tmpl w:val="F2A0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0E5B9B"/>
    <w:multiLevelType w:val="hybridMultilevel"/>
    <w:tmpl w:val="12AE24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FD82588"/>
    <w:multiLevelType w:val="hybridMultilevel"/>
    <w:tmpl w:val="224410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5C9261A"/>
    <w:multiLevelType w:val="hybridMultilevel"/>
    <w:tmpl w:val="E1CCC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66630B1"/>
    <w:multiLevelType w:val="hybridMultilevel"/>
    <w:tmpl w:val="73226E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4F22779"/>
    <w:multiLevelType w:val="hybridMultilevel"/>
    <w:tmpl w:val="FF749C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58B35B2"/>
    <w:multiLevelType w:val="hybridMultilevel"/>
    <w:tmpl w:val="3F8ADA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BDC0648"/>
    <w:multiLevelType w:val="hybridMultilevel"/>
    <w:tmpl w:val="C79C5B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D3D4E38"/>
    <w:multiLevelType w:val="hybridMultilevel"/>
    <w:tmpl w:val="E9608C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5"/>
  </w:num>
  <w:num w:numId="4">
    <w:abstractNumId w:val="1"/>
  </w:num>
  <w:num w:numId="5">
    <w:abstractNumId w:val="7"/>
  </w:num>
  <w:num w:numId="6">
    <w:abstractNumId w:val="14"/>
  </w:num>
  <w:num w:numId="7">
    <w:abstractNumId w:val="10"/>
  </w:num>
  <w:num w:numId="8">
    <w:abstractNumId w:val="8"/>
  </w:num>
  <w:num w:numId="9">
    <w:abstractNumId w:val="19"/>
  </w:num>
  <w:num w:numId="10">
    <w:abstractNumId w:val="21"/>
  </w:num>
  <w:num w:numId="11">
    <w:abstractNumId w:val="9"/>
  </w:num>
  <w:num w:numId="12">
    <w:abstractNumId w:val="2"/>
  </w:num>
  <w:num w:numId="13">
    <w:abstractNumId w:val="17"/>
  </w:num>
  <w:num w:numId="14">
    <w:abstractNumId w:val="16"/>
  </w:num>
  <w:num w:numId="15">
    <w:abstractNumId w:val="18"/>
  </w:num>
  <w:num w:numId="16">
    <w:abstractNumId w:val="6"/>
  </w:num>
  <w:num w:numId="17">
    <w:abstractNumId w:val="4"/>
  </w:num>
  <w:num w:numId="18">
    <w:abstractNumId w:val="20"/>
  </w:num>
  <w:num w:numId="19">
    <w:abstractNumId w:val="3"/>
  </w:num>
  <w:num w:numId="20">
    <w:abstractNumId w:val="15"/>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04ED"/>
    <w:rPr>
      <w:color w:val="0563C1" w:themeColor="hyperlink"/>
      <w:u w:val="single"/>
    </w:rPr>
  </w:style>
  <w:style w:type="character" w:customStyle="1" w:styleId="UnresolvedMention1">
    <w:name w:val="Unresolved Mention1"/>
    <w:basedOn w:val="DefaultParagraphFont"/>
    <w:uiPriority w:val="99"/>
    <w:semiHidden/>
    <w:unhideWhenUsed/>
    <w:rsid w:val="000204ED"/>
    <w:rPr>
      <w:color w:val="605E5C"/>
      <w:shd w:val="clear" w:color="auto" w:fill="E1DFDD"/>
    </w:rPr>
  </w:style>
  <w:style w:type="character" w:styleId="FollowedHyperlink">
    <w:name w:val="FollowedHyperlink"/>
    <w:basedOn w:val="DefaultParagraphFont"/>
    <w:uiPriority w:val="99"/>
    <w:semiHidden/>
    <w:unhideWhenUsed/>
    <w:rsid w:val="000204ED"/>
    <w:rPr>
      <w:color w:val="954F72" w:themeColor="followedHyperlink"/>
      <w:u w:val="single"/>
    </w:rPr>
  </w:style>
  <w:style w:type="paragraph" w:styleId="ListParagraph">
    <w:name w:val="List Paragraph"/>
    <w:basedOn w:val="Normal"/>
    <w:uiPriority w:val="34"/>
    <w:qFormat/>
    <w:rsid w:val="00A63E28"/>
    <w:pPr>
      <w:ind w:left="720"/>
      <w:contextualSpacing/>
    </w:pPr>
  </w:style>
  <w:style w:type="character" w:styleId="CommentReference">
    <w:name w:val="annotation reference"/>
    <w:basedOn w:val="DefaultParagraphFont"/>
    <w:uiPriority w:val="99"/>
    <w:semiHidden/>
    <w:unhideWhenUsed/>
    <w:rsid w:val="001D3D14"/>
    <w:rPr>
      <w:sz w:val="16"/>
      <w:szCs w:val="16"/>
    </w:rPr>
  </w:style>
  <w:style w:type="paragraph" w:styleId="CommentText">
    <w:name w:val="annotation text"/>
    <w:basedOn w:val="Normal"/>
    <w:link w:val="CommentTextChar"/>
    <w:uiPriority w:val="99"/>
    <w:semiHidden/>
    <w:unhideWhenUsed/>
    <w:rsid w:val="001D3D14"/>
    <w:rPr>
      <w:szCs w:val="20"/>
    </w:rPr>
  </w:style>
  <w:style w:type="character" w:customStyle="1" w:styleId="CommentTextChar">
    <w:name w:val="Comment Text Char"/>
    <w:basedOn w:val="DefaultParagraphFont"/>
    <w:link w:val="CommentText"/>
    <w:uiPriority w:val="99"/>
    <w:semiHidden/>
    <w:rsid w:val="001D3D14"/>
    <w:rPr>
      <w:szCs w:val="20"/>
    </w:rPr>
  </w:style>
  <w:style w:type="paragraph" w:styleId="CommentSubject">
    <w:name w:val="annotation subject"/>
    <w:basedOn w:val="CommentText"/>
    <w:next w:val="CommentText"/>
    <w:link w:val="CommentSubjectChar"/>
    <w:uiPriority w:val="99"/>
    <w:semiHidden/>
    <w:unhideWhenUsed/>
    <w:rsid w:val="001D3D14"/>
    <w:rPr>
      <w:b/>
      <w:bCs/>
    </w:rPr>
  </w:style>
  <w:style w:type="character" w:customStyle="1" w:styleId="CommentSubjectChar">
    <w:name w:val="Comment Subject Char"/>
    <w:basedOn w:val="CommentTextChar"/>
    <w:link w:val="CommentSubject"/>
    <w:uiPriority w:val="99"/>
    <w:semiHidden/>
    <w:rsid w:val="001D3D14"/>
    <w:rPr>
      <w:b/>
      <w:bCs/>
      <w:szCs w:val="20"/>
    </w:rPr>
  </w:style>
  <w:style w:type="paragraph" w:styleId="BalloonText">
    <w:name w:val="Balloon Text"/>
    <w:basedOn w:val="Normal"/>
    <w:link w:val="BalloonTextChar"/>
    <w:uiPriority w:val="99"/>
    <w:semiHidden/>
    <w:unhideWhenUsed/>
    <w:rsid w:val="001D3D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D14"/>
    <w:rPr>
      <w:rFonts w:ascii="Segoe UI" w:hAnsi="Segoe UI" w:cs="Segoe UI"/>
      <w:sz w:val="18"/>
      <w:szCs w:val="18"/>
    </w:rPr>
  </w:style>
  <w:style w:type="paragraph" w:styleId="Header">
    <w:name w:val="header"/>
    <w:basedOn w:val="Normal"/>
    <w:link w:val="HeaderChar"/>
    <w:uiPriority w:val="99"/>
    <w:unhideWhenUsed/>
    <w:rsid w:val="00FC2E18"/>
    <w:pPr>
      <w:tabs>
        <w:tab w:val="center" w:pos="4513"/>
        <w:tab w:val="right" w:pos="9026"/>
      </w:tabs>
    </w:pPr>
  </w:style>
  <w:style w:type="character" w:customStyle="1" w:styleId="HeaderChar">
    <w:name w:val="Header Char"/>
    <w:basedOn w:val="DefaultParagraphFont"/>
    <w:link w:val="Header"/>
    <w:uiPriority w:val="99"/>
    <w:rsid w:val="00FC2E18"/>
  </w:style>
  <w:style w:type="paragraph" w:styleId="Footer">
    <w:name w:val="footer"/>
    <w:basedOn w:val="Normal"/>
    <w:link w:val="FooterChar"/>
    <w:uiPriority w:val="99"/>
    <w:unhideWhenUsed/>
    <w:rsid w:val="00FC2E18"/>
    <w:pPr>
      <w:tabs>
        <w:tab w:val="center" w:pos="4513"/>
        <w:tab w:val="right" w:pos="9026"/>
      </w:tabs>
    </w:pPr>
  </w:style>
  <w:style w:type="character" w:customStyle="1" w:styleId="FooterChar">
    <w:name w:val="Footer Char"/>
    <w:basedOn w:val="DefaultParagraphFont"/>
    <w:link w:val="Footer"/>
    <w:uiPriority w:val="99"/>
    <w:rsid w:val="00FC2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