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0E9F" w:rsidRPr="000B4999" w:rsidP="000B4999">
      <w:pPr>
        <w:jc w:val="center"/>
        <w:rPr>
          <w:b/>
          <w:bCs/>
          <w:sz w:val="32"/>
          <w:szCs w:val="32"/>
        </w:rPr>
      </w:pPr>
      <w:r w:rsidRPr="000B4999">
        <w:rPr>
          <w:b/>
          <w:bCs/>
          <w:sz w:val="32"/>
          <w:szCs w:val="32"/>
        </w:rPr>
        <w:t xml:space="preserve">Written evidence </w:t>
      </w:r>
      <w:r w:rsidRPr="000B4999" w:rsidR="000B4999">
        <w:rPr>
          <w:b/>
          <w:bCs/>
          <w:sz w:val="32"/>
          <w:szCs w:val="32"/>
        </w:rPr>
        <w:t xml:space="preserve">from </w:t>
      </w:r>
      <w:r w:rsidRPr="000B4999" w:rsidR="000B4999">
        <w:rPr>
          <w:b/>
          <w:bCs/>
          <w:sz w:val="32"/>
          <w:szCs w:val="32"/>
        </w:rPr>
        <w:t>Dr Niamh Murtagh, Prof Alice M Owen, and Dr Kate Simpson</w:t>
      </w:r>
    </w:p>
    <w:p w:rsidR="00DA66DE" w:rsidP="00A469D5">
      <w:pPr>
        <w:rPr>
          <w:sz w:val="32"/>
          <w:szCs w:val="32"/>
        </w:rPr>
      </w:pPr>
    </w:p>
    <w:p w:rsidR="00254F4F" w:rsidP="00A469D5">
      <w:r>
        <w:t>S</w:t>
      </w:r>
      <w:r>
        <w:t>ubmitted by Dr Niamh Murtagh</w:t>
      </w:r>
      <w:r>
        <w:t xml:space="preserve"> (</w:t>
      </w:r>
      <w:r w:rsidRPr="00E42391">
        <w:t xml:space="preserve">The Bartlett School of </w:t>
      </w:r>
      <w:r>
        <w:t xml:space="preserve">Sustainable </w:t>
      </w:r>
      <w:r w:rsidRPr="00E42391">
        <w:t>Construction</w:t>
      </w:r>
      <w:r>
        <w:t xml:space="preserve">, </w:t>
      </w:r>
      <w:r>
        <w:t>University College London</w:t>
      </w:r>
      <w:r>
        <w:t>); Prof Alice M Owen (</w:t>
      </w:r>
      <w:r>
        <w:t xml:space="preserve">School of Earth and Environment, </w:t>
      </w:r>
      <w:r>
        <w:t>University of Leeds</w:t>
      </w:r>
      <w:r>
        <w:t>) and Dr Kate Simpson (</w:t>
      </w:r>
      <w:r>
        <w:t>School of Design Engineering,</w:t>
      </w:r>
      <w:r>
        <w:t xml:space="preserve"> Imperial College London),</w:t>
      </w:r>
      <w:r>
        <w:t xml:space="preserve"> </w:t>
      </w:r>
      <w:r w:rsidRPr="00E42391">
        <w:t>based on</w:t>
      </w:r>
      <w:r>
        <w:t xml:space="preserve"> </w:t>
      </w:r>
      <w:r w:rsidRPr="00E42391">
        <w:t>research</w:t>
      </w:r>
      <w:r>
        <w:t xml:space="preserve"> undertaken with </w:t>
      </w:r>
      <w:r>
        <w:t xml:space="preserve">building </w:t>
      </w:r>
      <w:r>
        <w:t>Repair-</w:t>
      </w:r>
      <w:r>
        <w:t>Maintenance</w:t>
      </w:r>
      <w:r>
        <w:t>-Improve</w:t>
      </w:r>
      <w:r>
        <w:t>ment</w:t>
      </w:r>
      <w:r>
        <w:t xml:space="preserve"> prac</w:t>
      </w:r>
      <w:r>
        <w:t>titioners in England.</w:t>
      </w:r>
    </w:p>
    <w:p w:rsidR="00254F4F" w:rsidP="00A469D5"/>
    <w:p w:rsidR="00254F4F" w:rsidP="00A469D5">
      <w:pPr>
        <w:rPr>
          <w:b/>
        </w:rPr>
      </w:pPr>
      <w:r w:rsidRPr="00254F4F">
        <w:rPr>
          <w:b/>
        </w:rPr>
        <w:t>1. Executive Summary</w:t>
      </w:r>
    </w:p>
    <w:p w:rsidR="003349F4" w:rsidP="003349F4">
      <w:pPr>
        <w:pStyle w:val="ListParagraph"/>
        <w:numPr>
          <w:ilvl w:val="0"/>
          <w:numId w:val="6"/>
        </w:numPr>
      </w:pPr>
      <w:r w:rsidRPr="009D49EA">
        <w:t xml:space="preserve">This </w:t>
      </w:r>
      <w:r>
        <w:t xml:space="preserve">evidence </w:t>
      </w:r>
      <w:r w:rsidRPr="009D49EA">
        <w:t>is based on in-depth, qualitative research with 31 practitioners in the</w:t>
      </w:r>
      <w:r>
        <w:t xml:space="preserve"> </w:t>
      </w:r>
      <w:r w:rsidRPr="009D49EA">
        <w:t>Repair-Maintenance-Improvement (RMI) sector</w:t>
      </w:r>
      <w:r>
        <w:t xml:space="preserve"> in England</w:t>
      </w:r>
      <w:r w:rsidRPr="009D49EA">
        <w:t>,</w:t>
      </w:r>
      <w:r>
        <w:t xml:space="preserve"> most operating in firms of under 10 employees or solo. The study was </w:t>
      </w:r>
      <w:r>
        <w:t>u</w:t>
      </w:r>
      <w:r>
        <w:t xml:space="preserve">ndertaken between 2015 and </w:t>
      </w:r>
      <w:r w:rsidRPr="009D49EA">
        <w:t>201</w:t>
      </w:r>
      <w:r>
        <w:t>8</w:t>
      </w:r>
      <w:r>
        <w:t>. O</w:t>
      </w:r>
      <w:r w:rsidRPr="009D49EA">
        <w:t xml:space="preserve">ur on-going links </w:t>
      </w:r>
      <w:r>
        <w:t xml:space="preserve">with practitioners in this </w:t>
      </w:r>
      <w:r w:rsidRPr="009D49EA">
        <w:t xml:space="preserve">sector (‘small builders’, </w:t>
      </w:r>
      <w:r>
        <w:t xml:space="preserve">tradespeople, </w:t>
      </w:r>
      <w:r w:rsidRPr="009D49EA">
        <w:t>architects</w:t>
      </w:r>
      <w:r>
        <w:t xml:space="preserve"> in micro-enterprise</w:t>
      </w:r>
      <w:r w:rsidRPr="009D49EA">
        <w:t xml:space="preserve">s) indicate no significant changes </w:t>
      </w:r>
      <w:r>
        <w:t>since then</w:t>
      </w:r>
      <w:r w:rsidRPr="009D49EA">
        <w:t xml:space="preserve">. </w:t>
      </w:r>
    </w:p>
    <w:p w:rsidR="003349F4" w:rsidRPr="00EB4B62" w:rsidP="003349F4">
      <w:pPr>
        <w:pStyle w:val="ListParagraph"/>
        <w:numPr>
          <w:ilvl w:val="0"/>
          <w:numId w:val="6"/>
        </w:numPr>
        <w:rPr>
          <w:rFonts w:cstheme="minorHAnsi"/>
        </w:rPr>
      </w:pPr>
      <w:r w:rsidRPr="00EB4B62">
        <w:rPr>
          <w:rFonts w:cstheme="minorHAnsi"/>
        </w:rPr>
        <w:t>The evidence is qualitative and not intended to provide sta</w:t>
      </w:r>
      <w:r w:rsidRPr="00EB4B62">
        <w:rPr>
          <w:rFonts w:cstheme="minorHAnsi"/>
        </w:rPr>
        <w:t xml:space="preserve">tistical generalisation. Rather, it points to beliefs and experiences within the industry which can be leveraged </w:t>
      </w:r>
      <w:r>
        <w:rPr>
          <w:rFonts w:cstheme="minorHAnsi"/>
        </w:rPr>
        <w:t>to achieve</w:t>
      </w:r>
      <w:r w:rsidRPr="00EB4B62">
        <w:rPr>
          <w:rFonts w:cstheme="minorHAnsi"/>
        </w:rPr>
        <w:t xml:space="preserve"> </w:t>
      </w:r>
      <w:r>
        <w:rPr>
          <w:rFonts w:cstheme="minorHAnsi"/>
        </w:rPr>
        <w:t xml:space="preserve">more </w:t>
      </w:r>
      <w:r w:rsidRPr="00EB4B62">
        <w:rPr>
          <w:rFonts w:cstheme="minorHAnsi"/>
        </w:rPr>
        <w:t>effective policy</w:t>
      </w:r>
      <w:r>
        <w:rPr>
          <w:rFonts w:cstheme="minorHAnsi"/>
        </w:rPr>
        <w:t xml:space="preserve"> outcomes</w:t>
      </w:r>
      <w:r w:rsidRPr="00EB4B62">
        <w:rPr>
          <w:rFonts w:cstheme="minorHAnsi"/>
        </w:rPr>
        <w:t xml:space="preserve">. </w:t>
      </w:r>
    </w:p>
    <w:p w:rsidR="003349F4" w:rsidP="003349F4">
      <w:pPr>
        <w:pStyle w:val="ListParagraph"/>
        <w:numPr>
          <w:ilvl w:val="0"/>
          <w:numId w:val="6"/>
        </w:numPr>
      </w:pPr>
      <w:r w:rsidRPr="009D49EA">
        <w:t xml:space="preserve">The Repair-Maintenance-Improvement (RMI) sector works on existing buildings, particularly on homes. </w:t>
      </w:r>
      <w:r>
        <w:t xml:space="preserve">Retaining existing buildings reduces the need for demolition and </w:t>
      </w:r>
      <w:r>
        <w:t>new-build</w:t>
      </w:r>
      <w:r>
        <w:t>, protecting the embodied carbon and social value already present in this stock</w:t>
      </w:r>
    </w:p>
    <w:p w:rsidR="000F6CEA" w:rsidP="003349F4">
      <w:pPr>
        <w:pStyle w:val="ListParagraph"/>
        <w:numPr>
          <w:ilvl w:val="0"/>
          <w:numId w:val="6"/>
        </w:numPr>
      </w:pPr>
      <w:r w:rsidRPr="009D49EA">
        <w:t>Wi</w:t>
      </w:r>
      <w:r w:rsidRPr="009D49EA">
        <w:t xml:space="preserve">th previous estimates that over 80% of </w:t>
      </w:r>
      <w:r>
        <w:t xml:space="preserve">existing </w:t>
      </w:r>
      <w:r w:rsidRPr="009D49EA">
        <w:t xml:space="preserve">UK homes </w:t>
      </w:r>
      <w:r>
        <w:t xml:space="preserve">will still </w:t>
      </w:r>
      <w:r>
        <w:t xml:space="preserve">exist </w:t>
      </w:r>
      <w:r>
        <w:t>in 2050</w:t>
      </w:r>
      <w:r w:rsidRPr="009D49EA">
        <w:t xml:space="preserve">, the RMI sector is a core resource </w:t>
      </w:r>
      <w:r>
        <w:t>to enable the transition of this stock towards</w:t>
      </w:r>
      <w:r w:rsidRPr="009D49EA">
        <w:t xml:space="preserve"> a</w:t>
      </w:r>
      <w:r>
        <w:t xml:space="preserve"> lower </w:t>
      </w:r>
      <w:r>
        <w:t>carbon</w:t>
      </w:r>
      <w:r w:rsidRPr="009D49EA">
        <w:t xml:space="preserve"> built</w:t>
      </w:r>
      <w:r w:rsidRPr="009D49EA">
        <w:t xml:space="preserve"> environment. </w:t>
      </w:r>
    </w:p>
    <w:p w:rsidR="00356B1C" w:rsidRPr="000F6CEA" w:rsidP="000F6CEA">
      <w:pPr>
        <w:pStyle w:val="ListParagraph"/>
        <w:numPr>
          <w:ilvl w:val="0"/>
          <w:numId w:val="6"/>
        </w:numPr>
      </w:pPr>
      <w:r>
        <w:t xml:space="preserve">Much RMI is done by small firms: </w:t>
      </w:r>
      <w:r w:rsidRPr="009D49EA">
        <w:t>three quarters of employ</w:t>
      </w:r>
      <w:r w:rsidRPr="009D49EA">
        <w:t xml:space="preserve">ees </w:t>
      </w:r>
      <w:r>
        <w:t xml:space="preserve">in construction </w:t>
      </w:r>
      <w:r w:rsidRPr="009D49EA">
        <w:t>(1.7 million out of 2.2 million) work in small firms.</w:t>
      </w:r>
      <w:r>
        <w:t xml:space="preserve"> </w:t>
      </w:r>
      <w:r w:rsidRPr="000F6CEA">
        <w:rPr>
          <w:rFonts w:eastAsia="Times New Roman" w:cs="Times New Roman"/>
          <w:lang w:eastAsia="en-GB"/>
        </w:rPr>
        <w:t xml:space="preserve">To achieve a more sustainable built environment, a cultural shift </w:t>
      </w:r>
      <w:r>
        <w:rPr>
          <w:rFonts w:eastAsia="Times New Roman" w:cs="Times New Roman"/>
          <w:lang w:eastAsia="en-GB"/>
        </w:rPr>
        <w:t>is needed.</w:t>
      </w:r>
    </w:p>
    <w:p w:rsidR="009D49EA" w:rsidP="00A469D5">
      <w:pPr>
        <w:pStyle w:val="ListParagraph"/>
        <w:numPr>
          <w:ilvl w:val="0"/>
          <w:numId w:val="6"/>
        </w:numPr>
      </w:pPr>
      <w:r>
        <w:t xml:space="preserve">We examined the motivations which fuel the practitioners, the capabilities they bring to their </w:t>
      </w:r>
      <w:r>
        <w:t>work</w:t>
      </w:r>
      <w:r>
        <w:t xml:space="preserve">, and </w:t>
      </w:r>
      <w:r>
        <w:t xml:space="preserve">the opportunities which either allow them or prevent them from acting </w:t>
      </w:r>
      <w:r>
        <w:t xml:space="preserve">to deliver lower carbon outcomes. </w:t>
      </w:r>
      <w:r>
        <w:t xml:space="preserve"> </w:t>
      </w:r>
    </w:p>
    <w:p w:rsidR="003349F4" w:rsidP="003349F4">
      <w:pPr>
        <w:pStyle w:val="ListParagraph"/>
        <w:numPr>
          <w:ilvl w:val="0"/>
          <w:numId w:val="6"/>
        </w:numPr>
      </w:pPr>
      <w:r>
        <w:t xml:space="preserve">Customer satisfaction, reputation, pride in high-quality outcomes, respect from peers, and maintaining good relationships with co-workers were strong </w:t>
      </w:r>
      <w:r>
        <w:t>motivators for the participants.</w:t>
      </w:r>
    </w:p>
    <w:p w:rsidR="0058752D" w:rsidP="00A469D5">
      <w:pPr>
        <w:pStyle w:val="ListParagraph"/>
        <w:numPr>
          <w:ilvl w:val="0"/>
          <w:numId w:val="6"/>
        </w:numPr>
      </w:pPr>
      <w:r>
        <w:t xml:space="preserve">Beyond earning a livelihood and maintaining a viable business, </w:t>
      </w:r>
      <w:r>
        <w:t xml:space="preserve">business growth or </w:t>
      </w:r>
      <w:r>
        <w:t xml:space="preserve">profit were not primary motivators for these </w:t>
      </w:r>
      <w:r>
        <w:t>practitioners.</w:t>
      </w:r>
    </w:p>
    <w:p w:rsidR="0058752D" w:rsidP="00A469D5">
      <w:pPr>
        <w:pStyle w:val="ListParagraph"/>
        <w:numPr>
          <w:ilvl w:val="0"/>
          <w:numId w:val="6"/>
        </w:numPr>
      </w:pPr>
      <w:r>
        <w:t>Factors which de-motivated and led practitioners away from more sustainable solut</w:t>
      </w:r>
      <w:r>
        <w:t xml:space="preserve">ions </w:t>
      </w:r>
      <w:r>
        <w:t>were:</w:t>
      </w:r>
      <w:r>
        <w:t xml:space="preserve"> perception of increased cost and a lack of confidence in technical standards incl</w:t>
      </w:r>
      <w:r>
        <w:t>uding building regulations.</w:t>
      </w:r>
    </w:p>
    <w:p w:rsidR="0058752D" w:rsidRPr="00C718A6" w:rsidP="00A469D5">
      <w:pPr>
        <w:pStyle w:val="ListParagraph"/>
        <w:numPr>
          <w:ilvl w:val="0"/>
          <w:numId w:val="6"/>
        </w:numPr>
      </w:pPr>
      <w:r w:rsidRPr="0074321D">
        <w:rPr>
          <w:rFonts w:eastAsia="Times New Roman" w:cs="Times New Roman"/>
          <w:lang w:eastAsia="en-GB"/>
        </w:rPr>
        <w:t xml:space="preserve">Practitioners’ focus on customer satisfaction can lead to ‘over-protecting’ the customer from </w:t>
      </w:r>
      <w:r>
        <w:rPr>
          <w:rFonts w:eastAsia="Times New Roman" w:cs="Times New Roman"/>
          <w:lang w:eastAsia="en-GB"/>
        </w:rPr>
        <w:t xml:space="preserve">perceived higher </w:t>
      </w:r>
      <w:r w:rsidRPr="0074321D">
        <w:rPr>
          <w:rFonts w:eastAsia="Times New Roman" w:cs="Times New Roman"/>
          <w:lang w:eastAsia="en-GB"/>
        </w:rPr>
        <w:t>cost</w:t>
      </w:r>
      <w:r>
        <w:rPr>
          <w:rFonts w:eastAsia="Times New Roman" w:cs="Times New Roman"/>
          <w:lang w:eastAsia="en-GB"/>
        </w:rPr>
        <w:t>s associated with ene</w:t>
      </w:r>
      <w:r>
        <w:rPr>
          <w:rFonts w:eastAsia="Times New Roman" w:cs="Times New Roman"/>
          <w:lang w:eastAsia="en-GB"/>
        </w:rPr>
        <w:t>rgy efficiency and sustainable construction</w:t>
      </w:r>
      <w:r w:rsidRPr="0074321D">
        <w:rPr>
          <w:rFonts w:eastAsia="Times New Roman" w:cs="Times New Roman"/>
          <w:lang w:eastAsia="en-GB"/>
        </w:rPr>
        <w:t>.</w:t>
      </w:r>
    </w:p>
    <w:p w:rsidR="00C718A6" w:rsidP="00A469D5">
      <w:pPr>
        <w:pStyle w:val="ListParagraph"/>
        <w:numPr>
          <w:ilvl w:val="0"/>
          <w:numId w:val="6"/>
        </w:numPr>
      </w:pPr>
      <w:r>
        <w:t xml:space="preserve">A perceived lack of clear communication and understanding over building regulation requirements and </w:t>
      </w:r>
      <w:r>
        <w:t xml:space="preserve">policy </w:t>
      </w:r>
      <w:r>
        <w:t>changes created a sense of instability and mistrust.</w:t>
      </w:r>
    </w:p>
    <w:p w:rsidR="001F2FF7" w:rsidRPr="009D49EA" w:rsidP="00A469D5">
      <w:pPr>
        <w:pStyle w:val="ListParagraph"/>
        <w:numPr>
          <w:ilvl w:val="0"/>
          <w:numId w:val="6"/>
        </w:numPr>
      </w:pPr>
      <w:r>
        <w:t>Regulations were also seen as setting a target rath</w:t>
      </w:r>
      <w:r>
        <w:t>er than a minimal baseline, and as being ineffective without resourcing</w:t>
      </w:r>
      <w:r>
        <w:t xml:space="preserve"> </w:t>
      </w:r>
      <w:r>
        <w:t xml:space="preserve">to monitor and penalise non-compliance. </w:t>
      </w:r>
    </w:p>
    <w:p w:rsidR="00C718A6" w:rsidRPr="00C718A6" w:rsidP="00A469D5">
      <w:pPr>
        <w:pStyle w:val="ListParagraph"/>
        <w:numPr>
          <w:ilvl w:val="0"/>
          <w:numId w:val="6"/>
        </w:numPr>
        <w:rPr>
          <w:rFonts w:eastAsia="Times New Roman" w:cs="Times New Roman"/>
          <w:lang w:eastAsia="en-GB"/>
        </w:rPr>
      </w:pPr>
      <w:r>
        <w:t>Practitioners described a</w:t>
      </w:r>
      <w:r w:rsidRPr="00406042">
        <w:t xml:space="preserve"> wide set of capabilities</w:t>
      </w:r>
      <w:r>
        <w:t xml:space="preserve"> beyond technical knowledge</w:t>
      </w:r>
      <w:r w:rsidRPr="00406042">
        <w:t xml:space="preserve">, including task, resource and financial planning, </w:t>
      </w:r>
      <w:r w:rsidRPr="00406042">
        <w:t>materials logis</w:t>
      </w:r>
      <w:r>
        <w:t>tics, organisation, negotiation,</w:t>
      </w:r>
      <w:r>
        <w:t xml:space="preserve"> and management of people.</w:t>
      </w:r>
    </w:p>
    <w:p w:rsidR="00C718A6" w:rsidRPr="00C718A6" w:rsidP="00A469D5">
      <w:pPr>
        <w:pStyle w:val="ListParagraph"/>
        <w:numPr>
          <w:ilvl w:val="0"/>
          <w:numId w:val="6"/>
        </w:numPr>
        <w:rPr>
          <w:rFonts w:eastAsia="Times New Roman" w:cs="Times New Roman"/>
          <w:lang w:eastAsia="en-GB"/>
        </w:rPr>
      </w:pPr>
      <w:r>
        <w:t>Practitioners develop</w:t>
      </w:r>
      <w:r>
        <w:t>ed</w:t>
      </w:r>
      <w:r>
        <w:t xml:space="preserve"> their capability over time and with experience, often over decades in the industry</w:t>
      </w:r>
      <w:r>
        <w:t>.</w:t>
      </w:r>
    </w:p>
    <w:p w:rsidR="00C718A6" w:rsidRPr="00C718A6" w:rsidP="00A469D5">
      <w:pPr>
        <w:pStyle w:val="ListParagraph"/>
        <w:numPr>
          <w:ilvl w:val="0"/>
          <w:numId w:val="6"/>
        </w:numPr>
        <w:rPr>
          <w:rFonts w:eastAsia="Times New Roman" w:cs="Times New Roman"/>
          <w:lang w:eastAsia="en-GB"/>
        </w:rPr>
      </w:pPr>
      <w:r>
        <w:t xml:space="preserve">Practitioners’ networks were essential for accessing knowledge and </w:t>
      </w:r>
      <w:r>
        <w:t>skills,</w:t>
      </w:r>
      <w:r>
        <w:t xml:space="preserve"> and</w:t>
      </w:r>
      <w:r>
        <w:t xml:space="preserve"> were centred on trust. </w:t>
      </w:r>
    </w:p>
    <w:p w:rsidR="005E7FDB" w:rsidRPr="001F2FF7" w:rsidP="005E7FDB">
      <w:pPr>
        <w:pStyle w:val="ListParagraph"/>
        <w:numPr>
          <w:ilvl w:val="0"/>
          <w:numId w:val="6"/>
        </w:numPr>
        <w:rPr>
          <w:rFonts w:eastAsia="Times New Roman" w:cs="Times New Roman"/>
          <w:lang w:eastAsia="en-GB"/>
        </w:rPr>
      </w:pPr>
      <w:r>
        <w:t xml:space="preserve">Training was very limited </w:t>
      </w:r>
      <w:r>
        <w:t xml:space="preserve">amongst these experienced practitioners </w:t>
      </w:r>
      <w:r>
        <w:t>and most learning was through peers and professional networks, such as from</w:t>
      </w:r>
      <w:r w:rsidRPr="005E7FDB">
        <w:t xml:space="preserve"> </w:t>
      </w:r>
      <w:r>
        <w:t>product manufacturers on specific technologies within specific trades.</w:t>
      </w:r>
    </w:p>
    <w:p w:rsidR="0074321D" w:rsidP="00A469D5">
      <w:pPr>
        <w:rPr>
          <w:b/>
        </w:rPr>
      </w:pPr>
    </w:p>
    <w:p w:rsidR="00254F4F" w:rsidP="00A469D5">
      <w:pPr>
        <w:rPr>
          <w:b/>
        </w:rPr>
      </w:pPr>
      <w:r>
        <w:rPr>
          <w:b/>
        </w:rPr>
        <w:t>2. Recommenda</w:t>
      </w:r>
      <w:r>
        <w:rPr>
          <w:b/>
        </w:rPr>
        <w:t>tions</w:t>
      </w:r>
      <w:r>
        <w:rPr>
          <w:b/>
        </w:rPr>
        <w:t xml:space="preserve"> to drive sustainable construction in the RMI sector</w:t>
      </w:r>
    </w:p>
    <w:p w:rsidR="009B6998" w:rsidRPr="009B6998" w:rsidP="00A469D5">
      <w:pPr>
        <w:pStyle w:val="ListParagraph"/>
        <w:numPr>
          <w:ilvl w:val="0"/>
          <w:numId w:val="7"/>
        </w:numPr>
        <w:rPr>
          <w:rFonts w:eastAsia="Times New Roman" w:cs="Times New Roman"/>
          <w:lang w:eastAsia="en-GB"/>
        </w:rPr>
      </w:pPr>
      <w:r>
        <w:rPr>
          <w:rFonts w:cstheme="minorHAnsi"/>
        </w:rPr>
        <w:t>P</w:t>
      </w:r>
      <w:r w:rsidRPr="00367F79">
        <w:rPr>
          <w:rFonts w:cstheme="minorHAnsi"/>
        </w:rPr>
        <w:t>olicy must</w:t>
      </w:r>
      <w:r>
        <w:rPr>
          <w:rFonts w:cstheme="minorHAnsi"/>
        </w:rPr>
        <w:t xml:space="preserve"> recognise</w:t>
      </w:r>
      <w:r w:rsidRPr="00367F79">
        <w:rPr>
          <w:rFonts w:cstheme="minorHAnsi"/>
        </w:rPr>
        <w:t xml:space="preserve"> </w:t>
      </w:r>
      <w:r>
        <w:rPr>
          <w:rFonts w:cstheme="minorHAnsi"/>
        </w:rPr>
        <w:t xml:space="preserve">motivations, current </w:t>
      </w:r>
      <w:r>
        <w:rPr>
          <w:rFonts w:cstheme="minorHAnsi"/>
        </w:rPr>
        <w:t>capabilities</w:t>
      </w:r>
      <w:r>
        <w:rPr>
          <w:rFonts w:cstheme="minorHAnsi"/>
        </w:rPr>
        <w:t xml:space="preserve"> and </w:t>
      </w:r>
      <w:r>
        <w:rPr>
          <w:rFonts w:cstheme="minorHAnsi"/>
        </w:rPr>
        <w:t>contextual op</w:t>
      </w:r>
      <w:r w:rsidRPr="00367F79">
        <w:rPr>
          <w:rFonts w:cstheme="minorHAnsi"/>
        </w:rPr>
        <w:t xml:space="preserve">portunities </w:t>
      </w:r>
      <w:r>
        <w:rPr>
          <w:rFonts w:cstheme="minorHAnsi"/>
        </w:rPr>
        <w:t>which</w:t>
      </w:r>
      <w:r>
        <w:rPr>
          <w:rFonts w:cstheme="minorHAnsi"/>
        </w:rPr>
        <w:t xml:space="preserve">, in combination, </w:t>
      </w:r>
      <w:r>
        <w:rPr>
          <w:rFonts w:cstheme="minorHAnsi"/>
        </w:rPr>
        <w:t>determine how RMI practitioners choose to work.</w:t>
      </w:r>
    </w:p>
    <w:p w:rsidR="000F6CEA" w:rsidRPr="0090347C" w:rsidP="000F6CEA">
      <w:pPr>
        <w:pStyle w:val="ListParagraph"/>
        <w:numPr>
          <w:ilvl w:val="0"/>
          <w:numId w:val="7"/>
        </w:numPr>
        <w:rPr>
          <w:b/>
        </w:rPr>
      </w:pPr>
      <w:r>
        <w:rPr>
          <w:rFonts w:cstheme="minorHAnsi"/>
          <w:iCs/>
        </w:rPr>
        <w:t xml:space="preserve">‘Incentivisation’ must go beyond financial instruments – practitioners are not simply working for profit. </w:t>
      </w:r>
    </w:p>
    <w:p w:rsidR="00356B1C" w:rsidRPr="008A22CF" w:rsidP="000F6CEA">
      <w:pPr>
        <w:pStyle w:val="ListParagraph"/>
        <w:numPr>
          <w:ilvl w:val="0"/>
          <w:numId w:val="7"/>
        </w:numPr>
        <w:rPr>
          <w:rFonts w:eastAsia="Times New Roman" w:cs="Times New Roman"/>
          <w:lang w:eastAsia="en-GB"/>
        </w:rPr>
      </w:pPr>
      <w:r w:rsidRPr="008A22CF">
        <w:rPr>
          <w:rFonts w:eastAsia="Times New Roman" w:cs="Times New Roman"/>
          <w:lang w:eastAsia="en-GB"/>
        </w:rPr>
        <w:t xml:space="preserve">Policy </w:t>
      </w:r>
      <w:r w:rsidRPr="008A22CF">
        <w:rPr>
          <w:rFonts w:eastAsia="Times New Roman" w:cs="Times New Roman"/>
          <w:lang w:eastAsia="en-GB"/>
        </w:rPr>
        <w:t xml:space="preserve">and policy </w:t>
      </w:r>
      <w:r w:rsidRPr="008A22CF">
        <w:rPr>
          <w:rFonts w:eastAsia="Times New Roman" w:cs="Times New Roman"/>
          <w:lang w:eastAsia="en-GB"/>
        </w:rPr>
        <w:t>communications should align</w:t>
      </w:r>
      <w:r w:rsidRPr="008A22CF">
        <w:rPr>
          <w:rFonts w:eastAsia="Times New Roman" w:cs="Times New Roman"/>
          <w:lang w:eastAsia="en-GB"/>
        </w:rPr>
        <w:t xml:space="preserve"> sustainability</w:t>
      </w:r>
      <w:r w:rsidRPr="008A22CF">
        <w:rPr>
          <w:rFonts w:eastAsia="Times New Roman" w:cs="Times New Roman"/>
          <w:lang w:eastAsia="en-GB"/>
        </w:rPr>
        <w:t xml:space="preserve"> goals with RMI practitioners’ motivations to remain in business </w:t>
      </w:r>
      <w:r>
        <w:rPr>
          <w:rFonts w:eastAsia="Times New Roman" w:cs="Times New Roman"/>
          <w:lang w:eastAsia="en-GB"/>
        </w:rPr>
        <w:t xml:space="preserve">in the longer term, </w:t>
      </w:r>
      <w:r w:rsidRPr="008A22CF">
        <w:rPr>
          <w:rFonts w:eastAsia="Times New Roman" w:cs="Times New Roman"/>
          <w:lang w:eastAsia="en-GB"/>
        </w:rPr>
        <w:t xml:space="preserve">to </w:t>
      </w:r>
      <w:r w:rsidRPr="008A22CF">
        <w:rPr>
          <w:rFonts w:eastAsia="Times New Roman" w:cs="Times New Roman"/>
          <w:lang w:eastAsia="en-GB"/>
        </w:rPr>
        <w:t>deliver excellent customer outcomes</w:t>
      </w:r>
      <w:r>
        <w:rPr>
          <w:rFonts w:eastAsia="Times New Roman" w:cs="Times New Roman"/>
          <w:lang w:eastAsia="en-GB"/>
        </w:rPr>
        <w:t xml:space="preserve"> and to maintain a good reputation</w:t>
      </w:r>
      <w:r w:rsidRPr="008A22CF">
        <w:rPr>
          <w:rFonts w:eastAsia="Times New Roman" w:cs="Times New Roman"/>
          <w:lang w:eastAsia="en-GB"/>
        </w:rPr>
        <w:t xml:space="preserve">. </w:t>
      </w:r>
    </w:p>
    <w:p w:rsidR="000F6CEA" w:rsidP="000F6CEA">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7" w:hanging="357"/>
        <w:rPr>
          <w:rFonts w:eastAsia="Times New Roman" w:cs="Times New Roman"/>
          <w:lang w:eastAsia="en-GB"/>
        </w:rPr>
      </w:pPr>
      <w:r>
        <w:rPr>
          <w:rFonts w:eastAsia="Times New Roman" w:cs="Times New Roman"/>
          <w:lang w:eastAsia="en-GB"/>
        </w:rPr>
        <w:t xml:space="preserve">Aligned with policy, </w:t>
      </w:r>
      <w:r w:rsidRPr="00E20CBF">
        <w:rPr>
          <w:rFonts w:eastAsia="Times New Roman" w:cs="Times New Roman"/>
          <w:lang w:eastAsia="en-GB"/>
        </w:rPr>
        <w:t>industry and training bodies</w:t>
      </w:r>
      <w:r>
        <w:rPr>
          <w:rFonts w:eastAsia="Times New Roman" w:cs="Times New Roman"/>
          <w:lang w:eastAsia="en-GB"/>
        </w:rPr>
        <w:t xml:space="preserve"> such as CITB and Supply Chain Sustainability S</w:t>
      </w:r>
      <w:r>
        <w:rPr>
          <w:rFonts w:eastAsia="Times New Roman" w:cs="Times New Roman"/>
          <w:lang w:eastAsia="en-GB"/>
        </w:rPr>
        <w:t>chool</w:t>
      </w:r>
      <w:r w:rsidRPr="00E20CBF">
        <w:rPr>
          <w:rFonts w:eastAsia="Times New Roman" w:cs="Times New Roman"/>
          <w:lang w:eastAsia="en-GB"/>
        </w:rPr>
        <w:t xml:space="preserve"> </w:t>
      </w:r>
      <w:r>
        <w:rPr>
          <w:rFonts w:eastAsia="Times New Roman" w:cs="Times New Roman"/>
          <w:lang w:eastAsia="en-GB"/>
        </w:rPr>
        <w:t xml:space="preserve">should develop and communicate an improved understanding of </w:t>
      </w:r>
      <w:r w:rsidRPr="00E20CBF">
        <w:rPr>
          <w:rFonts w:eastAsia="Times New Roman" w:cs="Times New Roman"/>
          <w:lang w:eastAsia="en-GB"/>
        </w:rPr>
        <w:t xml:space="preserve">the relationship between </w:t>
      </w:r>
      <w:r>
        <w:rPr>
          <w:rFonts w:eastAsia="Times New Roman" w:cs="Times New Roman"/>
          <w:lang w:eastAsia="en-GB"/>
        </w:rPr>
        <w:t xml:space="preserve">specific sustainability outcomes (such as energy efficiency) </w:t>
      </w:r>
      <w:r w:rsidRPr="00E20CBF">
        <w:rPr>
          <w:rFonts w:eastAsia="Times New Roman" w:cs="Times New Roman"/>
          <w:lang w:eastAsia="en-GB"/>
        </w:rPr>
        <w:t xml:space="preserve">and </w:t>
      </w:r>
      <w:r w:rsidRPr="00E20CBF">
        <w:rPr>
          <w:rFonts w:eastAsia="Times New Roman" w:cs="Times New Roman"/>
          <w:lang w:eastAsia="en-GB"/>
        </w:rPr>
        <w:t>high quality</w:t>
      </w:r>
      <w:r w:rsidRPr="00E20CBF">
        <w:rPr>
          <w:rFonts w:eastAsia="Times New Roman" w:cs="Times New Roman"/>
          <w:lang w:eastAsia="en-GB"/>
        </w:rPr>
        <w:t xml:space="preserve"> work, customer benefits and reputation. </w:t>
      </w:r>
    </w:p>
    <w:p w:rsidR="00047327" w:rsidP="002F4646">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7" w:hanging="357"/>
      </w:pPr>
      <w:r w:rsidRPr="00E20CBF">
        <w:rPr>
          <w:rFonts w:eastAsia="Times New Roman" w:cs="Times New Roman"/>
          <w:lang w:eastAsia="en-GB"/>
        </w:rPr>
        <w:t xml:space="preserve">Certification schemes such as </w:t>
      </w:r>
      <w:r>
        <w:rPr>
          <w:rFonts w:eastAsia="Times New Roman" w:cs="Times New Roman"/>
          <w:lang w:eastAsia="en-GB"/>
        </w:rPr>
        <w:t>GasSafe</w:t>
      </w:r>
      <w:r>
        <w:rPr>
          <w:rFonts w:eastAsia="Times New Roman" w:cs="Times New Roman"/>
          <w:lang w:eastAsia="en-GB"/>
        </w:rPr>
        <w:t xml:space="preserve">, </w:t>
      </w:r>
      <w:r>
        <w:rPr>
          <w:rFonts w:eastAsia="Times New Roman" w:cs="Times New Roman"/>
          <w:lang w:eastAsia="en-GB"/>
        </w:rPr>
        <w:t>TrustMa</w:t>
      </w:r>
      <w:r>
        <w:rPr>
          <w:rFonts w:eastAsia="Times New Roman" w:cs="Times New Roman"/>
          <w:lang w:eastAsia="en-GB"/>
        </w:rPr>
        <w:t>rk</w:t>
      </w:r>
      <w:r>
        <w:rPr>
          <w:rFonts w:eastAsia="Times New Roman" w:cs="Times New Roman"/>
          <w:lang w:eastAsia="en-GB"/>
        </w:rPr>
        <w:t xml:space="preserve"> and others sh</w:t>
      </w:r>
      <w:r w:rsidRPr="00E20CBF">
        <w:rPr>
          <w:rFonts w:eastAsia="Times New Roman" w:cs="Times New Roman"/>
          <w:lang w:eastAsia="en-GB"/>
        </w:rPr>
        <w:t>ould require evidence of</w:t>
      </w:r>
      <w:r>
        <w:rPr>
          <w:rFonts w:eastAsia="Times New Roman" w:cs="Times New Roman"/>
          <w:lang w:eastAsia="en-GB"/>
        </w:rPr>
        <w:t xml:space="preserve"> holistic and multi-faceted </w:t>
      </w:r>
      <w:r w:rsidRPr="00E20CBF">
        <w:rPr>
          <w:rFonts w:eastAsia="Times New Roman" w:cs="Times New Roman"/>
          <w:lang w:eastAsia="en-GB"/>
        </w:rPr>
        <w:t xml:space="preserve">knowledge </w:t>
      </w:r>
      <w:r>
        <w:rPr>
          <w:rFonts w:eastAsia="Times New Roman" w:cs="Times New Roman"/>
          <w:lang w:eastAsia="en-GB"/>
        </w:rPr>
        <w:t xml:space="preserve">of sustainability </w:t>
      </w:r>
      <w:r w:rsidRPr="00E20CBF">
        <w:rPr>
          <w:rFonts w:eastAsia="Times New Roman" w:cs="Times New Roman"/>
          <w:lang w:eastAsia="en-GB"/>
        </w:rPr>
        <w:t>concepts and skills</w:t>
      </w:r>
      <w:r>
        <w:rPr>
          <w:rFonts w:eastAsia="Times New Roman" w:cs="Times New Roman"/>
          <w:lang w:eastAsia="en-GB"/>
        </w:rPr>
        <w:t>.</w:t>
      </w:r>
      <w:r>
        <w:t xml:space="preserve"> </w:t>
      </w:r>
    </w:p>
    <w:p w:rsidR="002F4646" w:rsidRPr="009B6998" w:rsidP="002F4646">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7" w:hanging="357"/>
      </w:pPr>
      <w:r>
        <w:t xml:space="preserve">Post-16 </w:t>
      </w:r>
      <w:r>
        <w:t xml:space="preserve">construction </w:t>
      </w:r>
      <w:r>
        <w:t xml:space="preserve">training should encompass practice </w:t>
      </w:r>
      <w:r>
        <w:t xml:space="preserve">in multiple </w:t>
      </w:r>
      <w:r>
        <w:t>trades</w:t>
      </w:r>
      <w:r>
        <w:t>, as practitioners typically work across trade boundaries</w:t>
      </w:r>
      <w:r>
        <w:t>.</w:t>
      </w:r>
    </w:p>
    <w:p w:rsidR="00C04B46" w:rsidP="00A469D5">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7" w:hanging="357"/>
        <w:rPr>
          <w:rFonts w:eastAsia="Times New Roman" w:cs="Times New Roman"/>
          <w:lang w:eastAsia="en-GB"/>
        </w:rPr>
      </w:pPr>
      <w:r>
        <w:rPr>
          <w:rFonts w:eastAsia="Times New Roman" w:cs="Times New Roman"/>
          <w:lang w:eastAsia="en-GB"/>
        </w:rPr>
        <w:t>There</w:t>
      </w:r>
      <w:r>
        <w:rPr>
          <w:rFonts w:eastAsia="Times New Roman" w:cs="Times New Roman"/>
          <w:lang w:eastAsia="en-GB"/>
        </w:rPr>
        <w:t xml:space="preserve"> is a need for dialogue with practitioners to address lack of confidence in technical standards, and</w:t>
      </w:r>
      <w:r>
        <w:rPr>
          <w:rFonts w:eastAsia="Times New Roman" w:cs="Times New Roman"/>
          <w:lang w:eastAsia="en-GB"/>
        </w:rPr>
        <w:t xml:space="preserve"> </w:t>
      </w:r>
      <w:r>
        <w:rPr>
          <w:rFonts w:eastAsia="Times New Roman" w:cs="Times New Roman"/>
          <w:lang w:eastAsia="en-GB"/>
        </w:rPr>
        <w:t xml:space="preserve">to </w:t>
      </w:r>
      <w:r>
        <w:rPr>
          <w:rFonts w:eastAsia="Times New Roman" w:cs="Times New Roman"/>
          <w:lang w:eastAsia="en-GB"/>
        </w:rPr>
        <w:t>challenge</w:t>
      </w:r>
      <w:r>
        <w:rPr>
          <w:rFonts w:eastAsia="Times New Roman" w:cs="Times New Roman"/>
          <w:lang w:eastAsia="en-GB"/>
        </w:rPr>
        <w:t xml:space="preserve"> </w:t>
      </w:r>
      <w:r>
        <w:rPr>
          <w:rFonts w:eastAsia="Times New Roman" w:cs="Times New Roman"/>
          <w:lang w:eastAsia="en-GB"/>
        </w:rPr>
        <w:t xml:space="preserve">limiting </w:t>
      </w:r>
      <w:r>
        <w:rPr>
          <w:rFonts w:eastAsia="Times New Roman" w:cs="Times New Roman"/>
          <w:lang w:eastAsia="en-GB"/>
        </w:rPr>
        <w:t>beliefs</w:t>
      </w:r>
      <w:r>
        <w:rPr>
          <w:rFonts w:eastAsia="Times New Roman" w:cs="Times New Roman"/>
          <w:lang w:eastAsia="en-GB"/>
        </w:rPr>
        <w:t>, particularly on costs and customer benefits.</w:t>
      </w:r>
      <w:r>
        <w:rPr>
          <w:rFonts w:eastAsia="Times New Roman" w:cs="Times New Roman"/>
          <w:lang w:eastAsia="en-GB"/>
        </w:rPr>
        <w:t xml:space="preserve"> </w:t>
      </w:r>
    </w:p>
    <w:p w:rsidR="000F6CEA" w:rsidRPr="002F4646" w:rsidP="000F6CEA">
      <w:pPr>
        <w:pStyle w:val="ListParagraph"/>
        <w:numPr>
          <w:ilvl w:val="0"/>
          <w:numId w:val="1"/>
        </w:numPr>
        <w:rPr>
          <w:b/>
        </w:rPr>
      </w:pPr>
      <w:r>
        <w:rPr>
          <w:rFonts w:cstheme="minorHAnsi"/>
          <w:iCs/>
        </w:rPr>
        <w:t>E</w:t>
      </w:r>
      <w:r w:rsidRPr="0090347C">
        <w:rPr>
          <w:rFonts w:cstheme="minorHAnsi"/>
          <w:iCs/>
        </w:rPr>
        <w:t>xperiential learning on-site and peer-to-peer training</w:t>
      </w:r>
      <w:r>
        <w:rPr>
          <w:rFonts w:cstheme="minorHAnsi"/>
          <w:iCs/>
        </w:rPr>
        <w:t xml:space="preserve"> are recommended.</w:t>
      </w:r>
    </w:p>
    <w:p w:rsidR="002F4646" w:rsidRPr="002F4646" w:rsidP="002F4646">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7" w:hanging="357"/>
        <w:rPr>
          <w:rFonts w:eastAsia="Times New Roman" w:cs="Times New Roman"/>
          <w:lang w:eastAsia="en-GB"/>
        </w:rPr>
      </w:pPr>
      <w:r>
        <w:rPr>
          <w:rFonts w:eastAsia="Times New Roman" w:cs="Times New Roman"/>
          <w:lang w:eastAsia="en-GB"/>
        </w:rPr>
        <w:t>Social</w:t>
      </w:r>
      <w:r w:rsidRPr="00E20CBF">
        <w:rPr>
          <w:rFonts w:eastAsia="Times New Roman" w:cs="Times New Roman"/>
          <w:lang w:eastAsia="en-GB"/>
        </w:rPr>
        <w:t xml:space="preserve"> </w:t>
      </w:r>
      <w:r>
        <w:rPr>
          <w:rFonts w:eastAsia="Times New Roman" w:cs="Times New Roman"/>
          <w:lang w:eastAsia="en-GB"/>
        </w:rPr>
        <w:t>norms in sector networks are influential and can lead to behaviour change. Policy should work with i</w:t>
      </w:r>
      <w:r w:rsidRPr="00E20CBF">
        <w:rPr>
          <w:rFonts w:eastAsia="Times New Roman" w:cs="Times New Roman"/>
          <w:lang w:eastAsia="en-GB"/>
        </w:rPr>
        <w:t>ndustry bodies</w:t>
      </w:r>
      <w:r>
        <w:rPr>
          <w:rFonts w:eastAsia="Times New Roman" w:cs="Times New Roman"/>
          <w:lang w:eastAsia="en-GB"/>
        </w:rPr>
        <w:t xml:space="preserve"> to create</w:t>
      </w:r>
      <w:r w:rsidRPr="00E20CBF">
        <w:rPr>
          <w:rFonts w:eastAsia="Times New Roman" w:cs="Times New Roman"/>
          <w:lang w:eastAsia="en-GB"/>
        </w:rPr>
        <w:t xml:space="preserve"> ‘influencers’, perhaps targeting medium-sized enterprises who may have capacity to undertake training and who can then act as a flagship for change amongst smaller businesses in their networks.</w:t>
      </w:r>
      <w:r>
        <w:rPr>
          <w:rFonts w:eastAsia="Times New Roman" w:cs="Times New Roman"/>
          <w:lang w:eastAsia="en-GB"/>
        </w:rPr>
        <w:t xml:space="preserve"> </w:t>
      </w:r>
      <w:r>
        <w:t>Consideration should be given to incentivising experienced, p</w:t>
      </w:r>
      <w:r>
        <w:t>erhaps older, practitioners as trainers and influencers,</w:t>
      </w:r>
      <w:r>
        <w:t xml:space="preserve"> following</w:t>
      </w:r>
      <w:r>
        <w:t xml:space="preserve"> how current capability has evolved.</w:t>
      </w:r>
    </w:p>
    <w:p w:rsidR="00971ED0" w:rsidRPr="00E3259A" w:rsidP="00971ED0">
      <w:pPr>
        <w:pStyle w:val="ListParagraph"/>
        <w:numPr>
          <w:ilvl w:val="0"/>
          <w:numId w:val="1"/>
        </w:numPr>
        <w:rPr>
          <w:b/>
        </w:rPr>
      </w:pPr>
      <w:r>
        <w:rPr>
          <w:rFonts w:cstheme="minorHAnsi"/>
          <w:iCs/>
        </w:rPr>
        <w:t>Policy must target homeowners as well as practitioners to create market demand for sustainable buildings.</w:t>
      </w:r>
    </w:p>
    <w:p w:rsidR="00F85E3A" w:rsidRPr="002F4646" w:rsidP="00F85E3A">
      <w:pPr>
        <w:pStyle w:val="ListParagraph"/>
        <w:numPr>
          <w:ilvl w:val="0"/>
          <w:numId w:val="1"/>
        </w:numPr>
        <w:ind w:left="357" w:hanging="357"/>
        <w:rPr>
          <w:rFonts w:eastAsia="Times New Roman" w:cs="Times New Roman"/>
          <w:lang w:eastAsia="en-GB"/>
        </w:rPr>
      </w:pPr>
      <w:r w:rsidRPr="0050583F">
        <w:rPr>
          <w:rFonts w:eastAsia="Times New Roman" w:cs="Times New Roman"/>
          <w:lang w:eastAsia="en-GB"/>
        </w:rPr>
        <w:t>Policies and market interventions need to addre</w:t>
      </w:r>
      <w:r w:rsidRPr="0050583F">
        <w:rPr>
          <w:rFonts w:eastAsia="Times New Roman" w:cs="Times New Roman"/>
          <w:lang w:eastAsia="en-GB"/>
        </w:rPr>
        <w:t>ss not only the cost of higher energy efficiency but the perception of cost.</w:t>
      </w:r>
      <w:r>
        <w:rPr>
          <w:rFonts w:eastAsia="Times New Roman" w:cs="Times New Roman"/>
          <w:lang w:eastAsia="en-GB"/>
        </w:rPr>
        <w:t xml:space="preserve"> </w:t>
      </w:r>
    </w:p>
    <w:p w:rsidR="00425894" w:rsidRPr="002F4646" w:rsidP="00A469D5">
      <w:pPr>
        <w:pStyle w:val="ListParagraph"/>
        <w:numPr>
          <w:ilvl w:val="0"/>
          <w:numId w:val="1"/>
        </w:numPr>
        <w:rPr>
          <w:b/>
        </w:rPr>
      </w:pPr>
      <w:r>
        <w:rPr>
          <w:rFonts w:cstheme="minorHAnsi"/>
          <w:iCs/>
        </w:rPr>
        <w:t xml:space="preserve">Policy, </w:t>
      </w:r>
      <w:r>
        <w:rPr>
          <w:rFonts w:cstheme="minorHAnsi"/>
          <w:iCs/>
        </w:rPr>
        <w:t>industry</w:t>
      </w:r>
      <w:r>
        <w:rPr>
          <w:rFonts w:cstheme="minorHAnsi"/>
          <w:iCs/>
        </w:rPr>
        <w:t xml:space="preserve"> and education changes need to recognise that sustainability concepts and goals will continue to evolve as society’s understanding and capacity for change grows. </w:t>
      </w:r>
    </w:p>
    <w:p w:rsidR="00EB4B62" w:rsidP="00A469D5">
      <w:pPr>
        <w:rPr>
          <w:b/>
        </w:rPr>
      </w:pPr>
    </w:p>
    <w:p w:rsidR="00254F4F" w:rsidP="00C023D5">
      <w:pPr>
        <w:spacing w:after="120"/>
        <w:rPr>
          <w:b/>
        </w:rPr>
      </w:pPr>
      <w:r>
        <w:rPr>
          <w:b/>
        </w:rPr>
        <w:t>3. Introduction</w:t>
      </w:r>
    </w:p>
    <w:p w:rsidR="00597D28" w:rsidP="00C023D5">
      <w:pPr>
        <w:spacing w:after="120"/>
      </w:pPr>
      <w:r w:rsidRPr="00597D28">
        <w:t>We are academic researchers from the disciplines of environmental psychology and construction research, investigating how to achieve a more environmentally sustainable built environment. Most academic research in this domain has focused o</w:t>
      </w:r>
      <w:r w:rsidRPr="00597D28">
        <w:t>n large projects and large organisations with relatively little attention paid to the micro-businesses and sole trades</w:t>
      </w:r>
      <w:r>
        <w:t>people</w:t>
      </w:r>
      <w:r w:rsidRPr="00597D28">
        <w:t xml:space="preserve"> who, in fact, form </w:t>
      </w:r>
      <w:r w:rsidRPr="00597D28">
        <w:t>the majority of</w:t>
      </w:r>
      <w:r w:rsidRPr="00597D28">
        <w:t xml:space="preserve"> the construction sector. To address this gap, we interviewed 31 practitioners from around Englan</w:t>
      </w:r>
      <w:r w:rsidRPr="00597D28">
        <w:t>d</w:t>
      </w:r>
      <w:r>
        <w:t>, between</w:t>
      </w:r>
      <w:r w:rsidRPr="00597D28">
        <w:t xml:space="preserve"> 2015 </w:t>
      </w:r>
      <w:r>
        <w:t>and</w:t>
      </w:r>
      <w:r w:rsidRPr="00597D28">
        <w:t xml:space="preserve"> 201</w:t>
      </w:r>
      <w:r>
        <w:t>8</w:t>
      </w:r>
      <w:r w:rsidRPr="00597D28">
        <w:t>, to understand the</w:t>
      </w:r>
      <w:r>
        <w:t>ir</w:t>
      </w:r>
      <w:r w:rsidRPr="00597D28">
        <w:t xml:space="preserve"> experien</w:t>
      </w:r>
      <w:r>
        <w:t xml:space="preserve">ces, </w:t>
      </w:r>
      <w:r>
        <w:t>perceptions</w:t>
      </w:r>
      <w:r>
        <w:t xml:space="preserve"> and beliefs around their work in general and energy-efficiency retrofit in particular</w:t>
      </w:r>
      <w:r>
        <w:t xml:space="preserve"> [1]</w:t>
      </w:r>
      <w:r>
        <w:t xml:space="preserve">. We maintain personal and professional links with individuals in the RMI subsector and we </w:t>
      </w:r>
      <w:r>
        <w:t xml:space="preserve">have </w:t>
      </w:r>
      <w:r>
        <w:t>see</w:t>
      </w:r>
      <w:r>
        <w:t>n</w:t>
      </w:r>
      <w:r>
        <w:t xml:space="preserve"> no major or systematic change since the interviews were conducted – we believe that the findings remain relevant in 2021. </w:t>
      </w:r>
    </w:p>
    <w:p w:rsidR="00F85E3A" w:rsidP="00C664AB">
      <w:pPr>
        <w:ind w:firstLine="720"/>
      </w:pPr>
    </w:p>
    <w:p w:rsidR="00F85E3A" w:rsidRPr="00597D28" w:rsidP="00C664AB">
      <w:pPr>
        <w:ind w:firstLine="720"/>
      </w:pPr>
    </w:p>
    <w:p w:rsidR="00597D28" w:rsidP="00A469D5">
      <w:pPr>
        <w:rPr>
          <w:b/>
        </w:rPr>
      </w:pPr>
    </w:p>
    <w:p w:rsidR="00254F4F" w:rsidP="00C023D5">
      <w:pPr>
        <w:spacing w:after="120"/>
        <w:rPr>
          <w:b/>
        </w:rPr>
      </w:pPr>
      <w:r>
        <w:rPr>
          <w:b/>
        </w:rPr>
        <w:t>4. Background</w:t>
      </w:r>
    </w:p>
    <w:p w:rsidR="00ED40B3" w:rsidP="00AC6B73">
      <w:pPr>
        <w:spacing w:after="120"/>
      </w:pPr>
      <w:r>
        <w:t>4.1</w:t>
      </w:r>
      <w:r>
        <w:t xml:space="preserve"> Although</w:t>
      </w:r>
      <w:r>
        <w:t xml:space="preserve"> policy and research </w:t>
      </w:r>
      <w:r>
        <w:t>tends</w:t>
      </w:r>
      <w:r>
        <w:t xml:space="preserve"> to </w:t>
      </w:r>
      <w:r>
        <w:t xml:space="preserve">focus on large organisations and large projects, 77% of </w:t>
      </w:r>
      <w:r>
        <w:t>construction sector workers in Great Britain work in businesses of fewer than 50 people, and 40% are sole operators [</w:t>
      </w:r>
      <w:r>
        <w:t>2</w:t>
      </w:r>
      <w:r>
        <w:t xml:space="preserve">]. These are the people who work on existing homes on almost every street in the country </w:t>
      </w:r>
      <w:r>
        <w:t>on a daily basis</w:t>
      </w:r>
      <w:r>
        <w:t>. They are, in effect, the ‘army’</w:t>
      </w:r>
      <w:r>
        <w:t xml:space="preserve"> who will deliver (or not) a more sustainable built environment. This subsector of</w:t>
      </w:r>
      <w:r>
        <w:t xml:space="preserve"> RMI</w:t>
      </w:r>
      <w:r>
        <w:t xml:space="preserve"> includes all forms of construction and maintenance on existing homes, from loft extensions to new kitchens. Best estimates value its worth </w:t>
      </w:r>
      <w:r>
        <w:t xml:space="preserve">as 17% of construction output </w:t>
      </w:r>
      <w:r>
        <w:t>[3</w:t>
      </w:r>
      <w:r>
        <w:t xml:space="preserve">] although this may be an underestimate due to the difficulty of tracking very low value economic activity. </w:t>
      </w:r>
    </w:p>
    <w:p w:rsidR="00F233EF" w:rsidP="00AC6B73">
      <w:pPr>
        <w:spacing w:after="120"/>
      </w:pPr>
      <w:r>
        <w:t xml:space="preserve">4.2 </w:t>
      </w:r>
      <w:r>
        <w:t>RMI practitioners are a hard-to-reach subsector and have been considered as be</w:t>
      </w:r>
      <w:r>
        <w:t>yond the reach of policy [</w:t>
      </w:r>
      <w:r>
        <w:t>4</w:t>
      </w:r>
      <w:r>
        <w:t xml:space="preserve">]. Previous </w:t>
      </w:r>
      <w:r>
        <w:t xml:space="preserve">government </w:t>
      </w:r>
      <w:r>
        <w:t>initiatives s</w:t>
      </w:r>
      <w:r>
        <w:t>uch as the ‘Each Home Counts’ review h</w:t>
      </w:r>
      <w:r>
        <w:t>ave overlooked their importance, and the Committee on Climate Change has criticised</w:t>
      </w:r>
      <w:r>
        <w:t xml:space="preserve"> policy for inhibiting </w:t>
      </w:r>
      <w:r>
        <w:t xml:space="preserve">relevant </w:t>
      </w:r>
      <w:r>
        <w:t>skills development</w:t>
      </w:r>
      <w:r>
        <w:t xml:space="preserve"> in this domain</w:t>
      </w:r>
      <w:r>
        <w:t xml:space="preserve"> [5</w:t>
      </w:r>
      <w:r>
        <w:t>]</w:t>
      </w:r>
      <w:r>
        <w:t xml:space="preserve">.  </w:t>
      </w:r>
      <w:r>
        <w:t>We know that the failure of policy such as the Green Deal has r</w:t>
      </w:r>
      <w:r>
        <w:t xml:space="preserve">esulted in a lack of trust for new </w:t>
      </w:r>
      <w:r>
        <w:t>policy amongst practitioners [6]</w:t>
      </w:r>
      <w:r>
        <w:t xml:space="preserve"> and this </w:t>
      </w:r>
      <w:r>
        <w:t xml:space="preserve">is likely to have </w:t>
      </w:r>
      <w:r>
        <w:t>happened again with the Green Homes Grant</w:t>
      </w:r>
      <w:r>
        <w:t xml:space="preserve"> (2020-2021)</w:t>
      </w:r>
      <w:r>
        <w:t xml:space="preserve">. </w:t>
      </w:r>
      <w:r>
        <w:t xml:space="preserve">Yet </w:t>
      </w:r>
      <w:r>
        <w:t xml:space="preserve">the </w:t>
      </w:r>
      <w:r>
        <w:t xml:space="preserve">engagement </w:t>
      </w:r>
      <w:r>
        <w:t xml:space="preserve">of RMI practitioners </w:t>
      </w:r>
      <w:r>
        <w:t>is critical to move the built environment in the UK towards sustai</w:t>
      </w:r>
      <w:r>
        <w:t xml:space="preserve">nability. </w:t>
      </w:r>
      <w:r>
        <w:t>We need to understand the factors influencing the people working in RMI. We need to understand what, in general, they care about in their work, what they are capable of achieving and what opportunities are open to them. These internal and externa</w:t>
      </w:r>
      <w:r>
        <w:t xml:space="preserve">l factors guide the work they choose to do and therefore their likelihood to engage with or to ignore the improved technology and standards in home energy efficiency and environmental sustainability more generally. </w:t>
      </w:r>
    </w:p>
    <w:p w:rsidR="00942BC5" w:rsidP="00AC6B73">
      <w:pPr>
        <w:spacing w:after="120"/>
      </w:pPr>
      <w:r>
        <w:t xml:space="preserve">4.3 </w:t>
      </w:r>
      <w:r>
        <w:t>In our research, w</w:t>
      </w:r>
      <w:r>
        <w:t>e used an establis</w:t>
      </w:r>
      <w:r>
        <w:t xml:space="preserve">hed framework on behaviour: </w:t>
      </w:r>
      <w:r>
        <w:t>the</w:t>
      </w:r>
      <w:r>
        <w:t xml:space="preserve"> Capability-Opportunity-Motivation-Behaviour model (COM-B), previously present</w:t>
      </w:r>
      <w:r>
        <w:t>ed</w:t>
      </w:r>
      <w:r>
        <w:t xml:space="preserve"> to Government [</w:t>
      </w:r>
      <w:r>
        <w:t>7]. The COM-B model encap</w:t>
      </w:r>
      <w:r>
        <w:t xml:space="preserve">sulates the understanding that </w:t>
      </w:r>
      <w:r>
        <w:t>changed behaviour results from a combination of people’s internal motivat</w:t>
      </w:r>
      <w:r>
        <w:t xml:space="preserve">ions to undertake the behaviour, their capacities to do so, and the opportunities in their </w:t>
      </w:r>
      <w:r>
        <w:t xml:space="preserve">surrounding contexts </w:t>
      </w:r>
      <w:r>
        <w:t xml:space="preserve">that </w:t>
      </w:r>
      <w:r>
        <w:t xml:space="preserve">will enable or frustrate their attempts to act. </w:t>
      </w:r>
      <w:r>
        <w:t>In order to</w:t>
      </w:r>
      <w:r>
        <w:t xml:space="preserve"> change behaviour</w:t>
      </w:r>
      <w:r>
        <w:t xml:space="preserve"> to achieve sustainable outcomes</w:t>
      </w:r>
      <w:r>
        <w:t xml:space="preserve">, factors in all three domains </w:t>
      </w:r>
      <w:r>
        <w:t>must be addressed.</w:t>
      </w:r>
    </w:p>
    <w:p w:rsidR="00254F4F" w:rsidP="00C023D5">
      <w:pPr>
        <w:spacing w:after="120"/>
        <w:rPr>
          <w:rFonts w:cstheme="minorHAnsi"/>
          <w:b/>
        </w:rPr>
      </w:pPr>
      <w:r w:rsidRPr="00254F4F">
        <w:rPr>
          <w:rFonts w:cstheme="minorHAnsi"/>
          <w:b/>
        </w:rPr>
        <w:t>Research Method and Participants</w:t>
      </w:r>
    </w:p>
    <w:p w:rsidR="002E0F24" w:rsidP="00A469D5">
      <w:pPr>
        <w:rPr>
          <w:rFonts w:cstheme="minorHAnsi"/>
        </w:rPr>
      </w:pPr>
      <w:r>
        <w:rPr>
          <w:rFonts w:cstheme="minorHAnsi"/>
        </w:rPr>
        <w:t xml:space="preserve">4.4 </w:t>
      </w:r>
      <w:r>
        <w:rPr>
          <w:rFonts w:cstheme="minorHAnsi"/>
        </w:rPr>
        <w:t>A total of 31 q</w:t>
      </w:r>
      <w:r w:rsidRPr="002E0F24">
        <w:rPr>
          <w:rFonts w:cstheme="minorHAnsi"/>
        </w:rPr>
        <w:t>ualitative, semi-structured interviews were conducted around England (</w:t>
      </w:r>
      <w:r>
        <w:rPr>
          <w:rFonts w:cstheme="minorHAnsi"/>
        </w:rPr>
        <w:t xml:space="preserve">Greater </w:t>
      </w:r>
      <w:r w:rsidRPr="002E0F24">
        <w:rPr>
          <w:rFonts w:cstheme="minorHAnsi"/>
        </w:rPr>
        <w:t xml:space="preserve">London, </w:t>
      </w:r>
      <w:r>
        <w:rPr>
          <w:rFonts w:cstheme="minorHAnsi"/>
        </w:rPr>
        <w:t xml:space="preserve">the </w:t>
      </w:r>
      <w:r>
        <w:rPr>
          <w:rFonts w:cstheme="minorHAnsi"/>
        </w:rPr>
        <w:t>North</w:t>
      </w:r>
      <w:r>
        <w:rPr>
          <w:rFonts w:cstheme="minorHAnsi"/>
        </w:rPr>
        <w:t xml:space="preserve"> and the </w:t>
      </w:r>
      <w:r>
        <w:rPr>
          <w:rFonts w:cstheme="minorHAnsi"/>
        </w:rPr>
        <w:t xml:space="preserve">South West). </w:t>
      </w:r>
      <w:r>
        <w:rPr>
          <w:rFonts w:cstheme="minorHAnsi"/>
        </w:rPr>
        <w:t xml:space="preserve">Of the participants, 15 were sole traders and a further 14 worked in firms with fewer than 25 employees. They represented a range of trades, including general builder, heating engineer and bricklayer, and offered services of </w:t>
      </w:r>
      <w:r>
        <w:rPr>
          <w:rFonts w:cstheme="minorHAnsi"/>
        </w:rPr>
        <w:t>a trade, and/or project managem</w:t>
      </w:r>
      <w:r>
        <w:rPr>
          <w:rFonts w:cstheme="minorHAnsi"/>
        </w:rPr>
        <w:t xml:space="preserve">ent and </w:t>
      </w:r>
      <w:r>
        <w:rPr>
          <w:rFonts w:cstheme="minorHAnsi"/>
        </w:rPr>
        <w:t>design.</w:t>
      </w:r>
      <w:r>
        <w:rPr>
          <w:rFonts w:cstheme="minorHAnsi"/>
        </w:rPr>
        <w:t xml:space="preserve"> </w:t>
      </w:r>
      <w:r w:rsidRPr="002E0F24">
        <w:rPr>
          <w:rFonts w:cstheme="minorHAnsi"/>
        </w:rPr>
        <w:t>The interviews included questions on type of wo</w:t>
      </w:r>
      <w:r>
        <w:rPr>
          <w:rFonts w:cstheme="minorHAnsi"/>
        </w:rPr>
        <w:t>rk, subcontracting</w:t>
      </w:r>
      <w:r w:rsidRPr="002E0F24">
        <w:rPr>
          <w:rFonts w:cstheme="minorHAnsi"/>
        </w:rPr>
        <w:t xml:space="preserve">, motivation for the work, customer and market demand, </w:t>
      </w:r>
      <w:r>
        <w:rPr>
          <w:rFonts w:cstheme="minorHAnsi"/>
        </w:rPr>
        <w:t xml:space="preserve">and </w:t>
      </w:r>
      <w:r w:rsidRPr="002E0F24">
        <w:rPr>
          <w:rFonts w:cstheme="minorHAnsi"/>
        </w:rPr>
        <w:t>sources of k</w:t>
      </w:r>
      <w:r>
        <w:rPr>
          <w:rFonts w:cstheme="minorHAnsi"/>
        </w:rPr>
        <w:t>nowledge</w:t>
      </w:r>
      <w:r w:rsidRPr="002E0F24">
        <w:rPr>
          <w:rFonts w:cstheme="minorHAnsi"/>
        </w:rPr>
        <w:t>. The interviews were audio recorded, transcribed verbatim and analysed thematically. In qualita</w:t>
      </w:r>
      <w:r w:rsidRPr="002E0F24">
        <w:rPr>
          <w:rFonts w:cstheme="minorHAnsi"/>
        </w:rPr>
        <w:t xml:space="preserve">tive work, the </w:t>
      </w:r>
      <w:r>
        <w:rPr>
          <w:rFonts w:cstheme="minorHAnsi"/>
        </w:rPr>
        <w:t>aim is not to provide statistical</w:t>
      </w:r>
      <w:r w:rsidRPr="002E0F24">
        <w:rPr>
          <w:rFonts w:cstheme="minorHAnsi"/>
        </w:rPr>
        <w:t xml:space="preserve"> generalisation, which can misrepresent </w:t>
      </w:r>
      <w:r>
        <w:rPr>
          <w:rFonts w:cstheme="minorHAnsi"/>
        </w:rPr>
        <w:t xml:space="preserve">individual </w:t>
      </w:r>
      <w:r w:rsidRPr="002E0F24">
        <w:rPr>
          <w:rFonts w:cstheme="minorHAnsi"/>
        </w:rPr>
        <w:t>experience through aggregation – qualitative analysis is intended to focus in depth on the participants’ experiences. It can provide novel</w:t>
      </w:r>
      <w:r>
        <w:rPr>
          <w:rFonts w:cstheme="minorHAnsi"/>
        </w:rPr>
        <w:t xml:space="preserve"> insights</w:t>
      </w:r>
      <w:r w:rsidRPr="002E0F24">
        <w:rPr>
          <w:rFonts w:cstheme="minorHAnsi"/>
        </w:rPr>
        <w:t xml:space="preserve"> </w:t>
      </w:r>
      <w:r>
        <w:rPr>
          <w:rFonts w:cstheme="minorHAnsi"/>
        </w:rPr>
        <w:t xml:space="preserve">into how </w:t>
      </w:r>
      <w:r>
        <w:rPr>
          <w:rFonts w:cstheme="minorHAnsi"/>
        </w:rPr>
        <w:t xml:space="preserve">people behave, what they experience and </w:t>
      </w:r>
      <w:r w:rsidRPr="002E0F24">
        <w:rPr>
          <w:rFonts w:cstheme="minorHAnsi"/>
        </w:rPr>
        <w:t xml:space="preserve">what </w:t>
      </w:r>
      <w:r>
        <w:rPr>
          <w:rFonts w:cstheme="minorHAnsi"/>
        </w:rPr>
        <w:t xml:space="preserve">they </w:t>
      </w:r>
      <w:r w:rsidRPr="002E0F24">
        <w:rPr>
          <w:rFonts w:cstheme="minorHAnsi"/>
        </w:rPr>
        <w:t>think and believe</w:t>
      </w:r>
      <w:r>
        <w:rPr>
          <w:rFonts w:cstheme="minorHAnsi"/>
        </w:rPr>
        <w:t xml:space="preserve"> about, in this case, their work.</w:t>
      </w:r>
    </w:p>
    <w:p w:rsidR="00F233EF" w:rsidRPr="002E0F24" w:rsidP="00A469D5">
      <w:pPr>
        <w:rPr>
          <w:rFonts w:cstheme="minorHAnsi"/>
        </w:rPr>
      </w:pPr>
    </w:p>
    <w:p w:rsidR="00254F4F" w:rsidP="00C023D5">
      <w:pPr>
        <w:spacing w:after="120"/>
        <w:rPr>
          <w:rFonts w:cstheme="minorHAnsi"/>
          <w:b/>
        </w:rPr>
      </w:pPr>
      <w:r>
        <w:rPr>
          <w:rFonts w:cstheme="minorHAnsi"/>
          <w:b/>
        </w:rPr>
        <w:t>5. Findings</w:t>
      </w:r>
    </w:p>
    <w:p w:rsidR="00DD170F" w:rsidRPr="00FA16BE" w:rsidP="00C023D5">
      <w:pPr>
        <w:spacing w:after="120"/>
        <w:rPr>
          <w:rFonts w:cstheme="minorHAnsi"/>
        </w:rPr>
      </w:pPr>
      <w:r w:rsidRPr="00FA16BE">
        <w:rPr>
          <w:rFonts w:cstheme="minorHAnsi"/>
        </w:rPr>
        <w:t>Table</w:t>
      </w:r>
      <w:r>
        <w:rPr>
          <w:rFonts w:cstheme="minorHAnsi"/>
        </w:rPr>
        <w:t xml:space="preserve"> 1 summarises the major themes from analysis of the interviews.</w:t>
      </w:r>
      <w:r>
        <w:rPr>
          <w:rFonts w:cstheme="minorHAnsi"/>
        </w:rPr>
        <w:t xml:space="preserve"> Some quotations from participants are given in italics.</w:t>
      </w:r>
    </w:p>
    <w:tbl>
      <w:tblPr>
        <w:tblStyle w:val="TableGrid"/>
        <w:tblW w:w="0" w:type="auto"/>
        <w:tblBorders>
          <w:top w:val="nil"/>
          <w:left w:val="nil"/>
          <w:bottom w:val="nil"/>
          <w:right w:val="nil"/>
          <w:insideH w:val="nil"/>
          <w:insideV w:val="nil"/>
        </w:tblBorders>
        <w:tblLook w:val="04A0"/>
      </w:tblPr>
      <w:tblGrid>
        <w:gridCol w:w="4678"/>
        <w:gridCol w:w="1498"/>
      </w:tblGrid>
      <w:tr w:rsidTr="00DD170F">
        <w:tblPrEx>
          <w:tblW w:w="0" w:type="auto"/>
          <w:tblBorders>
            <w:top w:val="nil"/>
            <w:left w:val="nil"/>
            <w:bottom w:val="nil"/>
            <w:right w:val="nil"/>
            <w:insideH w:val="nil"/>
            <w:insideV w:val="nil"/>
          </w:tblBorders>
          <w:tblLook w:val="04A0"/>
        </w:tblPrEx>
        <w:tc>
          <w:tcPr>
            <w:tcW w:w="4678" w:type="dxa"/>
            <w:tcBorders>
              <w:top w:val="single" w:sz="4" w:space="0" w:color="auto"/>
              <w:bottom w:val="single" w:sz="4" w:space="0" w:color="auto"/>
            </w:tcBorders>
          </w:tcPr>
          <w:p w:rsidR="00DD170F" w:rsidRPr="00FD465E" w:rsidP="00BC2952">
            <w:pPr>
              <w:keepNext/>
              <w:keepLines/>
              <w:rPr>
                <w:b/>
              </w:rPr>
            </w:pPr>
            <w:r w:rsidRPr="00FD465E">
              <w:rPr>
                <w:b/>
              </w:rPr>
              <w:t>Theme</w:t>
            </w:r>
          </w:p>
        </w:tc>
        <w:tc>
          <w:tcPr>
            <w:tcW w:w="1498" w:type="dxa"/>
            <w:tcBorders>
              <w:top w:val="single" w:sz="4" w:space="0" w:color="auto"/>
              <w:bottom w:val="single" w:sz="4" w:space="0" w:color="auto"/>
            </w:tcBorders>
          </w:tcPr>
          <w:p w:rsidR="00DD170F" w:rsidRPr="00FD465E" w:rsidP="00BC2952">
            <w:pPr>
              <w:keepNext/>
              <w:keepLines/>
              <w:rPr>
                <w:b/>
              </w:rPr>
            </w:pPr>
            <w:r>
              <w:rPr>
                <w:b/>
              </w:rPr>
              <w:t>High/Medium</w:t>
            </w:r>
          </w:p>
        </w:tc>
      </w:tr>
      <w:tr w:rsidTr="00DD170F">
        <w:tblPrEx>
          <w:tblW w:w="0" w:type="auto"/>
          <w:tblLook w:val="04A0"/>
        </w:tblPrEx>
        <w:tc>
          <w:tcPr>
            <w:tcW w:w="4678" w:type="dxa"/>
            <w:tcBorders>
              <w:top w:val="single" w:sz="4" w:space="0" w:color="auto"/>
            </w:tcBorders>
          </w:tcPr>
          <w:p w:rsidR="00DD170F" w:rsidRPr="00FD465E" w:rsidP="00BC2952">
            <w:pPr>
              <w:keepNext/>
              <w:keepLines/>
              <w:rPr>
                <w:b/>
              </w:rPr>
            </w:pPr>
            <w:r w:rsidRPr="00FD465E">
              <w:rPr>
                <w:b/>
              </w:rPr>
              <w:t>Motivation</w:t>
            </w:r>
            <w:r>
              <w:rPr>
                <w:b/>
              </w:rPr>
              <w:t>s</w:t>
            </w:r>
          </w:p>
        </w:tc>
        <w:tc>
          <w:tcPr>
            <w:tcW w:w="1498" w:type="dxa"/>
            <w:tcBorders>
              <w:top w:val="single" w:sz="4" w:space="0" w:color="auto"/>
            </w:tcBorders>
          </w:tcPr>
          <w:p w:rsidR="00DD170F" w:rsidRPr="00FD465E" w:rsidP="00BC2952">
            <w:pPr>
              <w:keepNext/>
              <w:keepLines/>
              <w:rPr>
                <w:b/>
              </w:rPr>
            </w:pPr>
          </w:p>
        </w:tc>
      </w:tr>
      <w:tr w:rsidTr="00DD170F">
        <w:tblPrEx>
          <w:tblW w:w="0" w:type="auto"/>
          <w:tblLook w:val="04A0"/>
        </w:tblPrEx>
        <w:tc>
          <w:tcPr>
            <w:tcW w:w="4678" w:type="dxa"/>
          </w:tcPr>
          <w:p w:rsidR="00DD170F" w:rsidP="00BC2952">
            <w:pPr>
              <w:keepNext/>
              <w:keepLines/>
            </w:pPr>
            <w:r>
              <w:t>Pride in outcome</w:t>
            </w:r>
          </w:p>
        </w:tc>
        <w:tc>
          <w:tcPr>
            <w:tcW w:w="1498" w:type="dxa"/>
          </w:tcPr>
          <w:p w:rsidR="00DD170F" w:rsidP="00BC2952">
            <w:pPr>
              <w:keepNext/>
              <w:keepLines/>
            </w:pPr>
            <w:r>
              <w:t>High</w:t>
            </w:r>
          </w:p>
        </w:tc>
      </w:tr>
      <w:tr w:rsidTr="00DD170F">
        <w:tblPrEx>
          <w:tblW w:w="0" w:type="auto"/>
          <w:tblLook w:val="04A0"/>
        </w:tblPrEx>
        <w:tc>
          <w:tcPr>
            <w:tcW w:w="4678" w:type="dxa"/>
          </w:tcPr>
          <w:p w:rsidR="00DD170F" w:rsidP="00BC2952">
            <w:pPr>
              <w:keepNext/>
              <w:keepLines/>
            </w:pPr>
            <w:r>
              <w:t>A viable business</w:t>
            </w:r>
          </w:p>
        </w:tc>
        <w:tc>
          <w:tcPr>
            <w:tcW w:w="1498" w:type="dxa"/>
          </w:tcPr>
          <w:p w:rsidR="00DD170F" w:rsidP="00BC2952">
            <w:pPr>
              <w:keepNext/>
              <w:keepLines/>
            </w:pPr>
            <w:r>
              <w:t>High</w:t>
            </w:r>
          </w:p>
        </w:tc>
      </w:tr>
      <w:tr w:rsidTr="00DD170F">
        <w:tblPrEx>
          <w:tblW w:w="0" w:type="auto"/>
          <w:tblLook w:val="04A0"/>
        </w:tblPrEx>
        <w:tc>
          <w:tcPr>
            <w:tcW w:w="4678" w:type="dxa"/>
          </w:tcPr>
          <w:p w:rsidR="00DD170F" w:rsidP="00BC2952">
            <w:pPr>
              <w:keepNext/>
              <w:keepLines/>
            </w:pPr>
            <w:r>
              <w:t>Positive working relationships</w:t>
            </w:r>
          </w:p>
        </w:tc>
        <w:tc>
          <w:tcPr>
            <w:tcW w:w="1498" w:type="dxa"/>
          </w:tcPr>
          <w:p w:rsidR="00DD170F" w:rsidP="00BC2952">
            <w:pPr>
              <w:keepNext/>
              <w:keepLines/>
            </w:pPr>
            <w:r>
              <w:t>High</w:t>
            </w:r>
          </w:p>
        </w:tc>
      </w:tr>
      <w:tr w:rsidTr="00DD170F">
        <w:tblPrEx>
          <w:tblW w:w="0" w:type="auto"/>
          <w:tblLook w:val="04A0"/>
        </w:tblPrEx>
        <w:tc>
          <w:tcPr>
            <w:tcW w:w="4678" w:type="dxa"/>
          </w:tcPr>
          <w:p w:rsidR="00DD170F" w:rsidP="00BC2952">
            <w:pPr>
              <w:keepNext/>
              <w:keepLines/>
            </w:pPr>
            <w:r>
              <w:t>Customer satisfaction</w:t>
            </w:r>
          </w:p>
        </w:tc>
        <w:tc>
          <w:tcPr>
            <w:tcW w:w="1498" w:type="dxa"/>
          </w:tcPr>
          <w:p w:rsidR="00DD170F" w:rsidP="00BC2952">
            <w:pPr>
              <w:keepNext/>
              <w:keepLines/>
            </w:pPr>
            <w:r>
              <w:t>High</w:t>
            </w:r>
          </w:p>
        </w:tc>
      </w:tr>
      <w:tr w:rsidTr="0082056B">
        <w:tblPrEx>
          <w:tblW w:w="0" w:type="auto"/>
          <w:tblLook w:val="04A0"/>
        </w:tblPrEx>
        <w:tc>
          <w:tcPr>
            <w:tcW w:w="4678" w:type="dxa"/>
          </w:tcPr>
          <w:p w:rsidR="00DD170F" w:rsidP="00BC2952">
            <w:pPr>
              <w:keepNext/>
              <w:keepLines/>
            </w:pPr>
            <w:r>
              <w:t>Variety</w:t>
            </w:r>
          </w:p>
        </w:tc>
        <w:tc>
          <w:tcPr>
            <w:tcW w:w="1498" w:type="dxa"/>
          </w:tcPr>
          <w:p w:rsidR="00DD170F" w:rsidP="00BC2952">
            <w:pPr>
              <w:keepNext/>
              <w:keepLines/>
            </w:pPr>
            <w:r>
              <w:t>Medium</w:t>
            </w:r>
          </w:p>
        </w:tc>
      </w:tr>
      <w:tr w:rsidTr="0082056B">
        <w:tblPrEx>
          <w:tblW w:w="0" w:type="auto"/>
          <w:tblLook w:val="04A0"/>
        </w:tblPrEx>
        <w:tc>
          <w:tcPr>
            <w:tcW w:w="4678" w:type="dxa"/>
          </w:tcPr>
          <w:p w:rsidR="00DD170F" w:rsidP="00BC2952">
            <w:pPr>
              <w:keepNext/>
              <w:keepLines/>
            </w:pPr>
            <w:r>
              <w:t>Challenges</w:t>
            </w:r>
          </w:p>
        </w:tc>
        <w:tc>
          <w:tcPr>
            <w:tcW w:w="1498" w:type="dxa"/>
          </w:tcPr>
          <w:p w:rsidR="00DD170F" w:rsidP="00BC2952">
            <w:pPr>
              <w:keepNext/>
              <w:keepLines/>
            </w:pPr>
            <w:r>
              <w:t>Medium</w:t>
            </w:r>
          </w:p>
        </w:tc>
      </w:tr>
      <w:tr w:rsidTr="00DD170F">
        <w:tblPrEx>
          <w:tblW w:w="0" w:type="auto"/>
          <w:tblLook w:val="04A0"/>
        </w:tblPrEx>
        <w:tc>
          <w:tcPr>
            <w:tcW w:w="4678" w:type="dxa"/>
          </w:tcPr>
          <w:p w:rsidR="00DD170F" w:rsidP="00BC2952">
            <w:pPr>
              <w:keepNext/>
              <w:keepLines/>
            </w:pPr>
          </w:p>
        </w:tc>
        <w:tc>
          <w:tcPr>
            <w:tcW w:w="1498" w:type="dxa"/>
          </w:tcPr>
          <w:p w:rsidR="00DD170F" w:rsidP="00BC2952">
            <w:pPr>
              <w:keepNext/>
              <w:keepLines/>
            </w:pPr>
          </w:p>
        </w:tc>
      </w:tr>
      <w:tr w:rsidTr="00DD170F">
        <w:tblPrEx>
          <w:tblW w:w="0" w:type="auto"/>
          <w:tblLook w:val="04A0"/>
        </w:tblPrEx>
        <w:tc>
          <w:tcPr>
            <w:tcW w:w="4678" w:type="dxa"/>
          </w:tcPr>
          <w:p w:rsidR="00DD170F" w:rsidRPr="00F8659C" w:rsidP="00BC2952">
            <w:pPr>
              <w:keepNext/>
              <w:keepLines/>
              <w:rPr>
                <w:b/>
              </w:rPr>
            </w:pPr>
            <w:r w:rsidRPr="00F8659C">
              <w:rPr>
                <w:b/>
              </w:rPr>
              <w:t>Demotivation</w:t>
            </w:r>
            <w:r>
              <w:rPr>
                <w:b/>
              </w:rPr>
              <w:t>s</w:t>
            </w:r>
            <w:r>
              <w:rPr>
                <w:b/>
              </w:rPr>
              <w:t xml:space="preserve"> for energy efficiency</w:t>
            </w:r>
          </w:p>
        </w:tc>
        <w:tc>
          <w:tcPr>
            <w:tcW w:w="1498" w:type="dxa"/>
          </w:tcPr>
          <w:p w:rsidR="00DD170F" w:rsidP="00BC2952">
            <w:pPr>
              <w:keepNext/>
              <w:keepLines/>
            </w:pPr>
          </w:p>
        </w:tc>
      </w:tr>
      <w:tr w:rsidTr="00DD170F">
        <w:tblPrEx>
          <w:tblW w:w="0" w:type="auto"/>
          <w:tblLook w:val="04A0"/>
        </w:tblPrEx>
        <w:tc>
          <w:tcPr>
            <w:tcW w:w="4678" w:type="dxa"/>
          </w:tcPr>
          <w:p w:rsidR="00DD170F" w:rsidP="00BC2952">
            <w:pPr>
              <w:keepNext/>
              <w:keepLines/>
            </w:pPr>
            <w:r>
              <w:t>Perception of increased cost</w:t>
            </w:r>
          </w:p>
        </w:tc>
        <w:tc>
          <w:tcPr>
            <w:tcW w:w="1498" w:type="dxa"/>
          </w:tcPr>
          <w:p w:rsidR="00DD170F" w:rsidP="00BC2952">
            <w:pPr>
              <w:keepNext/>
              <w:keepLines/>
            </w:pPr>
            <w:r>
              <w:t>Medium</w:t>
            </w:r>
          </w:p>
        </w:tc>
      </w:tr>
      <w:tr w:rsidTr="00DD170F">
        <w:tblPrEx>
          <w:tblW w:w="0" w:type="auto"/>
          <w:tblLook w:val="04A0"/>
        </w:tblPrEx>
        <w:tc>
          <w:tcPr>
            <w:tcW w:w="4678" w:type="dxa"/>
          </w:tcPr>
          <w:p w:rsidR="00DD170F" w:rsidP="00BC2952">
            <w:pPr>
              <w:keepNext/>
              <w:keepLines/>
            </w:pPr>
            <w:r>
              <w:t>Lack of confidence in technical standards</w:t>
            </w:r>
          </w:p>
        </w:tc>
        <w:tc>
          <w:tcPr>
            <w:tcW w:w="1498" w:type="dxa"/>
          </w:tcPr>
          <w:p w:rsidR="00DD170F" w:rsidP="00BC2952">
            <w:pPr>
              <w:keepNext/>
              <w:keepLines/>
            </w:pPr>
            <w:r>
              <w:t>Medium</w:t>
            </w:r>
          </w:p>
        </w:tc>
      </w:tr>
      <w:tr w:rsidTr="00DD170F">
        <w:tblPrEx>
          <w:tblW w:w="0" w:type="auto"/>
          <w:tblLook w:val="04A0"/>
        </w:tblPrEx>
        <w:tc>
          <w:tcPr>
            <w:tcW w:w="4678" w:type="dxa"/>
          </w:tcPr>
          <w:p w:rsidR="00DD170F" w:rsidP="00BC2952">
            <w:pPr>
              <w:keepNext/>
              <w:keepLines/>
            </w:pPr>
            <w:r>
              <w:t>Habit, custom and practice in construction</w:t>
            </w:r>
          </w:p>
        </w:tc>
        <w:tc>
          <w:tcPr>
            <w:tcW w:w="1498" w:type="dxa"/>
          </w:tcPr>
          <w:p w:rsidR="00DD170F" w:rsidP="00BC2952">
            <w:pPr>
              <w:keepNext/>
              <w:keepLines/>
            </w:pPr>
            <w:r>
              <w:t>Medium</w:t>
            </w:r>
          </w:p>
        </w:tc>
      </w:tr>
      <w:tr w:rsidTr="005B31B4">
        <w:tblPrEx>
          <w:tblW w:w="0" w:type="auto"/>
          <w:tblLook w:val="04A0"/>
        </w:tblPrEx>
        <w:tc>
          <w:tcPr>
            <w:tcW w:w="4678" w:type="dxa"/>
          </w:tcPr>
          <w:p w:rsidR="005B31B4" w:rsidP="00BC2952">
            <w:pPr>
              <w:keepNext/>
              <w:keepLines/>
              <w:rPr>
                <w:rFonts w:cstheme="minorHAnsi"/>
              </w:rPr>
            </w:pPr>
          </w:p>
        </w:tc>
        <w:tc>
          <w:tcPr>
            <w:tcW w:w="1498" w:type="dxa"/>
          </w:tcPr>
          <w:p w:rsidR="005B31B4" w:rsidRPr="005B31B4" w:rsidP="00BC2952">
            <w:pPr>
              <w:keepNext/>
              <w:keepLines/>
              <w:rPr>
                <w:rFonts w:cstheme="minorHAnsi"/>
              </w:rPr>
            </w:pPr>
          </w:p>
        </w:tc>
      </w:tr>
      <w:tr w:rsidTr="005B31B4">
        <w:tblPrEx>
          <w:tblW w:w="0" w:type="auto"/>
          <w:tblLook w:val="04A0"/>
        </w:tblPrEx>
        <w:tc>
          <w:tcPr>
            <w:tcW w:w="4678" w:type="dxa"/>
          </w:tcPr>
          <w:p w:rsidR="00DD170F" w:rsidRPr="005B31B4" w:rsidP="00BC2952">
            <w:pPr>
              <w:keepNext/>
              <w:keepLines/>
              <w:rPr>
                <w:rFonts w:cstheme="minorHAnsi"/>
                <w:b/>
              </w:rPr>
            </w:pPr>
            <w:r w:rsidRPr="005B31B4">
              <w:rPr>
                <w:rFonts w:cstheme="minorHAnsi"/>
                <w:b/>
              </w:rPr>
              <w:t>Capabilities</w:t>
            </w:r>
          </w:p>
        </w:tc>
        <w:tc>
          <w:tcPr>
            <w:tcW w:w="1498" w:type="dxa"/>
          </w:tcPr>
          <w:p w:rsidR="00DD170F" w:rsidRPr="005B31B4" w:rsidP="00BC2952">
            <w:pPr>
              <w:keepNext/>
              <w:keepLines/>
              <w:rPr>
                <w:rFonts w:cstheme="minorHAnsi"/>
                <w:b/>
              </w:rPr>
            </w:pPr>
          </w:p>
        </w:tc>
      </w:tr>
    </w:tbl>
    <w:tbl>
      <w:tblPr>
        <w:tblStyle w:val="PlainTable41"/>
        <w:tblW w:w="0" w:type="auto"/>
        <w:tblLook w:val="04A0"/>
      </w:tblPr>
      <w:tblGrid>
        <w:gridCol w:w="4650"/>
        <w:gridCol w:w="1361"/>
      </w:tblGrid>
      <w:tr w:rsidTr="00F03788">
        <w:tblPrEx>
          <w:tblW w:w="0" w:type="auto"/>
          <w:tblLook w:val="04A0"/>
        </w:tblPrEx>
        <w:tc>
          <w:tcPr>
            <w:tcW w:w="4650" w:type="dxa"/>
            <w:shd w:val="clear" w:color="auto" w:fill="auto"/>
            <w:hideMark/>
          </w:tcPr>
          <w:p w:rsidR="005B31B4" w:rsidRPr="005B31B4" w:rsidP="00BC2952">
            <w:pPr>
              <w:keepNext/>
              <w:keepLines/>
              <w:rPr>
                <w:rFonts w:cstheme="minorHAnsi"/>
              </w:rPr>
            </w:pPr>
            <w:r w:rsidRPr="005B31B4">
              <w:rPr>
                <w:rFonts w:cstheme="minorHAnsi"/>
                <w:b w:val="0"/>
              </w:rPr>
              <w:t>Know</w:t>
            </w:r>
            <w:r>
              <w:rPr>
                <w:rFonts w:cstheme="minorHAnsi"/>
                <w:b w:val="0"/>
              </w:rPr>
              <w:t>ledge</w:t>
            </w:r>
          </w:p>
        </w:tc>
        <w:tc>
          <w:tcPr>
            <w:tcW w:w="1361" w:type="dxa"/>
            <w:shd w:val="clear" w:color="auto" w:fill="auto"/>
            <w:hideMark/>
          </w:tcPr>
          <w:p w:rsidR="005B31B4" w:rsidRPr="005B31B4" w:rsidP="00BC2952">
            <w:pPr>
              <w:keepNext/>
              <w:keepLines/>
              <w:rPr>
                <w:rFonts w:cstheme="minorHAnsi"/>
              </w:rPr>
            </w:pPr>
            <w:r w:rsidRPr="005B31B4">
              <w:rPr>
                <w:rFonts w:cstheme="minorHAnsi"/>
                <w:b w:val="0"/>
              </w:rPr>
              <w:t>High</w:t>
            </w:r>
          </w:p>
        </w:tc>
      </w:tr>
      <w:tr w:rsidTr="00F03788">
        <w:tblPrEx>
          <w:tblW w:w="0" w:type="auto"/>
          <w:tblLook w:val="04A0"/>
        </w:tblPrEx>
        <w:tc>
          <w:tcPr>
            <w:tcW w:w="4650" w:type="dxa"/>
            <w:shd w:val="clear" w:color="auto" w:fill="auto"/>
            <w:hideMark/>
          </w:tcPr>
          <w:p w:rsidR="005B31B4" w:rsidRPr="005B31B4" w:rsidP="00BC2952">
            <w:pPr>
              <w:keepNext/>
              <w:keepLines/>
              <w:rPr>
                <w:rFonts w:cstheme="minorHAnsi"/>
              </w:rPr>
            </w:pPr>
            <w:r w:rsidRPr="005B31B4">
              <w:rPr>
                <w:rFonts w:cstheme="minorHAnsi"/>
                <w:b w:val="0"/>
              </w:rPr>
              <w:t xml:space="preserve">Manage and co-ordinate people and </w:t>
            </w:r>
            <w:r w:rsidRPr="005B31B4">
              <w:rPr>
                <w:rFonts w:cstheme="minorHAnsi"/>
                <w:b w:val="0"/>
              </w:rPr>
              <w:t>resources</w:t>
            </w:r>
          </w:p>
        </w:tc>
        <w:tc>
          <w:tcPr>
            <w:tcW w:w="1361" w:type="dxa"/>
            <w:shd w:val="clear" w:color="auto" w:fill="auto"/>
            <w:hideMark/>
          </w:tcPr>
          <w:p w:rsidR="005B31B4" w:rsidRPr="005B31B4" w:rsidP="00BC2952">
            <w:pPr>
              <w:keepNext/>
              <w:keepLines/>
              <w:rPr>
                <w:rFonts w:cstheme="minorHAnsi"/>
              </w:rPr>
            </w:pPr>
            <w:r w:rsidRPr="005B31B4">
              <w:rPr>
                <w:rFonts w:cstheme="minorHAnsi"/>
              </w:rPr>
              <w:t>High</w:t>
            </w:r>
          </w:p>
        </w:tc>
      </w:tr>
      <w:tr w:rsidTr="00F03788">
        <w:tblPrEx>
          <w:tblW w:w="0" w:type="auto"/>
          <w:tblLook w:val="04A0"/>
        </w:tblPrEx>
        <w:tc>
          <w:tcPr>
            <w:tcW w:w="4650" w:type="dxa"/>
            <w:shd w:val="clear" w:color="auto" w:fill="auto"/>
            <w:hideMark/>
          </w:tcPr>
          <w:p w:rsidR="005B31B4" w:rsidRPr="005B31B4" w:rsidP="00BC2952">
            <w:pPr>
              <w:keepNext/>
              <w:keepLines/>
              <w:rPr>
                <w:rFonts w:cstheme="minorHAnsi"/>
              </w:rPr>
            </w:pPr>
            <w:r w:rsidRPr="005B31B4">
              <w:rPr>
                <w:rFonts w:cstheme="minorHAnsi"/>
                <w:b w:val="0"/>
              </w:rPr>
              <w:t>Develop and manage positive client relationships</w:t>
            </w:r>
          </w:p>
        </w:tc>
        <w:tc>
          <w:tcPr>
            <w:tcW w:w="1361" w:type="dxa"/>
            <w:shd w:val="clear" w:color="auto" w:fill="auto"/>
            <w:hideMark/>
          </w:tcPr>
          <w:p w:rsidR="005B31B4" w:rsidRPr="005B31B4" w:rsidP="00BC2952">
            <w:pPr>
              <w:keepNext/>
              <w:keepLines/>
              <w:rPr>
                <w:rFonts w:cstheme="minorHAnsi"/>
              </w:rPr>
            </w:pPr>
            <w:r w:rsidRPr="005B31B4">
              <w:rPr>
                <w:rFonts w:cstheme="minorHAnsi"/>
              </w:rPr>
              <w:t>Medium</w:t>
            </w:r>
          </w:p>
        </w:tc>
      </w:tr>
      <w:tr w:rsidTr="00F03788">
        <w:tblPrEx>
          <w:tblW w:w="0" w:type="auto"/>
          <w:tblLook w:val="04A0"/>
        </w:tblPrEx>
        <w:tc>
          <w:tcPr>
            <w:tcW w:w="4650" w:type="dxa"/>
            <w:shd w:val="clear" w:color="auto" w:fill="auto"/>
            <w:hideMark/>
          </w:tcPr>
          <w:p w:rsidR="005B31B4" w:rsidRPr="005B31B4" w:rsidP="00BC2952">
            <w:pPr>
              <w:keepNext/>
              <w:keepLines/>
              <w:rPr>
                <w:rFonts w:cstheme="minorHAnsi"/>
              </w:rPr>
            </w:pPr>
            <w:r w:rsidRPr="005B31B4">
              <w:rPr>
                <w:rFonts w:cstheme="minorHAnsi"/>
                <w:b w:val="0"/>
              </w:rPr>
              <w:t>Problem solving</w:t>
            </w:r>
          </w:p>
        </w:tc>
        <w:tc>
          <w:tcPr>
            <w:tcW w:w="1361" w:type="dxa"/>
            <w:shd w:val="clear" w:color="auto" w:fill="auto"/>
            <w:hideMark/>
          </w:tcPr>
          <w:p w:rsidR="005B31B4" w:rsidRPr="005B31B4" w:rsidP="00BC2952">
            <w:pPr>
              <w:keepNext/>
              <w:keepLines/>
              <w:rPr>
                <w:rFonts w:cstheme="minorHAnsi"/>
              </w:rPr>
            </w:pPr>
            <w:r w:rsidRPr="005B31B4">
              <w:rPr>
                <w:rFonts w:cstheme="minorHAnsi"/>
              </w:rPr>
              <w:t>Medium</w:t>
            </w:r>
          </w:p>
        </w:tc>
      </w:tr>
    </w:tbl>
    <w:tbl>
      <w:tblPr>
        <w:tblStyle w:val="TableGrid"/>
        <w:tblW w:w="0" w:type="auto"/>
        <w:tblBorders>
          <w:top w:val="nil"/>
          <w:left w:val="nil"/>
          <w:bottom w:val="nil"/>
          <w:right w:val="nil"/>
          <w:insideH w:val="nil"/>
          <w:insideV w:val="nil"/>
        </w:tblBorders>
        <w:tblLook w:val="04A0"/>
      </w:tblPr>
      <w:tblGrid>
        <w:gridCol w:w="4678"/>
        <w:gridCol w:w="1498"/>
      </w:tblGrid>
      <w:tr w:rsidTr="005B31B4">
        <w:tblPrEx>
          <w:tblW w:w="0" w:type="auto"/>
          <w:tblBorders>
            <w:top w:val="nil"/>
            <w:left w:val="nil"/>
            <w:bottom w:val="nil"/>
            <w:right w:val="nil"/>
            <w:insideH w:val="nil"/>
            <w:insideV w:val="nil"/>
          </w:tblBorders>
          <w:tblLook w:val="04A0"/>
        </w:tblPrEx>
        <w:tc>
          <w:tcPr>
            <w:tcW w:w="4678" w:type="dxa"/>
          </w:tcPr>
          <w:p w:rsidR="005B31B4" w:rsidP="00BC2952">
            <w:pPr>
              <w:keepNext/>
              <w:keepLines/>
              <w:rPr>
                <w:rFonts w:cstheme="minorHAnsi"/>
              </w:rPr>
            </w:pPr>
          </w:p>
        </w:tc>
        <w:tc>
          <w:tcPr>
            <w:tcW w:w="1498" w:type="dxa"/>
          </w:tcPr>
          <w:p w:rsidR="005B31B4" w:rsidRPr="005B31B4" w:rsidP="00BC2952">
            <w:pPr>
              <w:keepNext/>
              <w:keepLines/>
              <w:rPr>
                <w:rFonts w:cstheme="minorHAnsi"/>
              </w:rPr>
            </w:pPr>
          </w:p>
        </w:tc>
      </w:tr>
      <w:tr w:rsidTr="005B31B4">
        <w:tblPrEx>
          <w:tblW w:w="0" w:type="auto"/>
          <w:tblLook w:val="04A0"/>
        </w:tblPrEx>
        <w:tc>
          <w:tcPr>
            <w:tcW w:w="4678" w:type="dxa"/>
          </w:tcPr>
          <w:p w:rsidR="005B31B4" w:rsidRPr="005B31B4" w:rsidP="00BC2952">
            <w:pPr>
              <w:keepNext/>
              <w:keepLines/>
              <w:rPr>
                <w:rFonts w:cstheme="minorHAnsi"/>
                <w:b/>
              </w:rPr>
            </w:pPr>
            <w:r w:rsidRPr="005B31B4">
              <w:rPr>
                <w:rFonts w:cstheme="minorHAnsi"/>
                <w:b/>
              </w:rPr>
              <w:t>Opportunities</w:t>
            </w:r>
          </w:p>
        </w:tc>
        <w:tc>
          <w:tcPr>
            <w:tcW w:w="1498" w:type="dxa"/>
          </w:tcPr>
          <w:p w:rsidR="005B31B4" w:rsidRPr="005B31B4" w:rsidP="00BC2952">
            <w:pPr>
              <w:keepNext/>
              <w:keepLines/>
              <w:rPr>
                <w:rFonts w:cstheme="minorHAnsi"/>
                <w:b/>
              </w:rPr>
            </w:pPr>
          </w:p>
        </w:tc>
      </w:tr>
    </w:tbl>
    <w:tbl>
      <w:tblPr>
        <w:tblStyle w:val="PlainTable41"/>
        <w:tblW w:w="6642" w:type="dxa"/>
        <w:tblLook w:val="04A0"/>
      </w:tblPr>
      <w:tblGrid>
        <w:gridCol w:w="4678"/>
        <w:gridCol w:w="1964"/>
      </w:tblGrid>
      <w:tr w:rsidTr="00F03788">
        <w:tblPrEx>
          <w:tblW w:w="6642" w:type="dxa"/>
          <w:tblLook w:val="04A0"/>
        </w:tblPrEx>
        <w:trPr>
          <w:trHeight w:val="205"/>
        </w:trPr>
        <w:tc>
          <w:tcPr>
            <w:tcW w:w="4678" w:type="dxa"/>
            <w:shd w:val="clear" w:color="auto" w:fill="auto"/>
            <w:hideMark/>
          </w:tcPr>
          <w:p w:rsidR="005B31B4" w:rsidRPr="005B31B4" w:rsidP="00BC2952">
            <w:pPr>
              <w:keepNext/>
              <w:keepLines/>
              <w:rPr>
                <w:rFonts w:cstheme="minorHAnsi"/>
              </w:rPr>
            </w:pPr>
            <w:r w:rsidRPr="005B31B4">
              <w:rPr>
                <w:rFonts w:cstheme="minorHAnsi"/>
                <w:b w:val="0"/>
              </w:rPr>
              <w:t>Building regulations and standards</w:t>
            </w:r>
          </w:p>
        </w:tc>
        <w:tc>
          <w:tcPr>
            <w:tcW w:w="1964" w:type="dxa"/>
            <w:shd w:val="clear" w:color="auto" w:fill="auto"/>
            <w:hideMark/>
          </w:tcPr>
          <w:p w:rsidR="005B31B4" w:rsidRPr="005B31B4" w:rsidP="00BC2952">
            <w:pPr>
              <w:keepNext/>
              <w:keepLines/>
              <w:rPr>
                <w:rFonts w:cstheme="minorHAnsi"/>
              </w:rPr>
            </w:pPr>
            <w:r w:rsidRPr="005B31B4">
              <w:rPr>
                <w:rFonts w:cstheme="minorHAnsi"/>
                <w:b w:val="0"/>
              </w:rPr>
              <w:t>Medium</w:t>
            </w:r>
          </w:p>
        </w:tc>
      </w:tr>
      <w:tr w:rsidTr="00F03788">
        <w:tblPrEx>
          <w:tblW w:w="6642" w:type="dxa"/>
          <w:tblLook w:val="04A0"/>
        </w:tblPrEx>
        <w:trPr>
          <w:trHeight w:val="205"/>
        </w:trPr>
        <w:tc>
          <w:tcPr>
            <w:tcW w:w="4678" w:type="dxa"/>
            <w:shd w:val="clear" w:color="auto" w:fill="auto"/>
            <w:hideMark/>
          </w:tcPr>
          <w:p w:rsidR="005B31B4" w:rsidRPr="005B31B4" w:rsidP="00BC2952">
            <w:pPr>
              <w:keepNext/>
              <w:keepLines/>
              <w:rPr>
                <w:rFonts w:cstheme="minorHAnsi"/>
              </w:rPr>
            </w:pPr>
            <w:r>
              <w:rPr>
                <w:rFonts w:cstheme="minorHAnsi"/>
                <w:b w:val="0"/>
              </w:rPr>
              <w:t xml:space="preserve">Market and </w:t>
            </w:r>
            <w:r w:rsidRPr="005B31B4">
              <w:rPr>
                <w:rFonts w:cstheme="minorHAnsi"/>
                <w:b w:val="0"/>
              </w:rPr>
              <w:t>customer demand</w:t>
            </w:r>
          </w:p>
        </w:tc>
        <w:tc>
          <w:tcPr>
            <w:tcW w:w="1964" w:type="dxa"/>
            <w:shd w:val="clear" w:color="auto" w:fill="auto"/>
            <w:hideMark/>
          </w:tcPr>
          <w:p w:rsidR="005B31B4" w:rsidRPr="005B31B4" w:rsidP="00BC2952">
            <w:pPr>
              <w:keepNext/>
              <w:keepLines/>
              <w:rPr>
                <w:rFonts w:cstheme="minorHAnsi"/>
              </w:rPr>
            </w:pPr>
            <w:r w:rsidRPr="005B31B4">
              <w:rPr>
                <w:rFonts w:cstheme="minorHAnsi"/>
              </w:rPr>
              <w:t>Medium</w:t>
            </w:r>
          </w:p>
        </w:tc>
      </w:tr>
      <w:tr w:rsidTr="00F03788">
        <w:tblPrEx>
          <w:tblW w:w="6642" w:type="dxa"/>
          <w:tblLook w:val="04A0"/>
        </w:tblPrEx>
        <w:trPr>
          <w:trHeight w:val="205"/>
        </w:trPr>
        <w:tc>
          <w:tcPr>
            <w:tcW w:w="4678" w:type="dxa"/>
            <w:shd w:val="clear" w:color="auto" w:fill="auto"/>
            <w:hideMark/>
          </w:tcPr>
          <w:p w:rsidR="005B31B4" w:rsidRPr="005B31B4" w:rsidP="00BC2952">
            <w:pPr>
              <w:keepNext/>
              <w:keepLines/>
              <w:rPr>
                <w:rFonts w:cstheme="minorHAnsi"/>
              </w:rPr>
            </w:pPr>
            <w:r w:rsidRPr="005B31B4">
              <w:rPr>
                <w:rFonts w:cstheme="minorHAnsi"/>
                <w:b w:val="0"/>
              </w:rPr>
              <w:t>Technology feasibility</w:t>
            </w:r>
          </w:p>
        </w:tc>
        <w:tc>
          <w:tcPr>
            <w:tcW w:w="1964" w:type="dxa"/>
            <w:shd w:val="clear" w:color="auto" w:fill="auto"/>
            <w:hideMark/>
          </w:tcPr>
          <w:p w:rsidR="005B31B4" w:rsidRPr="005B31B4" w:rsidP="00BC2952">
            <w:pPr>
              <w:keepNext/>
              <w:keepLines/>
              <w:rPr>
                <w:rFonts w:cstheme="minorHAnsi"/>
              </w:rPr>
            </w:pPr>
            <w:r w:rsidRPr="005B31B4">
              <w:rPr>
                <w:rFonts w:cstheme="minorHAnsi"/>
              </w:rPr>
              <w:t>Medium</w:t>
            </w:r>
          </w:p>
        </w:tc>
      </w:tr>
      <w:tr w:rsidTr="00F03788">
        <w:tblPrEx>
          <w:tblW w:w="6642" w:type="dxa"/>
          <w:tblLook w:val="04A0"/>
        </w:tblPrEx>
        <w:trPr>
          <w:trHeight w:val="205"/>
        </w:trPr>
        <w:tc>
          <w:tcPr>
            <w:tcW w:w="4678" w:type="dxa"/>
            <w:shd w:val="clear" w:color="auto" w:fill="auto"/>
            <w:hideMark/>
          </w:tcPr>
          <w:p w:rsidR="005B31B4" w:rsidRPr="005B31B4" w:rsidP="00BC2952">
            <w:pPr>
              <w:keepNext/>
              <w:keepLines/>
              <w:rPr>
                <w:rFonts w:cstheme="minorHAnsi"/>
              </w:rPr>
            </w:pPr>
            <w:r w:rsidRPr="005B31B4">
              <w:rPr>
                <w:rFonts w:cstheme="minorHAnsi"/>
                <w:b w:val="0"/>
              </w:rPr>
              <w:t xml:space="preserve">Networks and trade </w:t>
            </w:r>
            <w:r w:rsidRPr="005B31B4">
              <w:rPr>
                <w:rFonts w:cstheme="minorHAnsi"/>
                <w:b w:val="0"/>
              </w:rPr>
              <w:t>associations</w:t>
            </w:r>
          </w:p>
        </w:tc>
        <w:tc>
          <w:tcPr>
            <w:tcW w:w="1964" w:type="dxa"/>
            <w:shd w:val="clear" w:color="auto" w:fill="auto"/>
            <w:hideMark/>
          </w:tcPr>
          <w:p w:rsidR="005B31B4" w:rsidRPr="005B31B4" w:rsidP="00BC2952">
            <w:pPr>
              <w:keepNext/>
              <w:keepLines/>
              <w:rPr>
                <w:rFonts w:cstheme="minorHAnsi"/>
              </w:rPr>
            </w:pPr>
            <w:r w:rsidRPr="005B31B4">
              <w:rPr>
                <w:rFonts w:cstheme="minorHAnsi"/>
              </w:rPr>
              <w:t>Medium</w:t>
            </w:r>
          </w:p>
        </w:tc>
      </w:tr>
      <w:tr w:rsidTr="00F03788">
        <w:tblPrEx>
          <w:tblW w:w="6642" w:type="dxa"/>
          <w:tblLook w:val="04A0"/>
        </w:tblPrEx>
        <w:trPr>
          <w:trHeight w:val="211"/>
        </w:trPr>
        <w:tc>
          <w:tcPr>
            <w:tcW w:w="4678" w:type="dxa"/>
            <w:shd w:val="clear" w:color="auto" w:fill="auto"/>
            <w:hideMark/>
          </w:tcPr>
          <w:p w:rsidR="005B31B4" w:rsidRPr="005B31B4" w:rsidP="00BC2952">
            <w:pPr>
              <w:keepNext/>
              <w:keepLines/>
              <w:rPr>
                <w:rFonts w:cstheme="minorHAnsi"/>
              </w:rPr>
            </w:pPr>
            <w:r w:rsidRPr="005B31B4">
              <w:rPr>
                <w:rFonts w:cstheme="minorHAnsi"/>
                <w:b w:val="0"/>
              </w:rPr>
              <w:t>Reputation</w:t>
            </w:r>
          </w:p>
        </w:tc>
        <w:tc>
          <w:tcPr>
            <w:tcW w:w="1964" w:type="dxa"/>
            <w:shd w:val="clear" w:color="auto" w:fill="auto"/>
            <w:hideMark/>
          </w:tcPr>
          <w:p w:rsidR="005B31B4" w:rsidRPr="005B31B4" w:rsidP="00BC2952">
            <w:pPr>
              <w:keepNext/>
              <w:keepLines/>
              <w:rPr>
                <w:rFonts w:cstheme="minorHAnsi"/>
              </w:rPr>
            </w:pPr>
            <w:r w:rsidRPr="005B31B4">
              <w:rPr>
                <w:rFonts w:cstheme="minorHAnsi"/>
              </w:rPr>
              <w:t>Medium</w:t>
            </w:r>
          </w:p>
        </w:tc>
      </w:tr>
    </w:tbl>
    <w:tbl>
      <w:tblPr>
        <w:tblStyle w:val="TableGrid"/>
        <w:tblW w:w="0" w:type="auto"/>
        <w:tblBorders>
          <w:top w:val="nil"/>
          <w:left w:val="nil"/>
          <w:bottom w:val="nil"/>
          <w:right w:val="nil"/>
          <w:insideH w:val="nil"/>
          <w:insideV w:val="nil"/>
        </w:tblBorders>
        <w:tblLook w:val="04A0"/>
      </w:tblPr>
      <w:tblGrid>
        <w:gridCol w:w="4678"/>
        <w:gridCol w:w="1498"/>
      </w:tblGrid>
      <w:tr w:rsidTr="00DD170F">
        <w:tblPrEx>
          <w:tblW w:w="0" w:type="auto"/>
          <w:tblBorders>
            <w:top w:val="nil"/>
            <w:left w:val="nil"/>
            <w:bottom w:val="nil"/>
            <w:right w:val="nil"/>
            <w:insideH w:val="nil"/>
            <w:insideV w:val="nil"/>
          </w:tblBorders>
          <w:tblLook w:val="04A0"/>
        </w:tblPrEx>
        <w:tc>
          <w:tcPr>
            <w:tcW w:w="4678" w:type="dxa"/>
            <w:tcBorders>
              <w:bottom w:val="single" w:sz="4" w:space="0" w:color="auto"/>
            </w:tcBorders>
          </w:tcPr>
          <w:p w:rsidR="005B31B4" w:rsidP="00BC2952">
            <w:pPr>
              <w:keepNext/>
              <w:keepLines/>
            </w:pPr>
          </w:p>
        </w:tc>
        <w:tc>
          <w:tcPr>
            <w:tcW w:w="1498" w:type="dxa"/>
            <w:tcBorders>
              <w:bottom w:val="single" w:sz="4" w:space="0" w:color="auto"/>
            </w:tcBorders>
          </w:tcPr>
          <w:p w:rsidR="005B31B4" w:rsidP="00BC2952">
            <w:pPr>
              <w:keepNext/>
              <w:keepLines/>
            </w:pPr>
          </w:p>
        </w:tc>
      </w:tr>
    </w:tbl>
    <w:p w:rsidR="00DD170F" w:rsidRPr="002F02C5" w:rsidP="00BC2952">
      <w:pPr>
        <w:keepNext/>
        <w:keepLines/>
        <w:spacing w:after="120"/>
        <w:rPr>
          <w:rFonts w:cstheme="minorHAnsi"/>
          <w:sz w:val="20"/>
          <w:szCs w:val="20"/>
        </w:rPr>
      </w:pPr>
      <w:r w:rsidRPr="002F02C5">
        <w:rPr>
          <w:rFonts w:cstheme="minorHAnsi"/>
          <w:sz w:val="20"/>
          <w:szCs w:val="20"/>
        </w:rPr>
        <w:t>Key: High – referenced by more than 20 participants; Medium – referenced by between 10 and 20</w:t>
      </w:r>
      <w:r w:rsidRPr="002F02C5">
        <w:rPr>
          <w:rFonts w:cstheme="minorHAnsi"/>
          <w:sz w:val="20"/>
          <w:szCs w:val="20"/>
        </w:rPr>
        <w:t xml:space="preserve"> participants</w:t>
      </w:r>
      <w:r w:rsidRPr="002F02C5">
        <w:rPr>
          <w:rFonts w:cstheme="minorHAnsi"/>
          <w:sz w:val="20"/>
          <w:szCs w:val="20"/>
        </w:rPr>
        <w:t xml:space="preserve"> </w:t>
      </w:r>
    </w:p>
    <w:p w:rsidR="00D67181" w:rsidP="00C023D5">
      <w:pPr>
        <w:spacing w:after="120"/>
        <w:rPr>
          <w:rFonts w:cstheme="minorHAnsi"/>
          <w:b/>
        </w:rPr>
      </w:pPr>
      <w:r>
        <w:rPr>
          <w:rFonts w:cstheme="minorHAnsi"/>
          <w:b/>
        </w:rPr>
        <w:t>Motivations</w:t>
      </w:r>
    </w:p>
    <w:p w:rsidR="00DD170F" w:rsidRPr="00716A7B" w:rsidP="00AC6B73">
      <w:pPr>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20"/>
        <w:rPr>
          <w:rFonts w:ascii="Calibri" w:hAnsi="Calibri" w:cs="Calibri"/>
        </w:rPr>
      </w:pPr>
      <w:r>
        <w:rPr>
          <w:rFonts w:cs="Calibri"/>
        </w:rPr>
        <w:t xml:space="preserve">5.1 </w:t>
      </w:r>
      <w:r>
        <w:rPr>
          <w:rFonts w:cs="Calibri"/>
        </w:rPr>
        <w:t>Most</w:t>
      </w:r>
      <w:r w:rsidRPr="002812A7">
        <w:rPr>
          <w:rFonts w:cs="Calibri"/>
        </w:rPr>
        <w:t xml:space="preserve"> participants spoke of their pride in their work. </w:t>
      </w:r>
      <w:r>
        <w:rPr>
          <w:rFonts w:cs="Calibri"/>
        </w:rPr>
        <w:t>P</w:t>
      </w:r>
      <w:r>
        <w:rPr>
          <w:rFonts w:cs="Calibri"/>
        </w:rPr>
        <w:t>ride came from the satisfaction of doing a good job, of working to the best of their ability</w:t>
      </w:r>
      <w:r>
        <w:rPr>
          <w:rFonts w:cs="Calibri"/>
        </w:rPr>
        <w:t xml:space="preserve">, attention to detail, setting high standards and </w:t>
      </w:r>
      <w:r>
        <w:rPr>
          <w:rFonts w:cs="Calibri"/>
        </w:rPr>
        <w:t xml:space="preserve">the </w:t>
      </w:r>
      <w:r>
        <w:rPr>
          <w:rFonts w:cs="Arial"/>
        </w:rPr>
        <w:t xml:space="preserve">quality of the materials used. </w:t>
      </w:r>
      <w:r w:rsidRPr="00CC2947">
        <w:rPr>
          <w:rFonts w:ascii="Calibri" w:hAnsi="Calibri" w:cs="Calibri"/>
        </w:rPr>
        <w:t>Although some participants n</w:t>
      </w:r>
      <w:r w:rsidRPr="00CC2947">
        <w:rPr>
          <w:rFonts w:ascii="Calibri" w:hAnsi="Calibri" w:cs="Calibri"/>
        </w:rPr>
        <w:t>oted that</w:t>
      </w:r>
      <w:r>
        <w:rPr>
          <w:rFonts w:ascii="Calibri" w:hAnsi="Calibri" w:cs="Calibri"/>
        </w:rPr>
        <w:t xml:space="preserve"> others</w:t>
      </w:r>
      <w:r w:rsidRPr="00CC2947">
        <w:rPr>
          <w:rFonts w:ascii="Calibri" w:hAnsi="Calibri" w:cs="Calibri"/>
        </w:rPr>
        <w:t xml:space="preserve"> in construction </w:t>
      </w:r>
      <w:r>
        <w:rPr>
          <w:rFonts w:ascii="Calibri" w:hAnsi="Calibri" w:cs="Calibri"/>
        </w:rPr>
        <w:t xml:space="preserve">would cut corners or </w:t>
      </w:r>
      <w:r w:rsidRPr="00CC2947">
        <w:rPr>
          <w:rFonts w:ascii="Calibri" w:hAnsi="Calibri" w:cs="Calibri"/>
        </w:rPr>
        <w:t xml:space="preserve">use cheaper materials, they emphasised their pride in the work they produced as a central </w:t>
      </w:r>
      <w:r w:rsidRPr="005F2D42">
        <w:rPr>
          <w:rFonts w:ascii="Calibri" w:hAnsi="Calibri" w:cs="Calibri"/>
        </w:rPr>
        <w:t>motivation and source of satisfaction for them in their business. The</w:t>
      </w:r>
      <w:r>
        <w:rPr>
          <w:rFonts w:ascii="Calibri" w:hAnsi="Calibri" w:cs="Calibri"/>
        </w:rPr>
        <w:t xml:space="preserve"> practitioners</w:t>
      </w:r>
      <w:r w:rsidRPr="005F2D42">
        <w:rPr>
          <w:rFonts w:ascii="Calibri" w:hAnsi="Calibri" w:cs="Calibri"/>
        </w:rPr>
        <w:t xml:space="preserve"> enjoyed the variety of th</w:t>
      </w:r>
      <w:r>
        <w:rPr>
          <w:rFonts w:ascii="Calibri" w:hAnsi="Calibri" w:cs="Calibri"/>
        </w:rPr>
        <w:t xml:space="preserve">eir work and the challenges it </w:t>
      </w:r>
      <w:r w:rsidRPr="005F2D42">
        <w:rPr>
          <w:rFonts w:ascii="Calibri" w:hAnsi="Calibri" w:cs="Calibri"/>
        </w:rPr>
        <w:t>present</w:t>
      </w:r>
      <w:r>
        <w:rPr>
          <w:rFonts w:ascii="Calibri" w:hAnsi="Calibri" w:cs="Calibri"/>
        </w:rPr>
        <w:t>ed,</w:t>
      </w:r>
      <w:r>
        <w:rPr>
          <w:rFonts w:ascii="Calibri" w:hAnsi="Calibri" w:cs="Calibri"/>
        </w:rPr>
        <w:t xml:space="preserve"> enabli</w:t>
      </w:r>
      <w:r>
        <w:rPr>
          <w:rFonts w:ascii="Calibri" w:hAnsi="Calibri" w:cs="Calibri"/>
        </w:rPr>
        <w:t xml:space="preserve">ng them to deploy their </w:t>
      </w:r>
      <w:r>
        <w:rPr>
          <w:rFonts w:ascii="Calibri" w:hAnsi="Calibri" w:cs="Calibri"/>
        </w:rPr>
        <w:t>problem solving</w:t>
      </w:r>
      <w:r>
        <w:rPr>
          <w:rFonts w:ascii="Calibri" w:hAnsi="Calibri" w:cs="Calibri"/>
        </w:rPr>
        <w:t xml:space="preserve"> capab</w:t>
      </w:r>
      <w:r>
        <w:rPr>
          <w:rFonts w:ascii="Calibri" w:hAnsi="Calibri" w:cs="Calibri"/>
        </w:rPr>
        <w:t>ilities.</w:t>
      </w:r>
    </w:p>
    <w:p w:rsidR="00CD7B59" w:rsidRPr="002E7E49" w:rsidP="00AC6B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Calibri" w:hAnsi="Calibri" w:cs="Calibri"/>
          <w:sz w:val="20"/>
          <w:szCs w:val="20"/>
        </w:rPr>
      </w:pPr>
      <w:r>
        <w:rPr>
          <w:rFonts w:ascii="Calibri" w:hAnsi="Calibri" w:cs="Calibri"/>
        </w:rPr>
        <w:t xml:space="preserve">5.2 The </w:t>
      </w:r>
      <w:r>
        <w:rPr>
          <w:rFonts w:ascii="Calibri" w:hAnsi="Calibri" w:cs="Calibri"/>
        </w:rPr>
        <w:t>data showed</w:t>
      </w:r>
      <w:r>
        <w:rPr>
          <w:rFonts w:ascii="Calibri" w:hAnsi="Calibri" w:cs="Calibri"/>
        </w:rPr>
        <w:t xml:space="preserve"> a prevailing concern with maintaining a viable business. There was evidence of attention to costs, ensuring </w:t>
      </w:r>
      <w:r>
        <w:rPr>
          <w:rFonts w:ascii="Calibri" w:hAnsi="Calibri" w:cs="Calibri"/>
        </w:rPr>
        <w:t xml:space="preserve">low overheads, pricing carefully, </w:t>
      </w:r>
      <w:r>
        <w:rPr>
          <w:rFonts w:ascii="Calibri" w:hAnsi="Calibri" w:cs="Calibri"/>
        </w:rPr>
        <w:t>considering the impact of charging VAT</w:t>
      </w:r>
      <w:r>
        <w:rPr>
          <w:rFonts w:ascii="Calibri" w:hAnsi="Calibri" w:cs="Calibri"/>
        </w:rPr>
        <w:t xml:space="preserve"> and of the extra expenditure involved in taking on employees. The practitioners tried to buy carefully, looking for low prices from suppliers, not over-buying, and scrutinising waste.</w:t>
      </w:r>
      <w:r>
        <w:rPr>
          <w:rFonts w:ascii="Calibri" w:hAnsi="Calibri" w:cs="Calibri"/>
        </w:rPr>
        <w:t xml:space="preserve"> However, few of the participants </w:t>
      </w:r>
      <w:r>
        <w:rPr>
          <w:rFonts w:ascii="Calibri" w:hAnsi="Calibri" w:cs="Calibri"/>
        </w:rPr>
        <w:t xml:space="preserve">appeared to prioritise </w:t>
      </w:r>
      <w:r>
        <w:rPr>
          <w:rFonts w:ascii="Calibri" w:hAnsi="Calibri" w:cs="Calibri"/>
        </w:rPr>
        <w:t>profit for its own sake. This is not to suggest that businesses and individuals in the RMI sector are not motivated by profit. Rather, it shows that financial rewards are only one of many motivations</w:t>
      </w:r>
      <w:r>
        <w:rPr>
          <w:rFonts w:ascii="Calibri" w:hAnsi="Calibri" w:cs="Calibri"/>
        </w:rPr>
        <w:t>. Earning a livelihood was a fundamental driver but was linked to customer satisfaction, personal satisfaction in quality of work</w:t>
      </w:r>
      <w:r>
        <w:rPr>
          <w:rFonts w:ascii="Calibri" w:hAnsi="Calibri" w:cs="Calibri"/>
        </w:rPr>
        <w:t>,</w:t>
      </w:r>
      <w:r>
        <w:rPr>
          <w:rFonts w:ascii="Calibri" w:hAnsi="Calibri" w:cs="Calibri"/>
        </w:rPr>
        <w:t xml:space="preserve"> and maintaining good relationships with other industry professionals. </w:t>
      </w:r>
      <w:r w:rsidRPr="0074279D">
        <w:rPr>
          <w:rFonts w:ascii="Calibri" w:hAnsi="Calibri" w:cs="Calibri"/>
        </w:rPr>
        <w:t>They acknowledged interdependence with others, compl</w:t>
      </w:r>
      <w:r>
        <w:rPr>
          <w:rFonts w:ascii="Calibri" w:hAnsi="Calibri" w:cs="Calibri"/>
        </w:rPr>
        <w:t>e</w:t>
      </w:r>
      <w:r w:rsidRPr="0074279D">
        <w:rPr>
          <w:rFonts w:ascii="Calibri" w:hAnsi="Calibri" w:cs="Calibri"/>
        </w:rPr>
        <w:t>me</w:t>
      </w:r>
      <w:r w:rsidRPr="0074279D">
        <w:rPr>
          <w:rFonts w:ascii="Calibri" w:hAnsi="Calibri" w:cs="Calibri"/>
        </w:rPr>
        <w:t>n</w:t>
      </w:r>
      <w:r>
        <w:rPr>
          <w:rFonts w:ascii="Calibri" w:hAnsi="Calibri" w:cs="Calibri"/>
        </w:rPr>
        <w:t xml:space="preserve">tary </w:t>
      </w:r>
      <w:r>
        <w:rPr>
          <w:rFonts w:ascii="Calibri" w:hAnsi="Calibri" w:cs="Calibri"/>
        </w:rPr>
        <w:t>skills</w:t>
      </w:r>
      <w:r>
        <w:rPr>
          <w:rFonts w:ascii="Calibri" w:hAnsi="Calibri" w:cs="Calibri"/>
        </w:rPr>
        <w:t xml:space="preserve"> and co-operation. </w:t>
      </w:r>
      <w:r w:rsidRPr="0074279D">
        <w:rPr>
          <w:rFonts w:ascii="Calibri" w:hAnsi="Calibri" w:cs="Calibri"/>
        </w:rPr>
        <w:t>Teamwork on site was valued</w:t>
      </w:r>
      <w:r>
        <w:rPr>
          <w:rFonts w:ascii="Calibri" w:hAnsi="Calibri" w:cs="Calibri"/>
        </w:rPr>
        <w:t xml:space="preserve"> as well as</w:t>
      </w:r>
      <w:r w:rsidRPr="0074279D">
        <w:rPr>
          <w:rFonts w:ascii="Calibri" w:hAnsi="Calibri" w:cs="Calibri"/>
        </w:rPr>
        <w:t xml:space="preserve"> strong relationships </w:t>
      </w:r>
      <w:r w:rsidRPr="00627647">
        <w:rPr>
          <w:rFonts w:ascii="Calibri" w:hAnsi="Calibri" w:cs="Calibri"/>
        </w:rPr>
        <w:t>with other actors in the sector including builders’ merchants, arch</w:t>
      </w:r>
      <w:r>
        <w:rPr>
          <w:rFonts w:ascii="Calibri" w:hAnsi="Calibri" w:cs="Calibri"/>
        </w:rPr>
        <w:t xml:space="preserve">itects and building </w:t>
      </w:r>
      <w:r w:rsidRPr="007100F7">
        <w:rPr>
          <w:rFonts w:ascii="Calibri" w:hAnsi="Calibri" w:cs="Calibri"/>
        </w:rPr>
        <w:t xml:space="preserve">inspectors: </w:t>
      </w:r>
      <w:r w:rsidRPr="007100F7">
        <w:rPr>
          <w:rFonts w:ascii="Calibri" w:hAnsi="Calibri" w:cs="Calibri"/>
        </w:rPr>
        <w:t>“</w:t>
      </w:r>
      <w:r w:rsidRPr="007100F7">
        <w:rPr>
          <w:rFonts w:ascii="Calibri" w:hAnsi="Calibri" w:cs="Calibri"/>
          <w:i/>
        </w:rPr>
        <w:t>We're not only doing construction, we're trying to build a relati</w:t>
      </w:r>
      <w:r w:rsidRPr="007100F7">
        <w:rPr>
          <w:rFonts w:ascii="Calibri" w:hAnsi="Calibri" w:cs="Calibri"/>
          <w:i/>
        </w:rPr>
        <w:t>onship with people</w:t>
      </w:r>
      <w:r w:rsidRPr="007100F7">
        <w:rPr>
          <w:rFonts w:ascii="Calibri" w:hAnsi="Calibri" w:cs="Calibri"/>
        </w:rPr>
        <w:t xml:space="preserve">”. </w:t>
      </w:r>
      <w:r w:rsidRPr="007100F7">
        <w:rPr>
          <w:rFonts w:ascii="Calibri" w:hAnsi="Calibri" w:cs="Calibri"/>
        </w:rPr>
        <w:t xml:space="preserve">Being </w:t>
      </w:r>
      <w:r w:rsidRPr="007100F7">
        <w:rPr>
          <w:rFonts w:ascii="Calibri" w:hAnsi="Calibri" w:cs="Calibri"/>
        </w:rPr>
        <w:t xml:space="preserve">respected by others was </w:t>
      </w:r>
      <w:r w:rsidRPr="007100F7">
        <w:rPr>
          <w:rFonts w:ascii="Calibri" w:hAnsi="Calibri" w:cs="Calibri"/>
        </w:rPr>
        <w:t xml:space="preserve">valued and so too was loyalty, to subcontractors and </w:t>
      </w:r>
      <w:r w:rsidRPr="007100F7">
        <w:rPr>
          <w:rFonts w:ascii="Calibri" w:hAnsi="Calibri" w:cs="Calibri"/>
        </w:rPr>
        <w:t>to builders’ merchants</w:t>
      </w:r>
      <w:r>
        <w:rPr>
          <w:rFonts w:ascii="Calibri" w:hAnsi="Calibri" w:cs="Calibri"/>
        </w:rPr>
        <w:t xml:space="preserve">. </w:t>
      </w:r>
    </w:p>
    <w:p w:rsidR="005E7FDB" w:rsidP="00AC6B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Calibri" w:hAnsi="Calibri" w:cs="Calibri"/>
        </w:rPr>
      </w:pPr>
      <w:r>
        <w:rPr>
          <w:rFonts w:ascii="Calibri" w:hAnsi="Calibri" w:cs="Calibri"/>
        </w:rPr>
        <w:t xml:space="preserve">5.3 </w:t>
      </w:r>
      <w:r w:rsidRPr="006A24D6">
        <w:rPr>
          <w:rFonts w:ascii="Calibri" w:hAnsi="Calibri" w:cs="Calibri"/>
        </w:rPr>
        <w:t xml:space="preserve">Most of the participants appeared strongly motivated to achieve customer satisfaction on completion of projects. </w:t>
      </w:r>
      <w:r>
        <w:rPr>
          <w:rFonts w:ascii="Calibri" w:hAnsi="Calibri" w:cs="Calibri"/>
        </w:rPr>
        <w:t>A</w:t>
      </w:r>
      <w:r>
        <w:rPr>
          <w:rFonts w:ascii="Calibri" w:hAnsi="Calibri" w:cs="Calibri"/>
        </w:rPr>
        <w:t xml:space="preserve"> strong customer focus</w:t>
      </w:r>
      <w:r w:rsidRPr="006A24D6">
        <w:rPr>
          <w:rFonts w:ascii="Calibri" w:hAnsi="Calibri" w:cs="Calibri"/>
        </w:rPr>
        <w:t xml:space="preserve"> meant </w:t>
      </w:r>
      <w:r>
        <w:rPr>
          <w:rFonts w:ascii="Calibri" w:hAnsi="Calibri" w:cs="Calibri"/>
        </w:rPr>
        <w:t xml:space="preserve">protecting the customer’s money. </w:t>
      </w:r>
    </w:p>
    <w:p w:rsidR="001D384B" w:rsidRPr="00716A7B" w:rsidP="00AC6B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Calibri" w:hAnsi="Calibri" w:cs="Calibri"/>
          <w:i/>
        </w:rPr>
      </w:pPr>
      <w:r>
        <w:rPr>
          <w:rFonts w:ascii="Calibri" w:hAnsi="Calibri" w:cs="Calibri"/>
        </w:rPr>
        <w:t xml:space="preserve">5.4 </w:t>
      </w:r>
      <w:r>
        <w:rPr>
          <w:rFonts w:ascii="Calibri" w:hAnsi="Calibri" w:cs="Calibri"/>
        </w:rPr>
        <w:t>For many of the participants, although not all, there was evidence of a per</w:t>
      </w:r>
      <w:r>
        <w:rPr>
          <w:rFonts w:ascii="Calibri" w:hAnsi="Calibri" w:cs="Calibri"/>
        </w:rPr>
        <w:t xml:space="preserve">sonal commitment to energy efficiency and to being part of creating a more </w:t>
      </w:r>
      <w:r>
        <w:rPr>
          <w:rFonts w:ascii="Calibri" w:hAnsi="Calibri" w:cs="Calibri"/>
        </w:rPr>
        <w:t>environmentally-friendly</w:t>
      </w:r>
      <w:r>
        <w:rPr>
          <w:rFonts w:ascii="Calibri" w:hAnsi="Calibri" w:cs="Calibri"/>
        </w:rPr>
        <w:t xml:space="preserve"> sector. Some expressed it as a preference, a habit of always trying to include more energy-efficient technologies, encouraging customers to consider better </w:t>
      </w:r>
      <w:r>
        <w:rPr>
          <w:rFonts w:ascii="Calibri" w:hAnsi="Calibri" w:cs="Calibri"/>
        </w:rPr>
        <w:t>approaches, or focusing on building performance.</w:t>
      </w:r>
      <w:r w:rsidRPr="002F02C5">
        <w:rPr>
          <w:rFonts w:cstheme="minorHAnsi"/>
        </w:rPr>
        <w:t xml:space="preserve"> </w:t>
      </w:r>
      <w:r>
        <w:rPr>
          <w:rFonts w:cstheme="minorHAnsi"/>
        </w:rPr>
        <w:t xml:space="preserve">Several </w:t>
      </w:r>
      <w:r w:rsidRPr="002F02C5">
        <w:rPr>
          <w:rFonts w:cstheme="minorHAnsi"/>
        </w:rPr>
        <w:t>also actively tried to reduce waste of materials and products in their work.</w:t>
      </w:r>
    </w:p>
    <w:p w:rsidR="002E7E49" w:rsidRPr="00C023D5" w:rsidP="00C023D5">
      <w:pPr>
        <w:spacing w:after="120"/>
        <w:rPr>
          <w:rFonts w:ascii="Calibri" w:hAnsi="Calibri" w:cs="Calibri"/>
        </w:rPr>
      </w:pPr>
      <w:r>
        <w:rPr>
          <w:rFonts w:cstheme="minorHAnsi"/>
        </w:rPr>
        <w:t xml:space="preserve">5.5 </w:t>
      </w:r>
      <w:r w:rsidRPr="001D384B">
        <w:rPr>
          <w:rFonts w:cstheme="minorHAnsi"/>
        </w:rPr>
        <w:t>But several beliefs and perceptions were noted which discouraged practitioners from offering more sustainable solution</w:t>
      </w:r>
      <w:r w:rsidRPr="001D384B">
        <w:rPr>
          <w:rFonts w:cstheme="minorHAnsi"/>
        </w:rPr>
        <w:t xml:space="preserve">s. Some </w:t>
      </w:r>
      <w:r w:rsidRPr="001D384B">
        <w:rPr>
          <w:rFonts w:cs="Calibri"/>
        </w:rPr>
        <w:t>believed</w:t>
      </w:r>
      <w:r w:rsidRPr="001514DF">
        <w:rPr>
          <w:rFonts w:cs="Calibri"/>
        </w:rPr>
        <w:t xml:space="preserve"> that customers could </w:t>
      </w:r>
      <w:r>
        <w:rPr>
          <w:rFonts w:cs="Calibri"/>
        </w:rPr>
        <w:t xml:space="preserve">not </w:t>
      </w:r>
      <w:r w:rsidRPr="001514DF">
        <w:rPr>
          <w:rFonts w:cs="Calibri"/>
        </w:rPr>
        <w:t>or would not pay extra for more</w:t>
      </w:r>
      <w:r>
        <w:rPr>
          <w:rFonts w:cs="Calibri"/>
        </w:rPr>
        <w:t xml:space="preserve"> energy efficient</w:t>
      </w:r>
      <w:r>
        <w:rPr>
          <w:rFonts w:cs="Calibri"/>
        </w:rPr>
        <w:t xml:space="preserve"> work and </w:t>
      </w:r>
      <w:r w:rsidRPr="001514DF">
        <w:rPr>
          <w:rFonts w:cs="Calibri"/>
        </w:rPr>
        <w:t>their perception of increased cost for customers led to negative attitudes to newer energy technologies:</w:t>
      </w:r>
      <w:r w:rsidRPr="001514DF">
        <w:rPr>
          <w:rFonts w:cs="Arial"/>
          <w:color w:val="000000"/>
        </w:rPr>
        <w:t xml:space="preserve"> </w:t>
      </w:r>
      <w:r>
        <w:rPr>
          <w:rFonts w:cs="Arial"/>
          <w:i/>
          <w:color w:val="000000"/>
        </w:rPr>
        <w:t>“</w:t>
      </w:r>
      <w:r w:rsidRPr="0090395E">
        <w:rPr>
          <w:rFonts w:cs="Arial"/>
          <w:i/>
          <w:color w:val="000000"/>
        </w:rPr>
        <w:t>renewable energy, it's far too expensive for my</w:t>
      </w:r>
      <w:r>
        <w:rPr>
          <w:rFonts w:cs="Arial"/>
          <w:i/>
          <w:color w:val="000000"/>
        </w:rPr>
        <w:t xml:space="preserve"> common man that I work with”</w:t>
      </w:r>
      <w:r w:rsidRPr="0038143A">
        <w:rPr>
          <w:rFonts w:cs="Arial"/>
          <w:color w:val="000000"/>
        </w:rPr>
        <w:t>.</w:t>
      </w:r>
      <w:r>
        <w:rPr>
          <w:rFonts w:cs="Arial"/>
          <w:i/>
          <w:color w:val="000000"/>
        </w:rPr>
        <w:t xml:space="preserve"> </w:t>
      </w:r>
      <w:r>
        <w:rPr>
          <w:rFonts w:cs="Arial"/>
          <w:color w:val="000000"/>
        </w:rPr>
        <w:t>Several expressed</w:t>
      </w:r>
      <w:r>
        <w:rPr>
          <w:rFonts w:cstheme="minorHAnsi"/>
        </w:rPr>
        <w:t xml:space="preserve"> </w:t>
      </w:r>
      <w:r>
        <w:rPr>
          <w:rFonts w:ascii="Calibri" w:hAnsi="Calibri" w:cs="Calibri"/>
        </w:rPr>
        <w:t xml:space="preserve">a lack of confidence in technical standards. </w:t>
      </w:r>
      <w:r>
        <w:rPr>
          <w:rFonts w:ascii="Calibri" w:hAnsi="Calibri" w:cs="Calibri"/>
        </w:rPr>
        <w:t>For example, some were</w:t>
      </w:r>
      <w:r>
        <w:rPr>
          <w:rFonts w:ascii="Calibri" w:hAnsi="Calibri" w:cs="Calibri"/>
        </w:rPr>
        <w:t xml:space="preserve"> against the notio</w:t>
      </w:r>
      <w:r>
        <w:rPr>
          <w:rFonts w:ascii="Calibri" w:hAnsi="Calibri" w:cs="Calibri"/>
        </w:rPr>
        <w:t xml:space="preserve">n of airtightness, which is perhaps unsurprising as </w:t>
      </w:r>
      <w:r w:rsidRPr="00C1242B">
        <w:rPr>
          <w:rFonts w:ascii="Calibri" w:hAnsi="Calibri" w:cs="Calibri"/>
        </w:rPr>
        <w:t xml:space="preserve">it works against prevalent cultural norms in UK building where </w:t>
      </w:r>
      <w:r>
        <w:rPr>
          <w:rFonts w:ascii="Calibri" w:hAnsi="Calibri" w:cs="Calibri"/>
        </w:rPr>
        <w:t>natural</w:t>
      </w:r>
      <w:r>
        <w:rPr>
          <w:rFonts w:ascii="Calibri" w:hAnsi="Calibri" w:cs="Calibri"/>
        </w:rPr>
        <w:t xml:space="preserve"> air infiltration has been accepted as an</w:t>
      </w:r>
      <w:r w:rsidRPr="00C1242B">
        <w:rPr>
          <w:rFonts w:ascii="Calibri" w:hAnsi="Calibri" w:cs="Calibri"/>
        </w:rPr>
        <w:t xml:space="preserve"> aspect of domestic construction.</w:t>
      </w:r>
      <w:r>
        <w:rPr>
          <w:rFonts w:cstheme="minorHAnsi"/>
        </w:rPr>
        <w:t xml:space="preserve"> Some practitioners </w:t>
      </w:r>
      <w:r>
        <w:rPr>
          <w:rFonts w:ascii="Calibri" w:hAnsi="Calibri" w:cs="Calibri"/>
          <w:color w:val="262626"/>
        </w:rPr>
        <w:t xml:space="preserve">attributed the slow progress towards greater energy efficiency in buildings to </w:t>
      </w:r>
      <w:r>
        <w:rPr>
          <w:rFonts w:ascii="Calibri" w:hAnsi="Calibri" w:cs="Calibri"/>
          <w:color w:val="262626"/>
        </w:rPr>
        <w:t xml:space="preserve">habitual customs and practices but </w:t>
      </w:r>
      <w:r>
        <w:rPr>
          <w:rFonts w:ascii="Calibri" w:hAnsi="Calibri" w:cs="Calibri"/>
        </w:rPr>
        <w:t>i</w:t>
      </w:r>
      <w:r>
        <w:rPr>
          <w:rFonts w:ascii="Calibri" w:hAnsi="Calibri" w:cs="Calibri"/>
        </w:rPr>
        <w:t>nterestingly, this assumption</w:t>
      </w:r>
      <w:r>
        <w:rPr>
          <w:rFonts w:ascii="Calibri" w:hAnsi="Calibri" w:cs="Calibri"/>
        </w:rPr>
        <w:t xml:space="preserve"> stand</w:t>
      </w:r>
      <w:r>
        <w:rPr>
          <w:rFonts w:ascii="Calibri" w:hAnsi="Calibri" w:cs="Calibri"/>
        </w:rPr>
        <w:t>s</w:t>
      </w:r>
      <w:r>
        <w:rPr>
          <w:rFonts w:ascii="Calibri" w:hAnsi="Calibri" w:cs="Calibri"/>
        </w:rPr>
        <w:t xml:space="preserve"> in contras</w:t>
      </w:r>
      <w:r>
        <w:rPr>
          <w:rFonts w:ascii="Calibri" w:hAnsi="Calibri" w:cs="Calibri"/>
        </w:rPr>
        <w:t xml:space="preserve">t to the </w:t>
      </w:r>
      <w:r>
        <w:rPr>
          <w:rFonts w:ascii="Calibri" w:hAnsi="Calibri" w:cs="Calibri"/>
        </w:rPr>
        <w:t xml:space="preserve">evidence for </w:t>
      </w:r>
      <w:r>
        <w:rPr>
          <w:rFonts w:ascii="Calibri" w:hAnsi="Calibri" w:cs="Calibri"/>
        </w:rPr>
        <w:t>motivation for</w:t>
      </w:r>
      <w:r>
        <w:rPr>
          <w:rFonts w:ascii="Calibri" w:hAnsi="Calibri" w:cs="Calibri"/>
        </w:rPr>
        <w:t xml:space="preserve"> </w:t>
      </w:r>
      <w:r>
        <w:rPr>
          <w:rFonts w:ascii="Calibri" w:hAnsi="Calibri" w:cs="Calibri"/>
        </w:rPr>
        <w:t xml:space="preserve">variety and </w:t>
      </w:r>
      <w:r>
        <w:rPr>
          <w:rFonts w:ascii="Calibri" w:hAnsi="Calibri" w:cs="Calibri"/>
        </w:rPr>
        <w:t>overcoming challenges on the job, discussed above.</w:t>
      </w:r>
    </w:p>
    <w:p w:rsidR="00DD170F" w:rsidP="00C023D5">
      <w:pPr>
        <w:spacing w:after="120"/>
        <w:rPr>
          <w:rFonts w:cstheme="minorHAnsi"/>
          <w:b/>
        </w:rPr>
      </w:pPr>
      <w:r>
        <w:rPr>
          <w:rFonts w:cstheme="minorHAnsi"/>
          <w:b/>
        </w:rPr>
        <w:t>Capabilities</w:t>
      </w:r>
    </w:p>
    <w:p w:rsidR="00781DC4" w:rsidP="00AC6B73">
      <w:pPr>
        <w:spacing w:after="120"/>
        <w:rPr>
          <w:rFonts w:cstheme="minorHAnsi"/>
          <w:b/>
        </w:rPr>
      </w:pPr>
      <w:r>
        <w:rPr>
          <w:rFonts w:cstheme="minorHAnsi"/>
        </w:rPr>
        <w:t xml:space="preserve">5.6 </w:t>
      </w:r>
      <w:r>
        <w:rPr>
          <w:rFonts w:cstheme="minorHAnsi"/>
        </w:rPr>
        <w:t>P</w:t>
      </w:r>
      <w:r>
        <w:rPr>
          <w:rFonts w:cstheme="minorHAnsi"/>
        </w:rPr>
        <w:t xml:space="preserve">ractitioners gained </w:t>
      </w:r>
      <w:r>
        <w:rPr>
          <w:rFonts w:cstheme="minorHAnsi"/>
        </w:rPr>
        <w:t xml:space="preserve">knowledge </w:t>
      </w:r>
      <w:r>
        <w:rPr>
          <w:rFonts w:cstheme="minorHAnsi"/>
        </w:rPr>
        <w:t xml:space="preserve">over time and through practical experience, </w:t>
      </w:r>
      <w:r>
        <w:rPr>
          <w:rFonts w:cstheme="minorHAnsi"/>
        </w:rPr>
        <w:t>beyond</w:t>
      </w:r>
      <w:r>
        <w:rPr>
          <w:rFonts w:cstheme="minorHAnsi"/>
        </w:rPr>
        <w:t xml:space="preserve"> that learned</w:t>
      </w:r>
      <w:r>
        <w:rPr>
          <w:rFonts w:cstheme="minorHAnsi"/>
        </w:rPr>
        <w:t xml:space="preserve"> via formal training. Several described their own or others’ </w:t>
      </w:r>
      <w:r>
        <w:rPr>
          <w:rFonts w:cstheme="minorHAnsi"/>
        </w:rPr>
        <w:t xml:space="preserve">ability to work across trade boundaries </w:t>
      </w:r>
      <w:r>
        <w:rPr>
          <w:rFonts w:cstheme="minorHAnsi"/>
        </w:rPr>
        <w:t>in order to</w:t>
      </w:r>
      <w:r>
        <w:rPr>
          <w:rFonts w:cstheme="minorHAnsi"/>
        </w:rPr>
        <w:t xml:space="preserve"> get projects completed.</w:t>
      </w:r>
      <w:r>
        <w:rPr>
          <w:rFonts w:cstheme="minorHAnsi"/>
        </w:rPr>
        <w:t xml:space="preserve"> They</w:t>
      </w:r>
      <w:r>
        <w:rPr>
          <w:rFonts w:cstheme="minorHAnsi"/>
        </w:rPr>
        <w:t xml:space="preserve"> frequently referred to the need for continuous learning. Sources of information for the practitioners included co-</w:t>
      </w:r>
      <w:r>
        <w:rPr>
          <w:rFonts w:cstheme="minorHAnsi"/>
        </w:rPr>
        <w:t xml:space="preserve">workers, manufacturers’ representatives, manufacturers’ training courses, trade magazines, trade associations’ materials (e.g. National Housing </w:t>
      </w:r>
      <w:r>
        <w:rPr>
          <w:rFonts w:cstheme="minorHAnsi"/>
        </w:rPr>
        <w:t xml:space="preserve">Building Council), wholesalers and </w:t>
      </w:r>
      <w:r>
        <w:rPr>
          <w:rFonts w:cstheme="minorHAnsi"/>
        </w:rPr>
        <w:t xml:space="preserve">builders’ merchants, </w:t>
      </w:r>
      <w:r>
        <w:rPr>
          <w:rFonts w:cstheme="minorHAnsi"/>
        </w:rPr>
        <w:t xml:space="preserve">and </w:t>
      </w:r>
      <w:r>
        <w:rPr>
          <w:rFonts w:cstheme="minorHAnsi"/>
        </w:rPr>
        <w:t>specialist (e.g. Planning Portal for Building Regula</w:t>
      </w:r>
      <w:r>
        <w:rPr>
          <w:rFonts w:cstheme="minorHAnsi"/>
        </w:rPr>
        <w:t xml:space="preserve">tion Approved Documents) </w:t>
      </w:r>
      <w:r>
        <w:rPr>
          <w:rFonts w:cstheme="minorHAnsi"/>
        </w:rPr>
        <w:t>as well as</w:t>
      </w:r>
      <w:r>
        <w:rPr>
          <w:rFonts w:cstheme="minorHAnsi"/>
        </w:rPr>
        <w:t xml:space="preserve"> </w:t>
      </w:r>
      <w:r>
        <w:rPr>
          <w:rFonts w:cstheme="minorHAnsi"/>
        </w:rPr>
        <w:t xml:space="preserve">general internet searches. </w:t>
      </w:r>
      <w:r>
        <w:rPr>
          <w:rFonts w:cstheme="minorHAnsi"/>
        </w:rPr>
        <w:t>Their</w:t>
      </w:r>
      <w:r>
        <w:rPr>
          <w:rFonts w:cstheme="minorHAnsi"/>
        </w:rPr>
        <w:t xml:space="preserve"> learning was mostly reactive and</w:t>
      </w:r>
      <w:r>
        <w:rPr>
          <w:rFonts w:cstheme="minorHAnsi"/>
        </w:rPr>
        <w:t xml:space="preserve"> ad hoc</w:t>
      </w:r>
      <w:r>
        <w:rPr>
          <w:rFonts w:cstheme="minorHAnsi"/>
        </w:rPr>
        <w:t xml:space="preserve">, </w:t>
      </w:r>
      <w:r>
        <w:rPr>
          <w:rFonts w:cstheme="minorHAnsi"/>
        </w:rPr>
        <w:t xml:space="preserve">sometimes triggered by </w:t>
      </w:r>
      <w:r>
        <w:rPr>
          <w:rFonts w:cstheme="minorHAnsi"/>
        </w:rPr>
        <w:t>changes to mandated requirements such as building regulations</w:t>
      </w:r>
      <w:r>
        <w:rPr>
          <w:rFonts w:cstheme="minorHAnsi"/>
        </w:rPr>
        <w:t>, or</w:t>
      </w:r>
      <w:r>
        <w:rPr>
          <w:rFonts w:cstheme="minorHAnsi"/>
        </w:rPr>
        <w:t xml:space="preserve"> by</w:t>
      </w:r>
      <w:r>
        <w:rPr>
          <w:rFonts w:cstheme="minorHAnsi"/>
        </w:rPr>
        <w:t xml:space="preserve"> client demand</w:t>
      </w:r>
      <w:r>
        <w:rPr>
          <w:rFonts w:cstheme="minorHAnsi"/>
        </w:rPr>
        <w:t xml:space="preserve">. </w:t>
      </w:r>
    </w:p>
    <w:p w:rsidR="00781DC4" w:rsidRPr="00781DC4" w:rsidP="00AC6B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rPr>
      </w:pPr>
      <w:r>
        <w:rPr>
          <w:rFonts w:cstheme="minorHAnsi"/>
        </w:rPr>
        <w:t xml:space="preserve">5.7 </w:t>
      </w:r>
      <w:r>
        <w:rPr>
          <w:rFonts w:cstheme="minorHAnsi"/>
        </w:rPr>
        <w:t xml:space="preserve">The variety of work and scale of projects required flexibility </w:t>
      </w:r>
      <w:r>
        <w:rPr>
          <w:rFonts w:cstheme="minorHAnsi"/>
        </w:rPr>
        <w:t xml:space="preserve">from the participants. </w:t>
      </w:r>
      <w:r>
        <w:rPr>
          <w:rFonts w:cstheme="minorHAnsi"/>
        </w:rPr>
        <w:t>In addition to the practicalities of ensuring the right people and capabilities were deployed, many spoke of the need to develop good working relationships</w:t>
      </w:r>
      <w:r>
        <w:rPr>
          <w:rFonts w:cstheme="minorHAnsi"/>
        </w:rPr>
        <w:t>, centred on tr</w:t>
      </w:r>
      <w:r>
        <w:rPr>
          <w:rFonts w:cstheme="minorHAnsi"/>
        </w:rPr>
        <w:t xml:space="preserve">ust which needed </w:t>
      </w:r>
      <w:r>
        <w:rPr>
          <w:rFonts w:cstheme="minorHAnsi"/>
        </w:rPr>
        <w:t>to be cultivated over time. Earning trust from the client</w:t>
      </w:r>
      <w:r>
        <w:rPr>
          <w:rFonts w:cstheme="minorHAnsi"/>
        </w:rPr>
        <w:t xml:space="preserve"> was important</w:t>
      </w:r>
      <w:r>
        <w:rPr>
          <w:rFonts w:cstheme="minorHAnsi"/>
        </w:rPr>
        <w:t>, with the recognition of the value of the work and the risks involved for a client requesting work on their own home</w:t>
      </w:r>
      <w:r>
        <w:rPr>
          <w:rFonts w:cstheme="minorHAnsi"/>
        </w:rPr>
        <w:t xml:space="preserve">. </w:t>
      </w:r>
    </w:p>
    <w:p w:rsidR="00716A7B" w:rsidRPr="00C023D5" w:rsidP="00C023D5">
      <w:pPr>
        <w:spacing w:after="120"/>
        <w:rPr>
          <w:rFonts w:cstheme="minorHAnsi"/>
          <w:i/>
        </w:rPr>
      </w:pPr>
      <w:r>
        <w:rPr>
          <w:rFonts w:cstheme="minorHAnsi"/>
        </w:rPr>
        <w:t xml:space="preserve">5.8 </w:t>
      </w:r>
      <w:r w:rsidRPr="00FA174E">
        <w:rPr>
          <w:rFonts w:cstheme="minorHAnsi"/>
        </w:rPr>
        <w:t xml:space="preserve">Solving problems, such as overcoming tricky </w:t>
      </w:r>
      <w:r w:rsidRPr="00FA174E">
        <w:rPr>
          <w:rFonts w:cstheme="minorHAnsi"/>
        </w:rPr>
        <w:t xml:space="preserve">detailing and dealing with unforeseen challenges once the work started, were </w:t>
      </w:r>
      <w:r w:rsidRPr="00FA174E">
        <w:rPr>
          <w:rFonts w:cstheme="minorHAnsi"/>
        </w:rPr>
        <w:t>themes that appeared repeatedly: “</w:t>
      </w:r>
      <w:r w:rsidRPr="00FA174E">
        <w:rPr>
          <w:rFonts w:cstheme="minorHAnsi"/>
          <w:i/>
        </w:rPr>
        <w:t>Problem solving, that is my job, problem solving. From the moment I wake to the moment I go t</w:t>
      </w:r>
      <w:r w:rsidRPr="00FA174E">
        <w:rPr>
          <w:rFonts w:cstheme="minorHAnsi"/>
          <w:i/>
        </w:rPr>
        <w:t xml:space="preserve">o </w:t>
      </w:r>
      <w:r w:rsidRPr="00FA174E">
        <w:rPr>
          <w:rFonts w:cstheme="minorHAnsi"/>
          <w:i/>
        </w:rPr>
        <w:t>sleep,</w:t>
      </w:r>
      <w:r w:rsidRPr="00FA174E">
        <w:rPr>
          <w:rFonts w:cstheme="minorHAnsi"/>
          <w:i/>
        </w:rPr>
        <w:t xml:space="preserve"> it is problem solving.”</w:t>
      </w:r>
    </w:p>
    <w:p w:rsidR="00A57C86" w:rsidP="00C023D5">
      <w:pPr>
        <w:spacing w:after="120"/>
        <w:rPr>
          <w:rFonts w:cstheme="minorHAnsi"/>
          <w:b/>
        </w:rPr>
      </w:pPr>
      <w:r>
        <w:rPr>
          <w:rFonts w:cstheme="minorHAnsi"/>
          <w:b/>
        </w:rPr>
        <w:t>Opportunities</w:t>
      </w:r>
    </w:p>
    <w:p w:rsidR="00781DC4" w:rsidP="00AC6B73">
      <w:pPr>
        <w:spacing w:after="120"/>
      </w:pPr>
      <w:r>
        <w:t xml:space="preserve">5.9 </w:t>
      </w:r>
      <w:r>
        <w:t>V</w:t>
      </w:r>
      <w:r>
        <w:t xml:space="preserve">iews were mixed on the effectiveness of regulation and policy around energy efficiency. Although some </w:t>
      </w:r>
      <w:r>
        <w:t xml:space="preserve">felt </w:t>
      </w:r>
      <w:r>
        <w:t xml:space="preserve">that building regulations </w:t>
      </w:r>
      <w:r>
        <w:t>had become very strin</w:t>
      </w:r>
      <w:r>
        <w:t>gent and struggled to meet them,</w:t>
      </w:r>
      <w:r>
        <w:t xml:space="preserve"> </w:t>
      </w:r>
      <w:r>
        <w:t>o</w:t>
      </w:r>
      <w:r>
        <w:t>verall, the regulations were seen t</w:t>
      </w:r>
      <w:r>
        <w:t xml:space="preserve">o contribute to industry </w:t>
      </w:r>
      <w:r>
        <w:t>change. There</w:t>
      </w:r>
      <w:r>
        <w:t xml:space="preserve"> was concern over whether the regulations were </w:t>
      </w:r>
      <w:r>
        <w:t xml:space="preserve">understood and enacted by all, or </w:t>
      </w:r>
      <w:r>
        <w:t>ambitious enough</w:t>
      </w:r>
      <w:r>
        <w:t xml:space="preserve">, </w:t>
      </w:r>
      <w:r>
        <w:t xml:space="preserve">and there was some </w:t>
      </w:r>
      <w:r>
        <w:t>frustration at others in the industry who considered them to be a target rather than a minimal baseline</w:t>
      </w:r>
      <w:r>
        <w:t>. The communication of</w:t>
      </w:r>
      <w:r>
        <w:t xml:space="preserve"> updates to</w:t>
      </w:r>
      <w:r>
        <w:t xml:space="preserve"> building regulation was patchy, with many turning to colleagues to hear about changes. As micro-enterprise practitioners, their capability to keep </w:t>
      </w:r>
      <w:r>
        <w:t>up-</w:t>
      </w:r>
      <w:r>
        <w:t>to-date</w:t>
      </w:r>
      <w:r>
        <w:t xml:space="preserve"> was ad hoc at best</w:t>
      </w:r>
      <w:r>
        <w:t>,</w:t>
      </w:r>
      <w:r>
        <w:t xml:space="preserve"> due to time and resource constraints. </w:t>
      </w:r>
      <w:r>
        <w:t xml:space="preserve">  </w:t>
      </w:r>
    </w:p>
    <w:p w:rsidR="00781DC4" w:rsidRPr="00716A7B" w:rsidP="00AC6B73">
      <w:pPr>
        <w:spacing w:after="120"/>
        <w:rPr>
          <w:rFonts w:cstheme="minorHAnsi"/>
          <w:color w:val="262626"/>
        </w:rPr>
      </w:pPr>
      <w:r>
        <w:t>5.10 In relation to exper</w:t>
      </w:r>
      <w:r>
        <w:t>ience with previous national policy initiatives such as the UK Boiler Scrappage Scheme, some had</w:t>
      </w:r>
      <w:r>
        <w:t xml:space="preserve"> had</w:t>
      </w:r>
      <w:r>
        <w:t xml:space="preserve"> positive </w:t>
      </w:r>
      <w:r>
        <w:t>experiences</w:t>
      </w:r>
      <w:r>
        <w:t xml:space="preserve"> but others felt such schemes ten</w:t>
      </w:r>
      <w:r>
        <w:t xml:space="preserve">ded to </w:t>
      </w:r>
      <w:r>
        <w:t xml:space="preserve">favour large businesses. </w:t>
      </w:r>
      <w:r>
        <w:t>Considering education, it</w:t>
      </w:r>
      <w:r>
        <w:t xml:space="preserve"> was noticeable that training for policy sche</w:t>
      </w:r>
      <w:r>
        <w:t xml:space="preserve">mes was not discussed by any participant: there </w:t>
      </w:r>
      <w:r>
        <w:t>was no</w:t>
      </w:r>
      <w:r>
        <w:t xml:space="preserve"> expectation that policy changes would include training opportunities. While there was acknowledgement of the need for training on ne</w:t>
      </w:r>
      <w:r>
        <w:t>w energy efficiency technology,</w:t>
      </w:r>
      <w:r>
        <w:t xml:space="preserve"> t</w:t>
      </w:r>
      <w:r>
        <w:t>he t</w:t>
      </w:r>
      <w:r>
        <w:t>raining referenced by participan</w:t>
      </w:r>
      <w:r>
        <w:t>ts was that offered by manufacturers on their own products</w:t>
      </w:r>
      <w:r>
        <w:t>, and typically trade-specific</w:t>
      </w:r>
      <w:r>
        <w:t xml:space="preserve">. </w:t>
      </w:r>
    </w:p>
    <w:p w:rsidR="00781DC4" w:rsidRPr="00716A7B" w:rsidP="00AC6B73">
      <w:pPr>
        <w:spacing w:after="120"/>
      </w:pPr>
      <w:r>
        <w:t xml:space="preserve">5.11 Customer and market demand were </w:t>
      </w:r>
      <w:r>
        <w:t>varied</w:t>
      </w:r>
      <w:r>
        <w:t xml:space="preserve">. While some householders were unaware of pioneering technologies, others actively sought </w:t>
      </w:r>
      <w:r>
        <w:t>more sustainable homes</w:t>
      </w:r>
      <w:r>
        <w:t xml:space="preserve">. Some </w:t>
      </w:r>
      <w:r>
        <w:t>pra</w:t>
      </w:r>
      <w:r>
        <w:t xml:space="preserve">ctitioners </w:t>
      </w:r>
      <w:r>
        <w:t>reported this as a niche market for those able to pay</w:t>
      </w:r>
      <w:r>
        <w:t xml:space="preserve">. </w:t>
      </w:r>
    </w:p>
    <w:p w:rsidR="00781DC4" w:rsidRPr="00716A7B" w:rsidP="00AC6B73">
      <w:pPr>
        <w:pStyle w:val="EndNoteBibliography"/>
        <w:spacing w:after="120"/>
        <w:rPr>
          <w:rFonts w:cstheme="minorHAnsi"/>
        </w:rPr>
      </w:pPr>
      <w:r>
        <w:rPr>
          <w:rFonts w:asciiTheme="minorHAnsi" w:hAnsiTheme="minorHAnsi" w:cstheme="minorHAnsi"/>
        </w:rPr>
        <w:t>5.12 The networks of building practitioners and connected professionals were</w:t>
      </w:r>
      <w:r>
        <w:rPr>
          <w:rFonts w:asciiTheme="minorHAnsi" w:hAnsiTheme="minorHAnsi" w:cstheme="minorHAnsi"/>
        </w:rPr>
        <w:t xml:space="preserve"> a source of information, trust and</w:t>
      </w:r>
      <w:r>
        <w:rPr>
          <w:rFonts w:asciiTheme="minorHAnsi" w:hAnsiTheme="minorHAnsi" w:cstheme="minorHAnsi"/>
        </w:rPr>
        <w:t xml:space="preserve"> recommendations. Trusted colleagues offered the opportunity to gather </w:t>
      </w:r>
      <w:r>
        <w:rPr>
          <w:rFonts w:cstheme="minorHAnsi"/>
        </w:rPr>
        <w:t>informa</w:t>
      </w:r>
      <w:r>
        <w:rPr>
          <w:rFonts w:cstheme="minorHAnsi"/>
        </w:rPr>
        <w:t>tion on the feasibility of products or proposed solutions, and on how to meet the regulatory requirments</w:t>
      </w:r>
      <w:r>
        <w:rPr>
          <w:rFonts w:asciiTheme="minorHAnsi" w:hAnsiTheme="minorHAnsi" w:cstheme="minorHAnsi"/>
        </w:rPr>
        <w:t xml:space="preserve">. </w:t>
      </w:r>
      <w:r>
        <w:rPr>
          <w:rFonts w:cstheme="minorHAnsi"/>
        </w:rPr>
        <w:t>Builders merchants were a</w:t>
      </w:r>
      <w:r>
        <w:rPr>
          <w:rFonts w:cstheme="minorHAnsi"/>
        </w:rPr>
        <w:t>n important source of information</w:t>
      </w:r>
      <w:r>
        <w:rPr>
          <w:rFonts w:cstheme="minorHAnsi"/>
        </w:rPr>
        <w:t xml:space="preserve">, especially on products and </w:t>
      </w:r>
      <w:r>
        <w:rPr>
          <w:rFonts w:cstheme="minorHAnsi"/>
        </w:rPr>
        <w:t xml:space="preserve">on </w:t>
      </w:r>
      <w:r>
        <w:rPr>
          <w:rFonts w:cstheme="minorHAnsi"/>
        </w:rPr>
        <w:t>training by product manufacturers</w:t>
      </w:r>
      <w:r>
        <w:rPr>
          <w:rFonts w:cstheme="minorHAnsi"/>
        </w:rPr>
        <w:t>.</w:t>
      </w:r>
    </w:p>
    <w:p w:rsidR="001D0686" w:rsidP="00AC6B73">
      <w:pPr>
        <w:spacing w:after="120"/>
        <w:rPr>
          <w:rFonts w:cstheme="minorHAnsi"/>
        </w:rPr>
      </w:pPr>
      <w:r>
        <w:rPr>
          <w:rFonts w:cstheme="minorHAnsi"/>
        </w:rPr>
        <w:t>5.13 Reliability of new t</w:t>
      </w:r>
      <w:r>
        <w:rPr>
          <w:rFonts w:cstheme="minorHAnsi"/>
        </w:rPr>
        <w:t xml:space="preserve">echnology for energy efficiency was a concern for some participants. The concern of losing trust and reputation could lead to practitioners avoiding risks with new products. </w:t>
      </w:r>
    </w:p>
    <w:p w:rsidR="000B4999" w:rsidP="00AC6B73">
      <w:pPr>
        <w:spacing w:after="120"/>
        <w:rPr>
          <w:rFonts w:cstheme="minorHAnsi"/>
          <w:bCs/>
          <w:i/>
          <w:iCs/>
        </w:rPr>
      </w:pPr>
      <w:r w:rsidRPr="000B4999">
        <w:rPr>
          <w:rFonts w:cstheme="minorHAnsi"/>
          <w:bCs/>
          <w:i/>
          <w:iCs/>
        </w:rPr>
        <w:t>May 2021</w:t>
      </w:r>
    </w:p>
    <w:p w:rsidR="000B4999" w:rsidRPr="000B4999" w:rsidP="00AC6B73">
      <w:pPr>
        <w:spacing w:after="120"/>
        <w:rPr>
          <w:rFonts w:cstheme="minorHAnsi"/>
          <w:bCs/>
          <w:i/>
          <w:iCs/>
        </w:rPr>
      </w:pPr>
    </w:p>
    <w:p w:rsidR="00254F4F" w:rsidP="00AC6B73">
      <w:pPr>
        <w:spacing w:after="120"/>
        <w:rPr>
          <w:rFonts w:cstheme="minorHAnsi"/>
          <w:b/>
        </w:rPr>
      </w:pPr>
      <w:r>
        <w:rPr>
          <w:rFonts w:cstheme="minorHAnsi"/>
          <w:b/>
        </w:rPr>
        <w:t>6</w:t>
      </w:r>
      <w:r>
        <w:rPr>
          <w:b/>
        </w:rPr>
        <w:t xml:space="preserve"> </w:t>
      </w:r>
      <w:r>
        <w:rPr>
          <w:rFonts w:cstheme="minorHAnsi"/>
          <w:b/>
        </w:rPr>
        <w:t>References</w:t>
      </w:r>
    </w:p>
    <w:p w:rsidR="00AE1413" w:rsidRPr="00AE1413" w:rsidP="00AE1413">
      <w:pPr>
        <w:widowControl w:val="0"/>
        <w:autoSpaceDE w:val="0"/>
        <w:autoSpaceDN w:val="0"/>
        <w:adjustRightInd w:val="0"/>
        <w:ind w:left="720" w:hanging="720"/>
        <w:rPr>
          <w:rFonts w:cstheme="minorHAnsi"/>
        </w:rPr>
      </w:pPr>
      <w:r w:rsidRPr="00AE1413">
        <w:rPr>
          <w:rFonts w:cstheme="minorHAnsi"/>
        </w:rPr>
        <w:t xml:space="preserve">[1] </w:t>
      </w:r>
      <w:r w:rsidRPr="00AE1413">
        <w:rPr>
          <w:rFonts w:cstheme="minorHAnsi"/>
        </w:rPr>
        <w:t xml:space="preserve">N. Murtagh, A. M. Owen, and K. Simpson, "What motivates building repair-maintenance practitioners to include or avoid energy efficiency measures? Evidence from three studies in the United Kingdom.," </w:t>
      </w:r>
      <w:r w:rsidRPr="00AE1413">
        <w:rPr>
          <w:rFonts w:cstheme="minorHAnsi"/>
          <w:i/>
          <w:iCs/>
        </w:rPr>
        <w:t xml:space="preserve">Energy research and social science, </w:t>
      </w:r>
      <w:r w:rsidRPr="00AE1413">
        <w:rPr>
          <w:rFonts w:cstheme="minorHAnsi"/>
        </w:rPr>
        <w:t>vol. 73, p. 101943, 2</w:t>
      </w:r>
      <w:r w:rsidRPr="00AE1413">
        <w:rPr>
          <w:rFonts w:cstheme="minorHAnsi"/>
        </w:rPr>
        <w:t>021.</w:t>
      </w:r>
    </w:p>
    <w:p w:rsidR="006520DB" w:rsidRPr="00AE1413" w:rsidP="00AE1413">
      <w:pPr>
        <w:widowControl w:val="0"/>
        <w:autoSpaceDE w:val="0"/>
        <w:autoSpaceDN w:val="0"/>
        <w:adjustRightInd w:val="0"/>
        <w:ind w:left="720" w:hanging="720"/>
        <w:rPr>
          <w:rFonts w:cstheme="minorHAnsi"/>
        </w:rPr>
      </w:pPr>
      <w:r w:rsidRPr="00AE1413">
        <w:rPr>
          <w:rFonts w:cstheme="minorHAnsi"/>
        </w:rPr>
        <w:tab/>
        <w:t xml:space="preserve">K. Simpson, N. Murtagh, and A. M. Owen, "Domestic retrofit: understanding capabilities of micro-enterprise building practitioners," </w:t>
      </w:r>
      <w:r w:rsidRPr="00AE1413">
        <w:rPr>
          <w:rFonts w:cstheme="minorHAnsi"/>
          <w:i/>
          <w:iCs/>
        </w:rPr>
        <w:t xml:space="preserve">Buildings and cities, </w:t>
      </w:r>
      <w:r w:rsidRPr="00AE1413">
        <w:rPr>
          <w:rFonts w:cstheme="minorHAnsi"/>
        </w:rPr>
        <w:t xml:space="preserve">vol. 2, no. 1, pp. 449-466, 2021, </w:t>
      </w:r>
      <w:r w:rsidRPr="00AE1413">
        <w:rPr>
          <w:rFonts w:cstheme="minorHAnsi"/>
        </w:rPr>
        <w:t>doi</w:t>
      </w:r>
      <w:r w:rsidRPr="00AE1413">
        <w:rPr>
          <w:rFonts w:cstheme="minorHAnsi"/>
        </w:rPr>
        <w:t>: https://doi.org/10.5334/bc.106.</w:t>
      </w:r>
    </w:p>
    <w:p w:rsidR="007059B2" w:rsidRPr="00AE1413" w:rsidP="00AE1413">
      <w:pPr>
        <w:ind w:left="720" w:hanging="720"/>
        <w:rPr>
          <w:rFonts w:cstheme="minorHAnsi"/>
        </w:rPr>
      </w:pPr>
      <w:r w:rsidRPr="00AE1413">
        <w:rPr>
          <w:rFonts w:cstheme="minorHAnsi"/>
        </w:rPr>
        <w:t>[2</w:t>
      </w:r>
      <w:r w:rsidRPr="00AE1413">
        <w:rPr>
          <w:rFonts w:cstheme="minorHAnsi"/>
        </w:rPr>
        <w:t>] BEIS. "Business popul</w:t>
      </w:r>
      <w:r w:rsidRPr="00AE1413">
        <w:rPr>
          <w:rFonts w:cstheme="minorHAnsi"/>
        </w:rPr>
        <w:t>ation estimates for the UK and regions 2019." Accessed 8.7.2020. Available: https://www.gov.uk/government/statistics/business-population-estimates-2019.</w:t>
      </w:r>
    </w:p>
    <w:p w:rsidR="00FC5E02" w:rsidRPr="00AE1413" w:rsidP="00AE1413">
      <w:pPr>
        <w:ind w:left="720" w:hanging="720"/>
        <w:rPr>
          <w:rFonts w:cstheme="minorHAnsi"/>
        </w:rPr>
      </w:pPr>
      <w:r w:rsidRPr="00AE1413">
        <w:rPr>
          <w:rFonts w:cstheme="minorHAnsi"/>
        </w:rPr>
        <w:t>[3] ONS, "Construction industry: index categories and their respective weights," Office for National St</w:t>
      </w:r>
      <w:r w:rsidRPr="00AE1413">
        <w:rPr>
          <w:rFonts w:cstheme="minorHAnsi"/>
        </w:rPr>
        <w:t>atistics, London, 2020. Accessed: 8.6.2020.  Available: https://www.ons.gov.uk/businessindustryandtrade/constructionindustry/datasets/outputintheconstructionindustryindexcategoriesandtheirpercentageweights.</w:t>
      </w:r>
    </w:p>
    <w:p w:rsidR="00FC5E02" w:rsidRPr="00AE1413" w:rsidP="00AE1413">
      <w:pPr>
        <w:pStyle w:val="EndNoteBibliography"/>
        <w:spacing w:after="0"/>
        <w:ind w:left="720" w:hanging="720"/>
        <w:rPr>
          <w:rFonts w:asciiTheme="minorHAnsi" w:hAnsiTheme="minorHAnsi" w:cstheme="minorHAnsi"/>
        </w:rPr>
      </w:pPr>
      <w:r w:rsidRPr="00AE1413">
        <w:rPr>
          <w:rFonts w:asciiTheme="minorHAnsi" w:hAnsiTheme="minorHAnsi" w:cstheme="minorHAnsi"/>
        </w:rPr>
        <w:t>[4]</w:t>
      </w:r>
      <w:r>
        <w:rPr>
          <w:rFonts w:asciiTheme="minorHAnsi" w:hAnsiTheme="minorHAnsi" w:cstheme="minorHAnsi"/>
        </w:rPr>
        <w:t xml:space="preserve"> </w:t>
      </w:r>
      <w:r w:rsidRPr="00AE1413">
        <w:rPr>
          <w:rFonts w:asciiTheme="minorHAnsi" w:hAnsiTheme="minorHAnsi" w:cstheme="minorHAnsi"/>
        </w:rPr>
        <w:t>A. Owen, G. Mitchell, and A. Gouldson, "Unsee</w:t>
      </w:r>
      <w:r w:rsidRPr="00AE1413">
        <w:rPr>
          <w:rFonts w:asciiTheme="minorHAnsi" w:hAnsiTheme="minorHAnsi" w:cstheme="minorHAnsi"/>
        </w:rPr>
        <w:t xml:space="preserve">n influence - the role of low-carbon retrofit advisors and installers in the adoption and use of domestic energy technology," </w:t>
      </w:r>
      <w:r w:rsidRPr="00AE1413">
        <w:rPr>
          <w:rFonts w:asciiTheme="minorHAnsi" w:hAnsiTheme="minorHAnsi" w:cstheme="minorHAnsi"/>
          <w:i/>
        </w:rPr>
        <w:t xml:space="preserve">Energy policy, </w:t>
      </w:r>
      <w:r w:rsidRPr="00AE1413">
        <w:rPr>
          <w:rFonts w:asciiTheme="minorHAnsi" w:hAnsiTheme="minorHAnsi" w:cstheme="minorHAnsi"/>
        </w:rPr>
        <w:t>vol. 73, pp. 169-179, 2014.</w:t>
      </w:r>
    </w:p>
    <w:p w:rsidR="00FC5E02" w:rsidRPr="00AE1413" w:rsidP="00AE1413">
      <w:pPr>
        <w:ind w:left="720" w:hanging="720"/>
        <w:rPr>
          <w:rFonts w:cstheme="minorHAnsi"/>
        </w:rPr>
      </w:pPr>
      <w:r w:rsidRPr="00AE1413">
        <w:rPr>
          <w:rFonts w:cstheme="minorHAnsi"/>
        </w:rPr>
        <w:t>[5] Committee on Climate Change, "</w:t>
      </w:r>
      <w:r>
        <w:rPr>
          <w:rFonts w:cstheme="minorHAnsi"/>
        </w:rPr>
        <w:t>UK housing: fit for the future?</w:t>
      </w:r>
      <w:r w:rsidRPr="00AE1413">
        <w:rPr>
          <w:rFonts w:cstheme="minorHAnsi"/>
        </w:rPr>
        <w:t>" Committee on Climate</w:t>
      </w:r>
      <w:r w:rsidRPr="00AE1413">
        <w:rPr>
          <w:rFonts w:cstheme="minorHAnsi"/>
        </w:rPr>
        <w:t xml:space="preserve"> Change, 2019.  Available: https://www.theccc.org.uk/wp-content/uploads/2019/02/UK-housing-Fit-for-the-future-CCC-2019.pdf</w:t>
      </w:r>
    </w:p>
    <w:p w:rsidR="004D295D" w:rsidRPr="00AE1413" w:rsidP="00AE1413">
      <w:pPr>
        <w:ind w:left="720" w:hanging="720"/>
        <w:rPr>
          <w:rFonts w:cstheme="minorHAnsi"/>
        </w:rPr>
      </w:pPr>
      <w:r w:rsidRPr="00AE1413">
        <w:rPr>
          <w:rFonts w:cstheme="minorHAnsi"/>
        </w:rPr>
        <w:t xml:space="preserve">[6] J. </w:t>
      </w:r>
      <w:r w:rsidRPr="00AE1413">
        <w:rPr>
          <w:rFonts w:cstheme="minorHAnsi"/>
        </w:rPr>
        <w:t>Rosenow</w:t>
      </w:r>
      <w:r w:rsidRPr="00AE1413">
        <w:rPr>
          <w:rFonts w:cstheme="minorHAnsi"/>
        </w:rPr>
        <w:t xml:space="preserve"> and N. Eyre, "A </w:t>
      </w:r>
      <w:r w:rsidRPr="00AE1413">
        <w:rPr>
          <w:rFonts w:cstheme="minorHAnsi"/>
        </w:rPr>
        <w:t>post mortem</w:t>
      </w:r>
      <w:r w:rsidRPr="00AE1413">
        <w:rPr>
          <w:rFonts w:cstheme="minorHAnsi"/>
        </w:rPr>
        <w:t xml:space="preserve"> of the Green Deal: Austerity, energy efficiency, and failure in British energy policy.," </w:t>
      </w:r>
      <w:r w:rsidRPr="00AE1413">
        <w:rPr>
          <w:rFonts w:cstheme="minorHAnsi"/>
          <w:i/>
        </w:rPr>
        <w:t>E</w:t>
      </w:r>
      <w:r w:rsidRPr="00AE1413">
        <w:rPr>
          <w:rFonts w:cstheme="minorHAnsi"/>
          <w:i/>
        </w:rPr>
        <w:t xml:space="preserve">nergy research and social science, </w:t>
      </w:r>
      <w:r w:rsidRPr="00AE1413">
        <w:rPr>
          <w:rFonts w:cstheme="minorHAnsi"/>
        </w:rPr>
        <w:t>vol. 21, pp. 141-144, 2016.</w:t>
      </w:r>
    </w:p>
    <w:p w:rsidR="006520DB" w:rsidRPr="00AE1413" w:rsidP="00AE1413">
      <w:pPr>
        <w:ind w:left="720" w:hanging="720"/>
        <w:rPr>
          <w:rFonts w:cstheme="minorHAnsi"/>
        </w:rPr>
      </w:pPr>
      <w:r w:rsidRPr="00AE1413">
        <w:rPr>
          <w:rFonts w:cstheme="minorHAnsi"/>
        </w:rPr>
        <w:t>[7</w:t>
      </w:r>
      <w:r w:rsidRPr="00AE1413">
        <w:rPr>
          <w:rFonts w:cstheme="minorHAnsi"/>
        </w:rPr>
        <w:t xml:space="preserve">] S. Michie, M. M. Van </w:t>
      </w:r>
      <w:r w:rsidRPr="00AE1413">
        <w:rPr>
          <w:rFonts w:cstheme="minorHAnsi"/>
        </w:rPr>
        <w:t>Stralen</w:t>
      </w:r>
      <w:r w:rsidRPr="00AE1413">
        <w:rPr>
          <w:rFonts w:cstheme="minorHAnsi"/>
        </w:rPr>
        <w:t xml:space="preserve">, and R. West, "The behaviour change wheel: A new method for characterising and designing behaviour change interventions," </w:t>
      </w:r>
      <w:r w:rsidRPr="00AE1413">
        <w:rPr>
          <w:rFonts w:cstheme="minorHAnsi"/>
          <w:i/>
        </w:rPr>
        <w:t xml:space="preserve">Implementation science, </w:t>
      </w:r>
      <w:r w:rsidRPr="00AE1413">
        <w:rPr>
          <w:rFonts w:cstheme="minorHAnsi"/>
        </w:rPr>
        <w:t>vol. 6, p. 42,</w:t>
      </w:r>
      <w:r w:rsidRPr="00AE1413">
        <w:rPr>
          <w:rFonts w:cstheme="minorHAnsi"/>
        </w:rPr>
        <w:t xml:space="preserve"> 2011.</w:t>
      </w:r>
      <w:r w:rsidRPr="00AE1413">
        <w:rPr>
          <w:rFonts w:cstheme="minorHAnsi"/>
        </w:rPr>
        <w:t xml:space="preserve"> </w:t>
      </w:r>
      <w:r w:rsidRPr="00AE1413">
        <w:rPr>
          <w:rFonts w:cstheme="minorHAnsi"/>
        </w:rPr>
        <w:tab/>
      </w:r>
    </w:p>
    <w:p w:rsidR="004D295D" w:rsidRPr="00AE1413" w:rsidP="00AE1413">
      <w:pPr>
        <w:ind w:left="720"/>
        <w:rPr>
          <w:rFonts w:cstheme="minorHAnsi"/>
        </w:rPr>
      </w:pPr>
      <w:r w:rsidRPr="00AE1413">
        <w:rPr>
          <w:rFonts w:cstheme="minorHAnsi"/>
        </w:rPr>
        <w:t xml:space="preserve">S. Michie and R. West, "Behaviour change theory and evidence: a presentation to Government," </w:t>
      </w:r>
      <w:r w:rsidRPr="00AE1413">
        <w:rPr>
          <w:rFonts w:cstheme="minorHAnsi"/>
          <w:i/>
        </w:rPr>
        <w:t xml:space="preserve">Health psychology review, </w:t>
      </w:r>
      <w:r w:rsidRPr="00AE1413">
        <w:rPr>
          <w:rFonts w:cstheme="minorHAnsi"/>
        </w:rPr>
        <w:t>vol. 7, no. 1, pp. 1-22, 2012.</w:t>
      </w:r>
    </w:p>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5E3A" w:rsidP="000B4999">
    <w:pPr>
      <w:pStyle w:val="Footer"/>
    </w:pPr>
  </w:p>
  <w:p w:rsidR="00F85E3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4999">
    <w:pPr>
      <w:pStyle w:val="Header"/>
    </w:pPr>
    <w:r w:rsidRPr="000B4999">
      <w:t>Dr Niamh Murtagh</w:t>
    </w:r>
    <w:r>
      <w:t xml:space="preserve">, </w:t>
    </w:r>
    <w:r w:rsidRPr="000B4999">
      <w:t>Prof Alice M Owen</w:t>
    </w:r>
    <w:r>
      <w:t xml:space="preserve">, and </w:t>
    </w:r>
    <w:r w:rsidRPr="000B4999">
      <w:t>Dr Kate Simpson</w:t>
    </w:r>
    <w:r>
      <w:tab/>
      <w:t>SBE0035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F622A"/>
    <w:multiLevelType w:val="hybridMultilevel"/>
    <w:tmpl w:val="6CE88F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AD53490"/>
    <w:multiLevelType w:val="hybridMultilevel"/>
    <w:tmpl w:val="8714AA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5F306D1"/>
    <w:multiLevelType w:val="hybridMultilevel"/>
    <w:tmpl w:val="03BA7A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F23069"/>
    <w:multiLevelType w:val="hybridMultilevel"/>
    <w:tmpl w:val="A2344A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64F0302"/>
    <w:multiLevelType w:val="hybridMultilevel"/>
    <w:tmpl w:val="FF7E49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4E52C16"/>
    <w:multiLevelType w:val="hybridMultilevel"/>
    <w:tmpl w:val="7610D1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5F9D67A2"/>
    <w:multiLevelType w:val="hybridMultilevel"/>
    <w:tmpl w:val="0F0CAA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7E2701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3"/>
  </w:num>
  <w:num w:numId="6">
    <w:abstractNumId w:val="4"/>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70F"/>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31B4"/>
    <w:rPr>
      <w:sz w:val="16"/>
      <w:szCs w:val="16"/>
    </w:rPr>
  </w:style>
  <w:style w:type="paragraph" w:styleId="CommentText">
    <w:name w:val="annotation text"/>
    <w:basedOn w:val="Normal"/>
    <w:link w:val="CommentTextChar"/>
    <w:uiPriority w:val="99"/>
    <w:unhideWhenUsed/>
    <w:rsid w:val="005B31B4"/>
    <w:pPr>
      <w:spacing w:after="160"/>
    </w:pPr>
    <w:rPr>
      <w:sz w:val="20"/>
      <w:szCs w:val="20"/>
    </w:rPr>
  </w:style>
  <w:style w:type="character" w:customStyle="1" w:styleId="CommentTextChar">
    <w:name w:val="Comment Text Char"/>
    <w:basedOn w:val="DefaultParagraphFont"/>
    <w:link w:val="CommentText"/>
    <w:uiPriority w:val="99"/>
    <w:rsid w:val="005B31B4"/>
    <w:rPr>
      <w:sz w:val="20"/>
      <w:szCs w:val="20"/>
    </w:rPr>
  </w:style>
  <w:style w:type="paragraph" w:styleId="BalloonText">
    <w:name w:val="Balloon Text"/>
    <w:basedOn w:val="Normal"/>
    <w:link w:val="BalloonTextChar"/>
    <w:uiPriority w:val="99"/>
    <w:semiHidden/>
    <w:unhideWhenUsed/>
    <w:rsid w:val="005B3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1B4"/>
    <w:rPr>
      <w:rFonts w:ascii="Segoe UI" w:hAnsi="Segoe UI" w:cs="Segoe UI"/>
      <w:sz w:val="18"/>
      <w:szCs w:val="18"/>
    </w:rPr>
  </w:style>
  <w:style w:type="table" w:customStyle="1" w:styleId="PlainTable41">
    <w:name w:val="Plain Table 41"/>
    <w:basedOn w:val="TableNormal"/>
    <w:uiPriority w:val="44"/>
    <w:rsid w:val="005B31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A57C86"/>
    <w:pPr>
      <w:autoSpaceDE w:val="0"/>
      <w:autoSpaceDN w:val="0"/>
      <w:adjustRightInd w:val="0"/>
      <w:spacing w:before="100" w:after="100" w:line="240" w:lineRule="atLeast"/>
    </w:pPr>
    <w:rPr>
      <w:rFonts w:ascii="Times New Roman" w:hAnsi="Times New Roman" w:cs="Times New Roman"/>
      <w:sz w:val="24"/>
      <w:szCs w:val="24"/>
    </w:rPr>
  </w:style>
  <w:style w:type="paragraph" w:customStyle="1" w:styleId="EndNoteBibliography">
    <w:name w:val="EndNote Bibliography"/>
    <w:basedOn w:val="Normal"/>
    <w:link w:val="EndNoteBibliographyChar"/>
    <w:rsid w:val="009F54E8"/>
    <w:pPr>
      <w:spacing w:after="160"/>
    </w:pPr>
    <w:rPr>
      <w:rFonts w:ascii="Calibri" w:hAnsi="Calibri" w:cs="Calibri"/>
      <w:noProof/>
      <w:lang w:val="en-US"/>
    </w:rPr>
  </w:style>
  <w:style w:type="character" w:customStyle="1" w:styleId="EndNoteBibliographyChar">
    <w:name w:val="EndNote Bibliography Char"/>
    <w:basedOn w:val="DefaultParagraphFont"/>
    <w:link w:val="EndNoteBibliography"/>
    <w:rsid w:val="009F54E8"/>
    <w:rPr>
      <w:rFonts w:ascii="Calibri" w:hAnsi="Calibri" w:cs="Calibri"/>
      <w:noProof/>
      <w:lang w:val="en-US"/>
    </w:rPr>
  </w:style>
  <w:style w:type="paragraph" w:styleId="ListParagraph">
    <w:name w:val="List Paragraph"/>
    <w:basedOn w:val="Normal"/>
    <w:uiPriority w:val="34"/>
    <w:qFormat/>
    <w:rsid w:val="0090347C"/>
    <w:pPr>
      <w:ind w:left="720"/>
      <w:contextualSpacing/>
    </w:pPr>
  </w:style>
  <w:style w:type="paragraph" w:customStyle="1" w:styleId="xmsonospacing">
    <w:name w:val="x_msonospacing"/>
    <w:basedOn w:val="Normal"/>
    <w:rsid w:val="0090347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90347C"/>
    <w:rPr>
      <w:rFonts w:ascii="Calibri" w:hAnsi="Calibri" w:eastAsiaTheme="minorEastAsia" w:cs="Calibri"/>
      <w:lang w:eastAsia="en-GB"/>
    </w:rPr>
  </w:style>
  <w:style w:type="paragraph" w:customStyle="1" w:styleId="xxmsonormal">
    <w:name w:val="x_xmsonormal"/>
    <w:basedOn w:val="Normal"/>
    <w:uiPriority w:val="99"/>
    <w:semiHidden/>
    <w:rsid w:val="0090347C"/>
    <w:rPr>
      <w:rFonts w:ascii="Calibri" w:hAnsi="Calibri" w:eastAsiaTheme="minorEastAsia" w:cs="Calibri"/>
      <w:lang w:eastAsia="en-GB"/>
    </w:rPr>
  </w:style>
  <w:style w:type="paragraph" w:customStyle="1" w:styleId="xxmsolistparagraph">
    <w:name w:val="x_xmsolistparagraph"/>
    <w:basedOn w:val="Normal"/>
    <w:uiPriority w:val="99"/>
    <w:semiHidden/>
    <w:rsid w:val="00082DAB"/>
    <w:pPr>
      <w:spacing w:before="100" w:beforeAutospacing="1" w:after="100" w:afterAutospacing="1"/>
    </w:pPr>
    <w:rPr>
      <w:rFonts w:ascii="Calibri" w:hAnsi="Calibri" w:eastAsiaTheme="minorEastAsia" w:cs="Calibri"/>
      <w:lang w:eastAsia="en-GB"/>
    </w:rPr>
  </w:style>
  <w:style w:type="paragraph" w:styleId="CommentSubject">
    <w:name w:val="annotation subject"/>
    <w:basedOn w:val="CommentText"/>
    <w:next w:val="CommentText"/>
    <w:link w:val="CommentSubjectChar"/>
    <w:uiPriority w:val="99"/>
    <w:semiHidden/>
    <w:unhideWhenUsed/>
    <w:rsid w:val="00DA66DE"/>
    <w:pPr>
      <w:spacing w:after="0"/>
    </w:pPr>
    <w:rPr>
      <w:b/>
      <w:bCs/>
    </w:rPr>
  </w:style>
  <w:style w:type="character" w:customStyle="1" w:styleId="CommentSubjectChar">
    <w:name w:val="Comment Subject Char"/>
    <w:basedOn w:val="CommentTextChar"/>
    <w:link w:val="CommentSubject"/>
    <w:uiPriority w:val="99"/>
    <w:semiHidden/>
    <w:rsid w:val="00DA66DE"/>
    <w:rPr>
      <w:b/>
      <w:bCs/>
      <w:sz w:val="20"/>
      <w:szCs w:val="20"/>
    </w:rPr>
  </w:style>
  <w:style w:type="paragraph" w:styleId="Header">
    <w:name w:val="header"/>
    <w:basedOn w:val="Normal"/>
    <w:link w:val="HeaderChar"/>
    <w:uiPriority w:val="99"/>
    <w:unhideWhenUsed/>
    <w:rsid w:val="00F85E3A"/>
    <w:pPr>
      <w:tabs>
        <w:tab w:val="center" w:pos="4513"/>
        <w:tab w:val="right" w:pos="9026"/>
      </w:tabs>
    </w:pPr>
  </w:style>
  <w:style w:type="character" w:customStyle="1" w:styleId="HeaderChar">
    <w:name w:val="Header Char"/>
    <w:basedOn w:val="DefaultParagraphFont"/>
    <w:link w:val="Header"/>
    <w:uiPriority w:val="99"/>
    <w:rsid w:val="00F85E3A"/>
  </w:style>
  <w:style w:type="paragraph" w:styleId="Footer">
    <w:name w:val="footer"/>
    <w:basedOn w:val="Normal"/>
    <w:link w:val="FooterChar"/>
    <w:uiPriority w:val="99"/>
    <w:unhideWhenUsed/>
    <w:rsid w:val="00F85E3A"/>
    <w:pPr>
      <w:tabs>
        <w:tab w:val="center" w:pos="4513"/>
        <w:tab w:val="right" w:pos="9026"/>
      </w:tabs>
    </w:pPr>
  </w:style>
  <w:style w:type="character" w:customStyle="1" w:styleId="FooterChar">
    <w:name w:val="Footer Char"/>
    <w:basedOn w:val="DefaultParagraphFont"/>
    <w:link w:val="Footer"/>
    <w:uiPriority w:val="99"/>
    <w:rsid w:val="00F8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96374A8E923D449B3ABF92C71B0030" ma:contentTypeVersion="12" ma:contentTypeDescription="Create a new document." ma:contentTypeScope="" ma:versionID="1b523b07fb1ccf9376133d4a55487d4e">
  <xsd:schema xmlns:xsd="http://www.w3.org/2001/XMLSchema" xmlns:xs="http://www.w3.org/2001/XMLSchema" xmlns:p="http://schemas.microsoft.com/office/2006/metadata/properties" xmlns:ns3="3b662734-78da-4376-95c6-90d1770bbc2d" xmlns:ns4="773ed5f5-f2aa-4d19-b627-5a07d8948329" targetNamespace="http://schemas.microsoft.com/office/2006/metadata/properties" ma:root="true" ma:fieldsID="e2c96b02544727a1eb94fe2e3089cbdb" ns3:_="" ns4:_="">
    <xsd:import namespace="3b662734-78da-4376-95c6-90d1770bbc2d"/>
    <xsd:import namespace="773ed5f5-f2aa-4d19-b627-5a07d89483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62734-78da-4376-95c6-90d1770bbc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ed5f5-f2aa-4d19-b627-5a07d89483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0D28-4C90-4864-AC1F-AC5BC495AB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9B1FA0-ADC5-4080-869B-122592A02410}">
  <ds:schemaRefs>
    <ds:schemaRef ds:uri="http://schemas.microsoft.com/sharepoint/v3/contenttype/forms"/>
  </ds:schemaRefs>
</ds:datastoreItem>
</file>

<file path=customXml/itemProps3.xml><?xml version="1.0" encoding="utf-8"?>
<ds:datastoreItem xmlns:ds="http://schemas.openxmlformats.org/officeDocument/2006/customXml" ds:itemID="{3CE8C2A2-A853-42BF-9451-FAF48A72F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62734-78da-4376-95c6-90d1770bbc2d"/>
    <ds:schemaRef ds:uri="773ed5f5-f2aa-4d19-b627-5a07d8948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33B953-13A2-4F5C-AB36-A559AF85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