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673E" w:rsidRPr="00182ED9" w:rsidP="001C6152">
      <w:pPr>
        <w:pStyle w:val="Heading1"/>
        <w:spacing w:before="82"/>
        <w:ind w:left="1276" w:right="1585"/>
        <w:jc w:val="center"/>
        <w:rPr>
          <w:rFonts w:ascii="Verdana" w:hAnsi="Verdana"/>
          <w:sz w:val="24"/>
          <w:szCs w:val="24"/>
          <w:u w:val="single"/>
        </w:rPr>
      </w:pPr>
      <w:r w:rsidRPr="00182ED9">
        <w:rPr>
          <w:rFonts w:ascii="Verdana" w:hAnsi="Verdana"/>
          <w:sz w:val="24"/>
          <w:szCs w:val="24"/>
          <w:u w:val="single"/>
        </w:rPr>
        <w:t xml:space="preserve">Written evidence from </w:t>
      </w:r>
      <w:r w:rsidRPr="00182ED9">
        <w:rPr>
          <w:rFonts w:ascii="Verdana" w:hAnsi="Verdana"/>
          <w:sz w:val="24"/>
          <w:szCs w:val="24"/>
          <w:u w:val="single"/>
        </w:rPr>
        <w:t>Monzo</w:t>
      </w:r>
      <w:r w:rsidRPr="00182ED9">
        <w:rPr>
          <w:rFonts w:ascii="Verdana" w:hAnsi="Verdana"/>
          <w:sz w:val="24"/>
          <w:szCs w:val="24"/>
          <w:u w:val="single"/>
        </w:rPr>
        <w:t xml:space="preserve"> – FEF0004</w:t>
      </w:r>
    </w:p>
    <w:p w:rsidR="006F673E" w:rsidRPr="001C6152">
      <w:pPr>
        <w:pStyle w:val="BodyText"/>
        <w:rPr>
          <w:rFonts w:ascii="Verdana" w:hAnsi="Verdana"/>
          <w:b/>
          <w:sz w:val="24"/>
          <w:szCs w:val="24"/>
        </w:rPr>
      </w:pPr>
    </w:p>
    <w:p w:rsidR="006F673E" w:rsidRPr="001C6152">
      <w:pPr>
        <w:spacing w:before="205"/>
        <w:ind w:left="101"/>
        <w:rPr>
          <w:rFonts w:ascii="Verdana" w:hAnsi="Verdana"/>
          <w:b/>
          <w:sz w:val="24"/>
          <w:szCs w:val="24"/>
        </w:rPr>
      </w:pPr>
      <w:r w:rsidRPr="001C6152">
        <w:rPr>
          <w:rFonts w:ascii="Verdana" w:hAnsi="Verdana"/>
          <w:spacing w:val="-56"/>
          <w:sz w:val="24"/>
          <w:szCs w:val="24"/>
          <w:u w:val="single"/>
        </w:rPr>
        <w:t xml:space="preserve"> </w:t>
      </w:r>
      <w:r w:rsidRPr="001C6152">
        <w:rPr>
          <w:rFonts w:ascii="Verdana" w:hAnsi="Verdana"/>
          <w:b/>
          <w:sz w:val="24"/>
          <w:szCs w:val="24"/>
          <w:u w:val="single"/>
        </w:rPr>
        <w:t>General</w:t>
      </w:r>
    </w:p>
    <w:p w:rsidR="006F673E" w:rsidRPr="001C6152">
      <w:pPr>
        <w:spacing w:before="6" w:line="244" w:lineRule="auto"/>
        <w:ind w:left="101" w:right="638"/>
        <w:rPr>
          <w:rFonts w:ascii="Verdana" w:hAnsi="Verdana"/>
          <w:b/>
          <w:sz w:val="24"/>
          <w:szCs w:val="24"/>
        </w:rPr>
      </w:pPr>
      <w:r w:rsidRPr="001C6152">
        <w:rPr>
          <w:rFonts w:ascii="Verdana" w:hAnsi="Verdana"/>
          <w:b/>
          <w:color w:val="201F1D"/>
          <w:sz w:val="24"/>
          <w:szCs w:val="24"/>
        </w:rPr>
        <w:t>What are the most significant developments since the original report was published in 2017?</w:t>
      </w:r>
    </w:p>
    <w:p w:rsidR="006F673E" w:rsidRPr="001C6152">
      <w:pPr>
        <w:pStyle w:val="BodyText"/>
        <w:spacing w:before="7"/>
        <w:rPr>
          <w:rFonts w:ascii="Verdana" w:hAnsi="Verdana"/>
          <w:b/>
          <w:sz w:val="24"/>
          <w:szCs w:val="24"/>
        </w:rPr>
      </w:pPr>
    </w:p>
    <w:p w:rsidR="006F673E" w:rsidRPr="001C6152">
      <w:pPr>
        <w:pStyle w:val="BodyText"/>
        <w:spacing w:line="237" w:lineRule="auto"/>
        <w:ind w:left="101" w:right="321"/>
        <w:rPr>
          <w:rFonts w:ascii="Verdana" w:hAnsi="Verdana"/>
          <w:sz w:val="24"/>
          <w:szCs w:val="24"/>
        </w:rPr>
      </w:pPr>
      <w:r w:rsidRPr="001C6152">
        <w:rPr>
          <w:rFonts w:ascii="Verdana" w:hAnsi="Verdana"/>
          <w:color w:val="201F1D"/>
          <w:sz w:val="24"/>
          <w:szCs w:val="24"/>
        </w:rPr>
        <w:t xml:space="preserve">UK fintech has scaled dramatically in the past 4 years, with COVID-19 only accelerating the transition to digital finance. Innovative solutions have emerged in specific product areas, offering everything from new ways to invest, borrow, </w:t>
      </w:r>
      <w:r w:rsidRPr="001C6152">
        <w:rPr>
          <w:rFonts w:ascii="Verdana" w:hAnsi="Verdana"/>
          <w:color w:val="201F1D"/>
          <w:sz w:val="24"/>
          <w:szCs w:val="24"/>
        </w:rPr>
        <w:t>spend</w:t>
      </w:r>
      <w:r w:rsidRPr="001C6152">
        <w:rPr>
          <w:rFonts w:ascii="Verdana" w:hAnsi="Verdana"/>
          <w:color w:val="201F1D"/>
          <w:sz w:val="24"/>
          <w:szCs w:val="24"/>
        </w:rPr>
        <w:t xml:space="preserve"> or send money.</w:t>
      </w:r>
    </w:p>
    <w:p w:rsidR="006F673E" w:rsidRPr="001C6152">
      <w:pPr>
        <w:pStyle w:val="BodyText"/>
        <w:spacing w:before="10"/>
        <w:rPr>
          <w:rFonts w:ascii="Verdana" w:hAnsi="Verdana"/>
          <w:sz w:val="24"/>
          <w:szCs w:val="24"/>
        </w:rPr>
      </w:pPr>
    </w:p>
    <w:p w:rsidR="001C6152" w:rsidRPr="001C6152" w:rsidP="001C6152">
      <w:pPr>
        <w:pStyle w:val="BodyText"/>
        <w:spacing w:line="244" w:lineRule="auto"/>
        <w:ind w:left="101" w:right="578"/>
        <w:rPr>
          <w:rFonts w:ascii="Verdana" w:hAnsi="Verdana"/>
          <w:sz w:val="24"/>
          <w:szCs w:val="24"/>
        </w:rPr>
      </w:pPr>
      <w:r w:rsidRPr="001C6152">
        <w:rPr>
          <w:rFonts w:ascii="Verdana" w:hAnsi="Verdana"/>
          <w:sz w:val="24"/>
          <w:szCs w:val="24"/>
        </w:rPr>
        <w:t xml:space="preserve">Founded in 2015, </w:t>
      </w:r>
      <w:r w:rsidRPr="001C6152">
        <w:rPr>
          <w:rFonts w:ascii="Verdana" w:hAnsi="Verdana"/>
          <w:sz w:val="24"/>
          <w:szCs w:val="24"/>
        </w:rPr>
        <w:t>Monzo</w:t>
      </w:r>
      <w:r w:rsidRPr="001C6152">
        <w:rPr>
          <w:rFonts w:ascii="Verdana" w:hAnsi="Verdana"/>
          <w:sz w:val="24"/>
          <w:szCs w:val="24"/>
        </w:rPr>
        <w:t xml:space="preserve"> is a digital only bank headquartered in London. We now serve over 5 million customers in the UK, and we’re still growing fast - adding around 100,000 users per month. </w:t>
      </w:r>
      <w:r w:rsidRPr="001C6152">
        <w:rPr>
          <w:rFonts w:ascii="Verdana" w:hAnsi="Verdana"/>
          <w:sz w:val="24"/>
          <w:szCs w:val="24"/>
        </w:rPr>
        <w:t>The vast majority of</w:t>
      </w:r>
      <w:r w:rsidRPr="001C6152">
        <w:rPr>
          <w:rFonts w:ascii="Verdana" w:hAnsi="Verdana"/>
          <w:sz w:val="24"/>
          <w:szCs w:val="24"/>
        </w:rPr>
        <w:t xml:space="preserve"> our growth is generated through word of mouth, and by many measures we remain the best bank in the UK.</w:t>
      </w:r>
    </w:p>
    <w:p w:rsidR="001C6152" w:rsidRPr="001C6152" w:rsidP="001C6152">
      <w:pPr>
        <w:pStyle w:val="BodyText"/>
        <w:spacing w:line="244" w:lineRule="auto"/>
        <w:ind w:left="101" w:right="578"/>
        <w:rPr>
          <w:rFonts w:ascii="Verdana" w:hAnsi="Verdana"/>
          <w:sz w:val="24"/>
          <w:szCs w:val="24"/>
        </w:rPr>
      </w:pPr>
    </w:p>
    <w:p w:rsidR="001C6152" w:rsidRPr="001C6152" w:rsidP="001C6152">
      <w:pPr>
        <w:pStyle w:val="BodyText"/>
        <w:spacing w:line="244" w:lineRule="auto"/>
        <w:ind w:left="101" w:right="578"/>
        <w:rPr>
          <w:rFonts w:ascii="Verdana" w:hAnsi="Verdana"/>
          <w:sz w:val="24"/>
          <w:szCs w:val="24"/>
        </w:rPr>
      </w:pPr>
      <w:r w:rsidRPr="001C6152">
        <w:rPr>
          <w:rFonts w:ascii="Verdana" w:hAnsi="Verdana"/>
          <w:sz w:val="24"/>
          <w:szCs w:val="24"/>
        </w:rPr>
        <w:t xml:space="preserve">Our users are also young, with the majority falling between 18-35 years </w:t>
      </w:r>
      <w:r w:rsidRPr="001C6152">
        <w:rPr>
          <w:rFonts w:ascii="Verdana" w:hAnsi="Verdana"/>
          <w:sz w:val="24"/>
          <w:szCs w:val="24"/>
        </w:rPr>
        <w:t>old,  and</w:t>
      </w:r>
      <w:r w:rsidRPr="001C6152">
        <w:rPr>
          <w:rFonts w:ascii="Verdana" w:hAnsi="Verdana"/>
          <w:sz w:val="24"/>
          <w:szCs w:val="24"/>
        </w:rPr>
        <w:t xml:space="preserve"> based in urban </w:t>
      </w:r>
      <w:r w:rsidRPr="001C6152">
        <w:rPr>
          <w:rFonts w:ascii="Verdana" w:hAnsi="Verdana"/>
          <w:sz w:val="24"/>
          <w:szCs w:val="24"/>
        </w:rPr>
        <w:t>centres</w:t>
      </w:r>
      <w:r w:rsidRPr="001C6152">
        <w:rPr>
          <w:rFonts w:ascii="Verdana" w:hAnsi="Verdana"/>
          <w:sz w:val="24"/>
          <w:szCs w:val="24"/>
        </w:rPr>
        <w:t xml:space="preserve">. 99% of people in the UK in this age group have access </w:t>
      </w:r>
      <w:r w:rsidRPr="001C6152">
        <w:rPr>
          <w:rFonts w:ascii="Verdana" w:hAnsi="Verdana"/>
          <w:sz w:val="24"/>
          <w:szCs w:val="24"/>
        </w:rPr>
        <w:t>to, and</w:t>
      </w:r>
      <w:r w:rsidRPr="001C6152">
        <w:rPr>
          <w:rFonts w:ascii="Verdana" w:hAnsi="Verdana"/>
          <w:sz w:val="24"/>
          <w:szCs w:val="24"/>
        </w:rPr>
        <w:t xml:space="preserve"> use a smartphone </w:t>
      </w:r>
      <w:r>
        <w:rPr>
          <w:rStyle w:val="FootnoteReference"/>
          <w:rFonts w:ascii="Verdana" w:hAnsi="Verdana"/>
          <w:sz w:val="24"/>
          <w:szCs w:val="24"/>
        </w:rPr>
        <w:footnoteReference w:id="2"/>
      </w:r>
      <w:r w:rsidRPr="001C6152">
        <w:rPr>
          <w:rFonts w:ascii="Verdana" w:hAnsi="Verdana"/>
          <w:sz w:val="24"/>
          <w:szCs w:val="24"/>
        </w:rPr>
        <w:t xml:space="preserve">.  Visibility and control are at the heart of all our features, and as an online only provider, it’s important we develop market leading digital tools to support our customers to manage their money online. When it comes to financial inclusion, accessibility, and vulnerability we aim to design products and services to meet people where they are - to communicate in ways they understand, and through channels they’re comfortable with. </w:t>
      </w:r>
    </w:p>
    <w:p w:rsidR="001C6152" w:rsidRPr="001C6152" w:rsidP="001C6152">
      <w:pPr>
        <w:pStyle w:val="BodyText"/>
        <w:spacing w:line="244" w:lineRule="auto"/>
        <w:ind w:left="101" w:right="578"/>
        <w:rPr>
          <w:rFonts w:ascii="Verdana" w:hAnsi="Verdana"/>
          <w:sz w:val="24"/>
          <w:szCs w:val="24"/>
        </w:rPr>
      </w:pPr>
    </w:p>
    <w:p w:rsidR="001C6152" w:rsidRPr="001C6152" w:rsidP="001C6152">
      <w:pPr>
        <w:pStyle w:val="BodyText"/>
        <w:spacing w:line="244" w:lineRule="auto"/>
        <w:ind w:left="101" w:right="578"/>
        <w:rPr>
          <w:rFonts w:ascii="Verdana" w:hAnsi="Verdana"/>
          <w:sz w:val="24"/>
          <w:szCs w:val="24"/>
        </w:rPr>
      </w:pPr>
      <w:r w:rsidRPr="001C6152">
        <w:rPr>
          <w:rFonts w:ascii="Verdana" w:hAnsi="Verdana"/>
          <w:sz w:val="24"/>
          <w:szCs w:val="24"/>
        </w:rPr>
        <w:t xml:space="preserve">From inception, we designed tools that will allow us to identify and support vulnerable </w:t>
      </w:r>
      <w:r w:rsidRPr="001C6152">
        <w:rPr>
          <w:rFonts w:ascii="Verdana" w:hAnsi="Verdana"/>
          <w:sz w:val="24"/>
          <w:szCs w:val="24"/>
        </w:rPr>
        <w:t>customers, and</w:t>
      </w:r>
      <w:r w:rsidRPr="001C6152">
        <w:rPr>
          <w:rFonts w:ascii="Verdana" w:hAnsi="Verdana"/>
          <w:sz w:val="24"/>
          <w:szCs w:val="24"/>
        </w:rPr>
        <w:t xml:space="preserve"> manage accessibility challenges through online channels. It’s also worth noting that for our users, digital natives, they are most adapted to digital communication.  The tools, channels and features that may work for different demographics do not necessarily serve the majority of our user base, in-branch support, for example, is inconvenient and inaccessible when compared to tailored in-app support to meet their needs. </w:t>
      </w:r>
    </w:p>
    <w:p w:rsidR="001C6152" w:rsidRPr="001C6152" w:rsidP="001C6152">
      <w:pPr>
        <w:pStyle w:val="BodyText"/>
        <w:spacing w:line="244" w:lineRule="auto"/>
        <w:ind w:left="101" w:right="578"/>
        <w:rPr>
          <w:rFonts w:ascii="Verdana" w:hAnsi="Verdana"/>
          <w:sz w:val="24"/>
          <w:szCs w:val="24"/>
        </w:rPr>
      </w:pPr>
    </w:p>
    <w:p w:rsidR="001C6152" w:rsidP="001C6152">
      <w:pPr>
        <w:pStyle w:val="BodyText"/>
        <w:spacing w:line="244" w:lineRule="auto"/>
        <w:ind w:left="101" w:right="578"/>
        <w:rPr>
          <w:rFonts w:ascii="Verdana" w:hAnsi="Verdana"/>
          <w:sz w:val="24"/>
          <w:szCs w:val="24"/>
        </w:rPr>
      </w:pPr>
      <w:r w:rsidRPr="001C6152">
        <w:rPr>
          <w:rFonts w:ascii="Verdana" w:hAnsi="Verdana"/>
          <w:sz w:val="24"/>
          <w:szCs w:val="24"/>
        </w:rPr>
        <w:t xml:space="preserve">Thanks to the rise of fintech in the last few years, each individual firm (and their users) will have specific needs driven by the products, the user base they target, the channels they use (digital or physical). It’s crucial that any financial inclusion strategy acknowledges that firms' risks are dictated by these factors.  A one size fits all approach to tackling inclusion and accessibility challenges will not </w:t>
      </w:r>
      <w:r w:rsidRPr="001C6152">
        <w:rPr>
          <w:rFonts w:ascii="Verdana" w:hAnsi="Verdana"/>
          <w:sz w:val="24"/>
          <w:szCs w:val="24"/>
        </w:rPr>
        <w:t>take into account</w:t>
      </w:r>
      <w:r w:rsidRPr="001C6152">
        <w:rPr>
          <w:rFonts w:ascii="Verdana" w:hAnsi="Verdana"/>
          <w:sz w:val="24"/>
          <w:szCs w:val="24"/>
        </w:rPr>
        <w:t xml:space="preserve"> the activities the firms are undertaking and reflect the needs </w:t>
      </w:r>
      <w:r w:rsidRPr="001C6152">
        <w:rPr>
          <w:rFonts w:ascii="Verdana" w:hAnsi="Verdana"/>
          <w:sz w:val="24"/>
          <w:szCs w:val="24"/>
        </w:rPr>
        <w:t xml:space="preserve">of their customer base </w:t>
      </w:r>
    </w:p>
    <w:p w:rsidR="001C6152" w:rsidP="001C6152">
      <w:pPr>
        <w:pStyle w:val="BodyText"/>
        <w:spacing w:line="244" w:lineRule="auto"/>
        <w:ind w:left="101" w:right="578"/>
        <w:rPr>
          <w:rFonts w:ascii="Verdana" w:hAnsi="Verdana"/>
          <w:sz w:val="24"/>
          <w:szCs w:val="24"/>
        </w:rPr>
      </w:pPr>
    </w:p>
    <w:p w:rsidR="006F673E" w:rsidRPr="001C6152">
      <w:pPr>
        <w:pStyle w:val="BodyText"/>
        <w:spacing w:line="244" w:lineRule="auto"/>
        <w:ind w:left="101" w:right="578"/>
        <w:rPr>
          <w:rFonts w:ascii="Verdana" w:hAnsi="Verdana"/>
          <w:sz w:val="24"/>
          <w:szCs w:val="24"/>
        </w:rPr>
      </w:pPr>
      <w:r w:rsidRPr="001C6152">
        <w:rPr>
          <w:rFonts w:ascii="Verdana" w:hAnsi="Verdana"/>
          <w:sz w:val="24"/>
          <w:szCs w:val="24"/>
        </w:rPr>
        <w:t xml:space="preserve">Below we’ve unpacked some of the work we’ve been doing over the last 6 years, to build digital tools to help meet financial inclusion, </w:t>
      </w:r>
      <w:r w:rsidRPr="001C6152">
        <w:rPr>
          <w:rFonts w:ascii="Verdana" w:hAnsi="Verdana"/>
          <w:sz w:val="24"/>
          <w:szCs w:val="24"/>
        </w:rPr>
        <w:t>accessibility</w:t>
      </w:r>
      <w:r w:rsidRPr="001C6152">
        <w:rPr>
          <w:rFonts w:ascii="Verdana" w:hAnsi="Verdana"/>
          <w:sz w:val="24"/>
          <w:szCs w:val="24"/>
        </w:rPr>
        <w:t xml:space="preserve"> and vulnerability challenges.</w:t>
      </w:r>
    </w:p>
    <w:p w:rsidR="006F673E" w:rsidRPr="001C6152">
      <w:pPr>
        <w:pStyle w:val="BodyText"/>
        <w:spacing w:before="5"/>
        <w:rPr>
          <w:rFonts w:ascii="Verdana" w:hAnsi="Verdana"/>
          <w:sz w:val="24"/>
          <w:szCs w:val="24"/>
        </w:rPr>
      </w:pPr>
    </w:p>
    <w:p w:rsidR="006F673E" w:rsidRPr="001C6152">
      <w:pPr>
        <w:pStyle w:val="Heading1"/>
        <w:rPr>
          <w:rFonts w:ascii="Verdana" w:hAnsi="Verdana"/>
          <w:sz w:val="24"/>
          <w:szCs w:val="24"/>
        </w:rPr>
      </w:pPr>
      <w:r w:rsidRPr="001C6152">
        <w:rPr>
          <w:rFonts w:ascii="Verdana" w:hAnsi="Verdana"/>
          <w:b w:val="0"/>
          <w:spacing w:val="-56"/>
          <w:sz w:val="24"/>
          <w:szCs w:val="24"/>
          <w:u w:val="single"/>
        </w:rPr>
        <w:t xml:space="preserve"> </w:t>
      </w:r>
      <w:r w:rsidRPr="001C6152">
        <w:rPr>
          <w:rFonts w:ascii="Verdana" w:hAnsi="Verdana"/>
          <w:sz w:val="24"/>
          <w:szCs w:val="24"/>
          <w:u w:val="single"/>
        </w:rPr>
        <w:t>Access to cash</w:t>
      </w:r>
    </w:p>
    <w:p w:rsidR="006F673E" w:rsidRPr="001C6152">
      <w:pPr>
        <w:pStyle w:val="BodyText"/>
        <w:spacing w:before="10"/>
        <w:rPr>
          <w:rFonts w:ascii="Verdana" w:hAnsi="Verdana"/>
          <w:b/>
          <w:sz w:val="24"/>
          <w:szCs w:val="24"/>
        </w:rPr>
      </w:pPr>
    </w:p>
    <w:p w:rsidR="006F673E" w:rsidRPr="001C6152" w:rsidP="005F6475">
      <w:pPr>
        <w:pStyle w:val="BodyText"/>
        <w:spacing w:before="95" w:line="273" w:lineRule="auto"/>
        <w:ind w:left="101" w:right="716"/>
        <w:rPr>
          <w:rFonts w:ascii="Verdana" w:hAnsi="Verdana"/>
          <w:sz w:val="24"/>
          <w:szCs w:val="24"/>
        </w:rPr>
      </w:pPr>
      <w:r w:rsidRPr="001C6152">
        <w:rPr>
          <w:rFonts w:ascii="Verdana" w:hAnsi="Verdana"/>
          <w:sz w:val="24"/>
          <w:szCs w:val="24"/>
        </w:rPr>
        <w:t>We welcomed the Treasury’s considered recommendations surrounding the continued provision of cash withdrawal facilities, following the</w:t>
      </w:r>
      <w:r>
        <w:fldChar w:fldCharType="begin"/>
      </w:r>
      <w:r>
        <w:instrText xml:space="preserve"> HYPERLINK "https://www.accesstocash.org.uk/media/1087/final-report-final-web.pdf" </w:instrText>
      </w:r>
      <w:r>
        <w:fldChar w:fldCharType="separate"/>
      </w:r>
      <w:r w:rsidRPr="001C6152">
        <w:rPr>
          <w:rFonts w:ascii="Verdana" w:hAnsi="Verdana"/>
          <w:sz w:val="24"/>
          <w:szCs w:val="24"/>
        </w:rPr>
        <w:t xml:space="preserve"> Access to Cash report (2019).</w:t>
      </w:r>
      <w:r>
        <w:fldChar w:fldCharType="end"/>
      </w:r>
      <w:r>
        <w:rPr>
          <w:rStyle w:val="FootnoteReference"/>
          <w:rFonts w:ascii="Verdana" w:hAnsi="Verdana"/>
          <w:sz w:val="24"/>
          <w:szCs w:val="24"/>
        </w:rPr>
        <w:footnoteReference w:id="3"/>
      </w:r>
    </w:p>
    <w:p w:rsidR="006F673E" w:rsidRPr="001C6152">
      <w:pPr>
        <w:pStyle w:val="BodyText"/>
        <w:spacing w:before="67" w:line="273" w:lineRule="auto"/>
        <w:ind w:left="101" w:right="230"/>
        <w:rPr>
          <w:rFonts w:ascii="Verdana" w:hAnsi="Verdana"/>
          <w:sz w:val="24"/>
          <w:szCs w:val="24"/>
        </w:rPr>
      </w:pPr>
      <w:r w:rsidRPr="001C6152">
        <w:rPr>
          <w:rFonts w:ascii="Verdana" w:hAnsi="Verdana"/>
          <w:sz w:val="24"/>
          <w:szCs w:val="24"/>
        </w:rPr>
        <w:t>The issues identified in the report highlight what we believe to be the key factors that cause people to stay reliant on cash:</w:t>
      </w:r>
    </w:p>
    <w:p w:rsidR="006F673E" w:rsidRPr="001C6152">
      <w:pPr>
        <w:pStyle w:val="ListParagraph"/>
        <w:numPr>
          <w:ilvl w:val="0"/>
          <w:numId w:val="3"/>
        </w:numPr>
        <w:tabs>
          <w:tab w:val="left" w:pos="821"/>
          <w:tab w:val="left" w:pos="822"/>
        </w:tabs>
        <w:spacing w:before="14"/>
        <w:rPr>
          <w:rFonts w:ascii="Verdana" w:hAnsi="Verdana"/>
          <w:sz w:val="24"/>
          <w:szCs w:val="24"/>
        </w:rPr>
      </w:pPr>
      <w:r w:rsidRPr="001C6152">
        <w:rPr>
          <w:rFonts w:ascii="Verdana" w:hAnsi="Verdana"/>
          <w:sz w:val="24"/>
          <w:szCs w:val="24"/>
        </w:rPr>
        <w:t>Physical and mental health problems including reliance on</w:t>
      </w:r>
      <w:r w:rsidRPr="001C6152">
        <w:rPr>
          <w:rFonts w:ascii="Verdana" w:hAnsi="Verdana"/>
          <w:spacing w:val="-14"/>
          <w:sz w:val="24"/>
          <w:szCs w:val="24"/>
        </w:rPr>
        <w:t xml:space="preserve"> </w:t>
      </w:r>
      <w:r w:rsidRPr="001C6152">
        <w:rPr>
          <w:rFonts w:ascii="Verdana" w:hAnsi="Verdana"/>
          <w:sz w:val="24"/>
          <w:szCs w:val="24"/>
        </w:rPr>
        <w:t>others</w:t>
      </w:r>
    </w:p>
    <w:p w:rsidR="006F673E" w:rsidRPr="001C6152">
      <w:pPr>
        <w:pStyle w:val="ListParagraph"/>
        <w:numPr>
          <w:ilvl w:val="0"/>
          <w:numId w:val="3"/>
        </w:numPr>
        <w:tabs>
          <w:tab w:val="left" w:pos="821"/>
          <w:tab w:val="left" w:pos="822"/>
        </w:tabs>
        <w:spacing w:before="36"/>
        <w:rPr>
          <w:rFonts w:ascii="Verdana" w:hAnsi="Verdana"/>
          <w:sz w:val="24"/>
          <w:szCs w:val="24"/>
        </w:rPr>
      </w:pPr>
      <w:r w:rsidRPr="001C6152">
        <w:rPr>
          <w:rFonts w:ascii="Verdana" w:hAnsi="Verdana"/>
          <w:sz w:val="24"/>
          <w:szCs w:val="24"/>
        </w:rPr>
        <w:t>A worry of debt or issues</w:t>
      </w:r>
      <w:r w:rsidRPr="001C6152">
        <w:rPr>
          <w:rFonts w:ascii="Verdana" w:hAnsi="Verdana"/>
          <w:spacing w:val="-8"/>
          <w:sz w:val="24"/>
          <w:szCs w:val="24"/>
        </w:rPr>
        <w:t xml:space="preserve"> </w:t>
      </w:r>
      <w:r w:rsidRPr="001C6152">
        <w:rPr>
          <w:rFonts w:ascii="Verdana" w:hAnsi="Verdana"/>
          <w:sz w:val="24"/>
          <w:szCs w:val="24"/>
        </w:rPr>
        <w:t>budgeting</w:t>
      </w:r>
    </w:p>
    <w:p w:rsidR="006F673E" w:rsidRPr="001C6152">
      <w:pPr>
        <w:pStyle w:val="ListParagraph"/>
        <w:numPr>
          <w:ilvl w:val="0"/>
          <w:numId w:val="3"/>
        </w:numPr>
        <w:tabs>
          <w:tab w:val="left" w:pos="821"/>
          <w:tab w:val="left" w:pos="822"/>
        </w:tabs>
        <w:spacing w:before="36"/>
        <w:rPr>
          <w:rFonts w:ascii="Verdana" w:hAnsi="Verdana"/>
          <w:sz w:val="24"/>
          <w:szCs w:val="24"/>
        </w:rPr>
      </w:pPr>
      <w:r w:rsidRPr="001C6152">
        <w:rPr>
          <w:rFonts w:ascii="Verdana" w:hAnsi="Verdana"/>
          <w:sz w:val="24"/>
          <w:szCs w:val="24"/>
        </w:rPr>
        <w:t>Merchant acceptance</w:t>
      </w:r>
      <w:r w:rsidRPr="001C6152">
        <w:rPr>
          <w:rFonts w:ascii="Verdana" w:hAnsi="Verdana"/>
          <w:spacing w:val="-3"/>
          <w:sz w:val="24"/>
          <w:szCs w:val="24"/>
        </w:rPr>
        <w:t xml:space="preserve"> </w:t>
      </w:r>
      <w:r w:rsidRPr="001C6152">
        <w:rPr>
          <w:rFonts w:ascii="Verdana" w:hAnsi="Verdana"/>
          <w:sz w:val="24"/>
          <w:szCs w:val="24"/>
        </w:rPr>
        <w:t>rates</w:t>
      </w:r>
    </w:p>
    <w:p w:rsidR="006F673E" w:rsidRPr="001C6152">
      <w:pPr>
        <w:pStyle w:val="ListParagraph"/>
        <w:numPr>
          <w:ilvl w:val="0"/>
          <w:numId w:val="3"/>
        </w:numPr>
        <w:tabs>
          <w:tab w:val="left" w:pos="821"/>
          <w:tab w:val="left" w:pos="822"/>
        </w:tabs>
        <w:spacing w:before="36"/>
        <w:rPr>
          <w:rFonts w:ascii="Verdana" w:hAnsi="Verdana"/>
          <w:sz w:val="24"/>
          <w:szCs w:val="24"/>
        </w:rPr>
      </w:pPr>
      <w:r w:rsidRPr="001C6152">
        <w:rPr>
          <w:rFonts w:ascii="Verdana" w:hAnsi="Verdana"/>
          <w:sz w:val="24"/>
          <w:szCs w:val="24"/>
        </w:rPr>
        <w:t>Access to bank accounts, and the 1.3 million</w:t>
      </w:r>
      <w:r w:rsidRPr="001C6152">
        <w:rPr>
          <w:rFonts w:ascii="Verdana" w:hAnsi="Verdana"/>
          <w:spacing w:val="-12"/>
          <w:sz w:val="24"/>
          <w:szCs w:val="24"/>
        </w:rPr>
        <w:t xml:space="preserve"> </w:t>
      </w:r>
      <w:r w:rsidRPr="001C6152">
        <w:rPr>
          <w:rFonts w:ascii="Verdana" w:hAnsi="Verdana"/>
          <w:sz w:val="24"/>
          <w:szCs w:val="24"/>
        </w:rPr>
        <w:t>unbanked</w:t>
      </w:r>
    </w:p>
    <w:p w:rsidR="006F673E" w:rsidRPr="001C6152">
      <w:pPr>
        <w:pStyle w:val="BodyText"/>
        <w:spacing w:before="3"/>
        <w:rPr>
          <w:rFonts w:ascii="Verdana" w:hAnsi="Verdana"/>
          <w:sz w:val="24"/>
          <w:szCs w:val="24"/>
        </w:rPr>
      </w:pPr>
    </w:p>
    <w:p w:rsidR="006F673E" w:rsidRPr="001C6152">
      <w:pPr>
        <w:pStyle w:val="BodyText"/>
        <w:spacing w:before="1" w:line="276" w:lineRule="auto"/>
        <w:ind w:left="101" w:right="232"/>
        <w:rPr>
          <w:rFonts w:ascii="Verdana" w:hAnsi="Verdana"/>
          <w:sz w:val="24"/>
          <w:szCs w:val="24"/>
        </w:rPr>
      </w:pPr>
      <w:r w:rsidRPr="001C6152">
        <w:rPr>
          <w:rFonts w:ascii="Verdana" w:hAnsi="Verdana"/>
          <w:sz w:val="24"/>
          <w:szCs w:val="24"/>
        </w:rPr>
        <w:t>In the short term, the proposals to preserve cash are welcome</w:t>
      </w:r>
      <w:r w:rsidRPr="001C6152">
        <w:rPr>
          <w:rFonts w:ascii="Verdana" w:hAnsi="Verdana"/>
          <w:b/>
          <w:sz w:val="24"/>
          <w:szCs w:val="24"/>
        </w:rPr>
        <w:t xml:space="preserve">. </w:t>
      </w:r>
      <w:r w:rsidRPr="001C6152">
        <w:rPr>
          <w:rFonts w:ascii="Verdana" w:hAnsi="Verdana"/>
          <w:sz w:val="24"/>
          <w:szCs w:val="24"/>
        </w:rPr>
        <w:t>However, the UK Government is uniquely positioned to tackle the factors that are causing a reliance on cash, as raised in the report. Many of the issues identified as key reasons for cash use surround visibility, and easy control of personal finances. Protecting immediate access to cash is a necessary first step, however, it does not solve the wider financial inclusion issues raised in the report.</w:t>
      </w:r>
    </w:p>
    <w:p w:rsidR="006F673E" w:rsidRPr="001C6152">
      <w:pPr>
        <w:pStyle w:val="BodyText"/>
        <w:spacing w:before="9"/>
        <w:rPr>
          <w:rFonts w:ascii="Verdana" w:hAnsi="Verdana"/>
          <w:sz w:val="24"/>
          <w:szCs w:val="24"/>
        </w:rPr>
      </w:pPr>
    </w:p>
    <w:p w:rsidR="006F673E" w:rsidRPr="001C6152">
      <w:pPr>
        <w:pStyle w:val="BodyText"/>
        <w:spacing w:line="276" w:lineRule="auto"/>
        <w:ind w:left="101" w:right="96"/>
        <w:rPr>
          <w:rFonts w:ascii="Verdana" w:hAnsi="Verdana"/>
          <w:sz w:val="24"/>
          <w:szCs w:val="24"/>
        </w:rPr>
      </w:pPr>
      <w:r w:rsidRPr="001C6152">
        <w:rPr>
          <w:rFonts w:ascii="Verdana" w:hAnsi="Verdana"/>
          <w:sz w:val="24"/>
          <w:szCs w:val="24"/>
        </w:rPr>
        <w:t xml:space="preserve">In the long term, conversations around financial inclusion </w:t>
      </w:r>
      <w:r w:rsidRPr="001C6152">
        <w:rPr>
          <w:rFonts w:ascii="Verdana" w:hAnsi="Verdana"/>
          <w:sz w:val="24"/>
          <w:szCs w:val="24"/>
        </w:rPr>
        <w:t>can not</w:t>
      </w:r>
      <w:r w:rsidRPr="001C6152">
        <w:rPr>
          <w:rFonts w:ascii="Verdana" w:hAnsi="Verdana"/>
          <w:sz w:val="24"/>
          <w:szCs w:val="24"/>
        </w:rPr>
        <w:t xml:space="preserve"> solely be </w:t>
      </w:r>
      <w:r w:rsidRPr="001C6152">
        <w:rPr>
          <w:rFonts w:ascii="Verdana" w:hAnsi="Verdana"/>
          <w:sz w:val="24"/>
          <w:szCs w:val="24"/>
        </w:rPr>
        <w:t>focussed</w:t>
      </w:r>
      <w:r w:rsidRPr="001C6152">
        <w:rPr>
          <w:rFonts w:ascii="Verdana" w:hAnsi="Verdana"/>
          <w:sz w:val="24"/>
          <w:szCs w:val="24"/>
        </w:rPr>
        <w:t xml:space="preserve"> on maintaining access to cash. Cash is relied on, in no small part, because of the failure of traditional providers to accommodate </w:t>
      </w:r>
      <w:r w:rsidRPr="001C6152">
        <w:rPr>
          <w:rFonts w:ascii="Verdana" w:hAnsi="Verdana"/>
          <w:sz w:val="24"/>
          <w:szCs w:val="24"/>
        </w:rPr>
        <w:t>users</w:t>
      </w:r>
      <w:r w:rsidRPr="001C6152">
        <w:rPr>
          <w:rFonts w:ascii="Verdana" w:hAnsi="Verdana"/>
          <w:sz w:val="24"/>
          <w:szCs w:val="24"/>
        </w:rPr>
        <w:t xml:space="preserve"> needs in a digital environment. The 2019 report highlights that cash use is a symptom of wider financial inclusion issues - from concerns around budgeting to mitigating financial abuse - and for many consumers in the UK these issues are better solved through digital channels. There is simply a lack of incentive for firms to adequately invest in solving these problems online.</w:t>
      </w:r>
    </w:p>
    <w:p w:rsidR="006F673E" w:rsidRPr="001C6152">
      <w:pPr>
        <w:pStyle w:val="BodyText"/>
        <w:spacing w:before="2"/>
        <w:rPr>
          <w:rFonts w:ascii="Verdana" w:hAnsi="Verdana"/>
          <w:sz w:val="24"/>
          <w:szCs w:val="24"/>
        </w:rPr>
      </w:pPr>
    </w:p>
    <w:p w:rsidR="006F673E" w:rsidRPr="001C6152" w:rsidP="001C6152">
      <w:pPr>
        <w:pStyle w:val="BodyText"/>
        <w:spacing w:line="276" w:lineRule="auto"/>
        <w:ind w:left="101" w:right="124"/>
        <w:rPr>
          <w:rFonts w:ascii="Verdana" w:hAnsi="Verdana"/>
          <w:sz w:val="24"/>
          <w:szCs w:val="24"/>
        </w:rPr>
      </w:pPr>
      <w:r w:rsidRPr="001C6152">
        <w:rPr>
          <w:rFonts w:ascii="Verdana" w:hAnsi="Verdana"/>
          <w:sz w:val="24"/>
          <w:szCs w:val="24"/>
        </w:rPr>
        <w:t xml:space="preserve">91% of UK adults have access to a smartphone, </w:t>
      </w:r>
      <w:r w:rsidRPr="001C6152">
        <w:rPr>
          <w:rFonts w:ascii="Verdana" w:hAnsi="Verdana"/>
          <w:sz w:val="24"/>
          <w:szCs w:val="24"/>
        </w:rPr>
        <w:t>laptop</w:t>
      </w:r>
      <w:r w:rsidRPr="001C6152">
        <w:rPr>
          <w:rFonts w:ascii="Verdana" w:hAnsi="Verdana"/>
          <w:sz w:val="24"/>
          <w:szCs w:val="24"/>
        </w:rPr>
        <w:t xml:space="preserve"> or tablet</w:t>
      </w:r>
      <w:r>
        <w:rPr>
          <w:rStyle w:val="FootnoteReference"/>
          <w:rFonts w:ascii="Verdana" w:hAnsi="Verdana"/>
          <w:sz w:val="24"/>
          <w:szCs w:val="24"/>
        </w:rPr>
        <w:footnoteReference w:id="4"/>
      </w:r>
      <w:r w:rsidRPr="001C6152">
        <w:rPr>
          <w:rFonts w:ascii="Verdana" w:hAnsi="Verdana"/>
          <w:position w:val="9"/>
          <w:sz w:val="24"/>
          <w:szCs w:val="24"/>
        </w:rPr>
        <w:t xml:space="preserve"> </w:t>
      </w:r>
      <w:r w:rsidRPr="001C6152">
        <w:rPr>
          <w:rFonts w:ascii="Verdana" w:hAnsi="Verdana"/>
          <w:sz w:val="24"/>
          <w:szCs w:val="24"/>
        </w:rPr>
        <w:t xml:space="preserve">and it’s highly likely that trend will continue to grow. For many vulnerable people, particularly younger vulnerable people, a smartphone is not a luxury, but a necessity. In our experience, it’s incredibly common for a smartphone </w:t>
      </w:r>
      <w:r w:rsidRPr="001C6152">
        <w:rPr>
          <w:rFonts w:ascii="Verdana" w:hAnsi="Verdana"/>
          <w:sz w:val="24"/>
          <w:szCs w:val="24"/>
        </w:rPr>
        <w:t xml:space="preserve">to be the lifeline particularly for those who are location unstable. This is a trend across the world - with people in many regions more likely to have access to an internet enabled smartphone, than a bank account. Many of the problems identified in the report </w:t>
      </w:r>
      <w:r w:rsidRPr="001C6152">
        <w:rPr>
          <w:rFonts w:ascii="Verdana" w:hAnsi="Verdana"/>
          <w:sz w:val="24"/>
          <w:szCs w:val="24"/>
        </w:rPr>
        <w:t>Monzo</w:t>
      </w:r>
      <w:r w:rsidRPr="001C6152">
        <w:rPr>
          <w:rFonts w:ascii="Verdana" w:hAnsi="Verdana"/>
          <w:sz w:val="24"/>
          <w:szCs w:val="24"/>
        </w:rPr>
        <w:t xml:space="preserve"> have attempted to solve for, like building tools for those struggling with financial and domestic abuse, a factor that often results in a high reliance on cash by victims.</w:t>
      </w:r>
    </w:p>
    <w:p w:rsidR="006F673E" w:rsidRPr="001C6152">
      <w:pPr>
        <w:pStyle w:val="BodyText"/>
        <w:rPr>
          <w:rFonts w:ascii="Verdana" w:hAnsi="Verdana"/>
          <w:sz w:val="24"/>
          <w:szCs w:val="24"/>
        </w:rPr>
      </w:pPr>
    </w:p>
    <w:p w:rsidR="006F673E" w:rsidRPr="001C6152">
      <w:pPr>
        <w:pStyle w:val="BodyText"/>
        <w:spacing w:line="278" w:lineRule="auto"/>
        <w:ind w:left="101" w:right="135"/>
        <w:rPr>
          <w:rFonts w:ascii="Verdana" w:hAnsi="Verdana"/>
          <w:sz w:val="24"/>
          <w:szCs w:val="24"/>
        </w:rPr>
      </w:pPr>
      <w:r w:rsidRPr="001C6152">
        <w:rPr>
          <w:rFonts w:ascii="Verdana" w:hAnsi="Verdana"/>
          <w:sz w:val="24"/>
          <w:szCs w:val="24"/>
        </w:rPr>
        <w:t xml:space="preserve">From our extensive user research, supported by nearly 5 million </w:t>
      </w:r>
      <w:r w:rsidRPr="001C6152">
        <w:rPr>
          <w:rFonts w:ascii="Verdana" w:hAnsi="Verdana"/>
          <w:sz w:val="24"/>
          <w:szCs w:val="24"/>
        </w:rPr>
        <w:t>Monzo</w:t>
      </w:r>
      <w:r w:rsidRPr="001C6152">
        <w:rPr>
          <w:rFonts w:ascii="Verdana" w:hAnsi="Verdana"/>
          <w:sz w:val="24"/>
          <w:szCs w:val="24"/>
        </w:rPr>
        <w:t xml:space="preserve"> customers in the UK, we’ve identified many underlying issues that our users report as crucial for their financial wellbeing, and considered how to build digital tools to make money work for everyone. Many of these issues are also identified in the access to cash report.</w:t>
      </w:r>
    </w:p>
    <w:p w:rsidR="006F673E" w:rsidRPr="001C6152">
      <w:pPr>
        <w:pStyle w:val="BodyText"/>
        <w:spacing w:before="3"/>
        <w:rPr>
          <w:rFonts w:ascii="Verdana" w:hAnsi="Verdana"/>
          <w:sz w:val="24"/>
          <w:szCs w:val="24"/>
        </w:rPr>
      </w:pPr>
    </w:p>
    <w:p w:rsidR="006F673E" w:rsidRPr="001C6152">
      <w:pPr>
        <w:pStyle w:val="BodyText"/>
        <w:spacing w:line="273" w:lineRule="auto"/>
        <w:ind w:left="101" w:right="324"/>
        <w:rPr>
          <w:rFonts w:ascii="Verdana" w:hAnsi="Verdana"/>
          <w:sz w:val="24"/>
          <w:szCs w:val="24"/>
        </w:rPr>
      </w:pPr>
      <w:r w:rsidRPr="001C6152">
        <w:rPr>
          <w:rFonts w:ascii="Verdana" w:hAnsi="Verdana"/>
          <w:sz w:val="24"/>
          <w:szCs w:val="24"/>
        </w:rPr>
        <w:t xml:space="preserve">Below we have unpacked these common themes, and some of the </w:t>
      </w:r>
      <w:r w:rsidRPr="001C6152">
        <w:rPr>
          <w:rFonts w:ascii="Verdana" w:hAnsi="Verdana"/>
          <w:sz w:val="24"/>
          <w:szCs w:val="24"/>
        </w:rPr>
        <w:t>ways</w:t>
      </w:r>
      <w:r w:rsidRPr="001C6152">
        <w:rPr>
          <w:rFonts w:ascii="Verdana" w:hAnsi="Verdana"/>
          <w:sz w:val="24"/>
          <w:szCs w:val="24"/>
        </w:rPr>
        <w:t xml:space="preserve"> firms can support these needs through digital channels as we transition away from physical cash.</w:t>
      </w:r>
    </w:p>
    <w:p w:rsidR="006F673E" w:rsidRPr="001C6152">
      <w:pPr>
        <w:pStyle w:val="BodyText"/>
        <w:spacing w:before="2"/>
        <w:rPr>
          <w:rFonts w:ascii="Verdana" w:hAnsi="Verdana"/>
          <w:sz w:val="24"/>
          <w:szCs w:val="24"/>
        </w:rPr>
      </w:pPr>
    </w:p>
    <w:p w:rsidR="006F673E" w:rsidRPr="001C6152" w:rsidP="00244248">
      <w:pPr>
        <w:pStyle w:val="ListParagraph"/>
        <w:numPr>
          <w:ilvl w:val="0"/>
          <w:numId w:val="2"/>
        </w:numPr>
        <w:tabs>
          <w:tab w:val="left" w:pos="822"/>
        </w:tabs>
        <w:spacing w:line="273" w:lineRule="auto"/>
        <w:ind w:right="298"/>
        <w:jc w:val="both"/>
        <w:rPr>
          <w:rFonts w:ascii="Verdana" w:hAnsi="Verdana"/>
          <w:sz w:val="24"/>
          <w:szCs w:val="24"/>
        </w:rPr>
      </w:pPr>
      <w:r w:rsidRPr="001C6152">
        <w:rPr>
          <w:rFonts w:ascii="Verdana" w:hAnsi="Verdana"/>
          <w:i/>
          <w:sz w:val="24"/>
          <w:szCs w:val="24"/>
        </w:rPr>
        <w:t>Control</w:t>
      </w:r>
      <w:r w:rsidRPr="001C6152">
        <w:rPr>
          <w:rFonts w:ascii="Verdana" w:hAnsi="Verdana"/>
          <w:i/>
          <w:spacing w:val="-10"/>
          <w:sz w:val="24"/>
          <w:szCs w:val="24"/>
        </w:rPr>
        <w:t xml:space="preserve"> </w:t>
      </w:r>
      <w:r w:rsidRPr="001C6152">
        <w:rPr>
          <w:rFonts w:ascii="Verdana" w:hAnsi="Verdana"/>
          <w:i/>
          <w:sz w:val="24"/>
          <w:szCs w:val="24"/>
        </w:rPr>
        <w:t>and</w:t>
      </w:r>
      <w:r w:rsidRPr="001C6152">
        <w:rPr>
          <w:rFonts w:ascii="Verdana" w:hAnsi="Verdana"/>
          <w:i/>
          <w:spacing w:val="-10"/>
          <w:sz w:val="24"/>
          <w:szCs w:val="24"/>
        </w:rPr>
        <w:t xml:space="preserve"> </w:t>
      </w:r>
      <w:r w:rsidRPr="001C6152">
        <w:rPr>
          <w:rFonts w:ascii="Verdana" w:hAnsi="Verdana"/>
          <w:i/>
          <w:sz w:val="24"/>
          <w:szCs w:val="24"/>
        </w:rPr>
        <w:t>visibility</w:t>
      </w:r>
      <w:r w:rsidRPr="001C6152">
        <w:rPr>
          <w:rFonts w:ascii="Verdana" w:hAnsi="Verdana"/>
          <w:i/>
          <w:spacing w:val="-10"/>
          <w:sz w:val="24"/>
          <w:szCs w:val="24"/>
        </w:rPr>
        <w:t xml:space="preserve"> </w:t>
      </w:r>
      <w:r w:rsidRPr="001C6152">
        <w:rPr>
          <w:rFonts w:ascii="Verdana" w:hAnsi="Verdana"/>
          <w:i/>
          <w:sz w:val="24"/>
          <w:szCs w:val="24"/>
        </w:rPr>
        <w:t>are</w:t>
      </w:r>
      <w:r w:rsidRPr="001C6152">
        <w:rPr>
          <w:rFonts w:ascii="Verdana" w:hAnsi="Verdana"/>
          <w:i/>
          <w:spacing w:val="-10"/>
          <w:sz w:val="24"/>
          <w:szCs w:val="24"/>
        </w:rPr>
        <w:t xml:space="preserve"> </w:t>
      </w:r>
      <w:r w:rsidRPr="001C6152">
        <w:rPr>
          <w:rFonts w:ascii="Verdana" w:hAnsi="Verdana"/>
          <w:i/>
          <w:sz w:val="24"/>
          <w:szCs w:val="24"/>
        </w:rPr>
        <w:t>crucial</w:t>
      </w:r>
      <w:r w:rsidRPr="001C6152">
        <w:rPr>
          <w:rFonts w:ascii="Verdana" w:hAnsi="Verdana"/>
          <w:i/>
          <w:spacing w:val="-10"/>
          <w:sz w:val="24"/>
          <w:szCs w:val="24"/>
        </w:rPr>
        <w:t xml:space="preserve"> </w:t>
      </w:r>
      <w:r w:rsidRPr="001C6152">
        <w:rPr>
          <w:rFonts w:ascii="Verdana" w:hAnsi="Verdana"/>
          <w:i/>
          <w:sz w:val="24"/>
          <w:szCs w:val="24"/>
        </w:rPr>
        <w:t>for</w:t>
      </w:r>
      <w:r w:rsidRPr="001C6152">
        <w:rPr>
          <w:rFonts w:ascii="Verdana" w:hAnsi="Verdana"/>
          <w:i/>
          <w:spacing w:val="-10"/>
          <w:sz w:val="24"/>
          <w:szCs w:val="24"/>
        </w:rPr>
        <w:t xml:space="preserve"> </w:t>
      </w:r>
      <w:r w:rsidRPr="001C6152">
        <w:rPr>
          <w:rFonts w:ascii="Verdana" w:hAnsi="Verdana"/>
          <w:i/>
          <w:sz w:val="24"/>
          <w:szCs w:val="24"/>
        </w:rPr>
        <w:t>users:</w:t>
      </w:r>
      <w:r w:rsidRPr="001C6152">
        <w:rPr>
          <w:rFonts w:ascii="Verdana" w:hAnsi="Verdana"/>
          <w:i/>
          <w:spacing w:val="-9"/>
          <w:sz w:val="24"/>
          <w:szCs w:val="24"/>
        </w:rPr>
        <w:t xml:space="preserve"> </w:t>
      </w:r>
      <w:r w:rsidRPr="001C6152">
        <w:rPr>
          <w:rFonts w:ascii="Verdana" w:hAnsi="Verdana"/>
          <w:sz w:val="24"/>
          <w:szCs w:val="24"/>
        </w:rPr>
        <w:t>This</w:t>
      </w:r>
      <w:r w:rsidRPr="001C6152">
        <w:rPr>
          <w:rFonts w:ascii="Verdana" w:hAnsi="Verdana"/>
          <w:spacing w:val="-10"/>
          <w:sz w:val="24"/>
          <w:szCs w:val="24"/>
        </w:rPr>
        <w:t xml:space="preserve"> </w:t>
      </w:r>
      <w:r w:rsidRPr="001C6152">
        <w:rPr>
          <w:rFonts w:ascii="Verdana" w:hAnsi="Verdana"/>
          <w:sz w:val="24"/>
          <w:szCs w:val="24"/>
        </w:rPr>
        <w:t>has</w:t>
      </w:r>
      <w:r w:rsidRPr="001C6152">
        <w:rPr>
          <w:rFonts w:ascii="Verdana" w:hAnsi="Verdana"/>
          <w:spacing w:val="-10"/>
          <w:sz w:val="24"/>
          <w:szCs w:val="24"/>
        </w:rPr>
        <w:t xml:space="preserve"> </w:t>
      </w:r>
      <w:r w:rsidRPr="001C6152">
        <w:rPr>
          <w:rFonts w:ascii="Verdana" w:hAnsi="Verdana"/>
          <w:sz w:val="24"/>
          <w:szCs w:val="24"/>
        </w:rPr>
        <w:t>been</w:t>
      </w:r>
      <w:r w:rsidRPr="001C6152">
        <w:rPr>
          <w:rFonts w:ascii="Verdana" w:hAnsi="Verdana"/>
          <w:spacing w:val="-10"/>
          <w:sz w:val="24"/>
          <w:szCs w:val="24"/>
        </w:rPr>
        <w:t xml:space="preserve"> </w:t>
      </w:r>
      <w:r w:rsidRPr="001C6152">
        <w:rPr>
          <w:rFonts w:ascii="Verdana" w:hAnsi="Verdana"/>
          <w:sz w:val="24"/>
          <w:szCs w:val="24"/>
        </w:rPr>
        <w:t>raised</w:t>
      </w:r>
      <w:r w:rsidRPr="001C6152">
        <w:rPr>
          <w:rFonts w:ascii="Verdana" w:hAnsi="Verdana"/>
          <w:spacing w:val="-10"/>
          <w:sz w:val="24"/>
          <w:szCs w:val="24"/>
        </w:rPr>
        <w:t xml:space="preserve"> </w:t>
      </w:r>
      <w:r w:rsidRPr="001C6152">
        <w:rPr>
          <w:rFonts w:ascii="Verdana" w:hAnsi="Verdana"/>
          <w:sz w:val="24"/>
          <w:szCs w:val="24"/>
        </w:rPr>
        <w:t>repeatedly</w:t>
      </w:r>
      <w:r w:rsidRPr="001C6152">
        <w:rPr>
          <w:rFonts w:ascii="Verdana" w:hAnsi="Verdana"/>
          <w:spacing w:val="-9"/>
          <w:sz w:val="24"/>
          <w:szCs w:val="24"/>
        </w:rPr>
        <w:t xml:space="preserve"> </w:t>
      </w:r>
      <w:r w:rsidRPr="001C6152">
        <w:rPr>
          <w:rFonts w:ascii="Verdana" w:hAnsi="Verdana"/>
          <w:sz w:val="24"/>
          <w:szCs w:val="24"/>
        </w:rPr>
        <w:t>within</w:t>
      </w:r>
      <w:r w:rsidRPr="001C6152">
        <w:rPr>
          <w:rFonts w:ascii="Verdana" w:hAnsi="Verdana"/>
          <w:spacing w:val="-10"/>
          <w:sz w:val="24"/>
          <w:szCs w:val="24"/>
        </w:rPr>
        <w:t xml:space="preserve"> </w:t>
      </w:r>
      <w:r w:rsidRPr="001C6152">
        <w:rPr>
          <w:rFonts w:ascii="Verdana" w:hAnsi="Verdana"/>
          <w:sz w:val="24"/>
          <w:szCs w:val="24"/>
        </w:rPr>
        <w:t>the Access to Cash report as a driver for continued use of cash, surrounding budgeting, spending and</w:t>
      </w:r>
      <w:r w:rsidRPr="001C6152">
        <w:rPr>
          <w:rFonts w:ascii="Verdana" w:hAnsi="Verdana"/>
          <w:spacing w:val="-3"/>
          <w:sz w:val="24"/>
          <w:szCs w:val="24"/>
        </w:rPr>
        <w:t xml:space="preserve"> </w:t>
      </w:r>
      <w:r w:rsidRPr="001C6152">
        <w:rPr>
          <w:rFonts w:ascii="Verdana" w:hAnsi="Verdana"/>
          <w:sz w:val="24"/>
          <w:szCs w:val="24"/>
        </w:rPr>
        <w:t>debt.</w:t>
      </w:r>
    </w:p>
    <w:p w:rsidR="006F673E" w:rsidRPr="001C6152">
      <w:pPr>
        <w:pStyle w:val="ListParagraph"/>
        <w:numPr>
          <w:ilvl w:val="1"/>
          <w:numId w:val="2"/>
        </w:numPr>
        <w:tabs>
          <w:tab w:val="left" w:pos="1543"/>
        </w:tabs>
        <w:spacing w:before="67" w:line="280" w:lineRule="auto"/>
        <w:ind w:right="107"/>
        <w:jc w:val="both"/>
        <w:rPr>
          <w:rFonts w:ascii="Verdana" w:hAnsi="Verdana"/>
          <w:sz w:val="24"/>
          <w:szCs w:val="24"/>
        </w:rPr>
      </w:pPr>
      <w:r w:rsidRPr="001C6152">
        <w:rPr>
          <w:rFonts w:ascii="Verdana" w:hAnsi="Verdana"/>
          <w:sz w:val="24"/>
          <w:szCs w:val="24"/>
        </w:rPr>
        <w:t xml:space="preserve">Tools like our Pots, which allow our customers to easily segregate their funds for Bills </w:t>
      </w:r>
      <w:r w:rsidRPr="001C6152">
        <w:rPr>
          <w:rFonts w:ascii="Verdana" w:hAnsi="Verdana"/>
          <w:sz w:val="24"/>
          <w:szCs w:val="24"/>
        </w:rPr>
        <w:t>etc</w:t>
      </w:r>
      <w:r w:rsidRPr="001C6152">
        <w:rPr>
          <w:rFonts w:ascii="Verdana" w:hAnsi="Verdana"/>
          <w:sz w:val="24"/>
          <w:szCs w:val="24"/>
        </w:rPr>
        <w:t>, as well as more complex things like our Spending Block (currently in beta</w:t>
      </w:r>
      <w:r w:rsidRPr="001C6152">
        <w:rPr>
          <w:rFonts w:ascii="Verdana" w:hAnsi="Verdana"/>
          <w:spacing w:val="-3"/>
          <w:sz w:val="24"/>
          <w:szCs w:val="24"/>
        </w:rPr>
        <w:t xml:space="preserve"> </w:t>
      </w:r>
      <w:r w:rsidRPr="001C6152">
        <w:rPr>
          <w:rFonts w:ascii="Verdana" w:hAnsi="Verdana"/>
          <w:sz w:val="24"/>
          <w:szCs w:val="24"/>
        </w:rPr>
        <w:t>testing)</w:t>
      </w:r>
    </w:p>
    <w:p w:rsidR="006F673E" w:rsidRPr="001C6152">
      <w:pPr>
        <w:pStyle w:val="ListParagraph"/>
        <w:numPr>
          <w:ilvl w:val="0"/>
          <w:numId w:val="2"/>
        </w:numPr>
        <w:tabs>
          <w:tab w:val="left" w:pos="822"/>
        </w:tabs>
        <w:spacing w:line="273" w:lineRule="auto"/>
        <w:ind w:right="433"/>
        <w:jc w:val="both"/>
        <w:rPr>
          <w:rFonts w:ascii="Verdana" w:hAnsi="Verdana"/>
          <w:sz w:val="24"/>
          <w:szCs w:val="24"/>
        </w:rPr>
      </w:pPr>
      <w:r w:rsidRPr="001C6152">
        <w:rPr>
          <w:rFonts w:ascii="Verdana" w:hAnsi="Verdana"/>
          <w:i/>
          <w:sz w:val="24"/>
          <w:szCs w:val="24"/>
        </w:rPr>
        <w:t>Digital Accessibility</w:t>
      </w:r>
      <w:r w:rsidRPr="001C6152">
        <w:rPr>
          <w:rFonts w:ascii="Verdana" w:hAnsi="Verdana"/>
          <w:sz w:val="24"/>
          <w:szCs w:val="24"/>
        </w:rPr>
        <w:t>: Digital native banks must take a holistic approach to care for consumers,</w:t>
      </w:r>
      <w:r w:rsidRPr="001C6152">
        <w:rPr>
          <w:rFonts w:ascii="Verdana" w:hAnsi="Verdana"/>
          <w:spacing w:val="-4"/>
          <w:sz w:val="24"/>
          <w:szCs w:val="24"/>
        </w:rPr>
        <w:t xml:space="preserve"> </w:t>
      </w:r>
      <w:r w:rsidRPr="001C6152">
        <w:rPr>
          <w:rFonts w:ascii="Verdana" w:hAnsi="Verdana"/>
          <w:sz w:val="24"/>
          <w:szCs w:val="24"/>
        </w:rPr>
        <w:t>and</w:t>
      </w:r>
      <w:r w:rsidRPr="001C6152">
        <w:rPr>
          <w:rFonts w:ascii="Verdana" w:hAnsi="Verdana"/>
          <w:spacing w:val="-4"/>
          <w:sz w:val="24"/>
          <w:szCs w:val="24"/>
        </w:rPr>
        <w:t xml:space="preserve"> </w:t>
      </w:r>
      <w:r w:rsidRPr="001C6152">
        <w:rPr>
          <w:rFonts w:ascii="Verdana" w:hAnsi="Verdana"/>
          <w:sz w:val="24"/>
          <w:szCs w:val="24"/>
        </w:rPr>
        <w:t>we</w:t>
      </w:r>
      <w:r w:rsidRPr="001C6152">
        <w:rPr>
          <w:rFonts w:ascii="Verdana" w:hAnsi="Verdana"/>
          <w:spacing w:val="-4"/>
          <w:sz w:val="24"/>
          <w:szCs w:val="24"/>
        </w:rPr>
        <w:t xml:space="preserve"> </w:t>
      </w:r>
      <w:r w:rsidRPr="001C6152">
        <w:rPr>
          <w:rFonts w:ascii="Verdana" w:hAnsi="Verdana"/>
          <w:sz w:val="24"/>
          <w:szCs w:val="24"/>
        </w:rPr>
        <w:t>have</w:t>
      </w:r>
      <w:r w:rsidRPr="001C6152">
        <w:rPr>
          <w:rFonts w:ascii="Verdana" w:hAnsi="Verdana"/>
          <w:spacing w:val="-5"/>
          <w:sz w:val="24"/>
          <w:szCs w:val="24"/>
        </w:rPr>
        <w:t xml:space="preserve"> </w:t>
      </w:r>
      <w:r w:rsidRPr="001C6152">
        <w:rPr>
          <w:rFonts w:ascii="Verdana" w:hAnsi="Verdana"/>
          <w:sz w:val="24"/>
          <w:szCs w:val="24"/>
        </w:rPr>
        <w:t>built</w:t>
      </w:r>
      <w:r w:rsidRPr="001C6152">
        <w:rPr>
          <w:rFonts w:ascii="Verdana" w:hAnsi="Verdana"/>
          <w:spacing w:val="-4"/>
          <w:sz w:val="24"/>
          <w:szCs w:val="24"/>
        </w:rPr>
        <w:t xml:space="preserve"> </w:t>
      </w:r>
      <w:r w:rsidRPr="001C6152">
        <w:rPr>
          <w:rFonts w:ascii="Verdana" w:hAnsi="Verdana"/>
          <w:sz w:val="24"/>
          <w:szCs w:val="24"/>
        </w:rPr>
        <w:t>our</w:t>
      </w:r>
      <w:r w:rsidRPr="001C6152">
        <w:rPr>
          <w:rFonts w:ascii="Verdana" w:hAnsi="Verdana"/>
          <w:spacing w:val="-4"/>
          <w:sz w:val="24"/>
          <w:szCs w:val="24"/>
        </w:rPr>
        <w:t xml:space="preserve"> </w:t>
      </w:r>
      <w:r w:rsidRPr="001C6152">
        <w:rPr>
          <w:rFonts w:ascii="Verdana" w:hAnsi="Verdana"/>
          <w:sz w:val="24"/>
          <w:szCs w:val="24"/>
        </w:rPr>
        <w:t>channels</w:t>
      </w:r>
      <w:r w:rsidRPr="001C6152">
        <w:rPr>
          <w:rFonts w:ascii="Verdana" w:hAnsi="Verdana"/>
          <w:spacing w:val="-4"/>
          <w:sz w:val="24"/>
          <w:szCs w:val="24"/>
        </w:rPr>
        <w:t xml:space="preserve"> </w:t>
      </w:r>
      <w:r w:rsidRPr="001C6152">
        <w:rPr>
          <w:rFonts w:ascii="Verdana" w:hAnsi="Verdana"/>
          <w:sz w:val="24"/>
          <w:szCs w:val="24"/>
        </w:rPr>
        <w:t>to</w:t>
      </w:r>
      <w:r w:rsidRPr="001C6152">
        <w:rPr>
          <w:rFonts w:ascii="Verdana" w:hAnsi="Verdana"/>
          <w:spacing w:val="-5"/>
          <w:sz w:val="24"/>
          <w:szCs w:val="24"/>
        </w:rPr>
        <w:t xml:space="preserve"> </w:t>
      </w:r>
      <w:r w:rsidRPr="001C6152">
        <w:rPr>
          <w:rFonts w:ascii="Verdana" w:hAnsi="Verdana"/>
          <w:sz w:val="24"/>
          <w:szCs w:val="24"/>
        </w:rPr>
        <w:t>ensure</w:t>
      </w:r>
      <w:r w:rsidRPr="001C6152">
        <w:rPr>
          <w:rFonts w:ascii="Verdana" w:hAnsi="Verdana"/>
          <w:spacing w:val="-4"/>
          <w:sz w:val="24"/>
          <w:szCs w:val="24"/>
        </w:rPr>
        <w:t xml:space="preserve"> </w:t>
      </w:r>
      <w:r w:rsidRPr="001C6152">
        <w:rPr>
          <w:rFonts w:ascii="Verdana" w:hAnsi="Verdana"/>
          <w:sz w:val="24"/>
          <w:szCs w:val="24"/>
        </w:rPr>
        <w:t>we</w:t>
      </w:r>
      <w:r w:rsidRPr="001C6152">
        <w:rPr>
          <w:rFonts w:ascii="Verdana" w:hAnsi="Verdana"/>
          <w:spacing w:val="-4"/>
          <w:sz w:val="24"/>
          <w:szCs w:val="24"/>
        </w:rPr>
        <w:t xml:space="preserve"> </w:t>
      </w:r>
      <w:r w:rsidRPr="001C6152">
        <w:rPr>
          <w:rFonts w:ascii="Verdana" w:hAnsi="Verdana"/>
          <w:sz w:val="24"/>
          <w:szCs w:val="24"/>
        </w:rPr>
        <w:t>design</w:t>
      </w:r>
      <w:r w:rsidRPr="001C6152">
        <w:rPr>
          <w:rFonts w:ascii="Verdana" w:hAnsi="Verdana"/>
          <w:spacing w:val="-5"/>
          <w:sz w:val="24"/>
          <w:szCs w:val="24"/>
        </w:rPr>
        <w:t xml:space="preserve"> </w:t>
      </w:r>
      <w:r w:rsidRPr="001C6152">
        <w:rPr>
          <w:rFonts w:ascii="Verdana" w:hAnsi="Verdana"/>
          <w:sz w:val="24"/>
          <w:szCs w:val="24"/>
        </w:rPr>
        <w:t>for</w:t>
      </w:r>
      <w:r w:rsidRPr="001C6152">
        <w:rPr>
          <w:rFonts w:ascii="Verdana" w:hAnsi="Verdana"/>
          <w:spacing w:val="-4"/>
          <w:sz w:val="24"/>
          <w:szCs w:val="24"/>
        </w:rPr>
        <w:t xml:space="preserve"> </w:t>
      </w:r>
      <w:r w:rsidRPr="001C6152">
        <w:rPr>
          <w:rFonts w:ascii="Verdana" w:hAnsi="Verdana"/>
          <w:sz w:val="24"/>
          <w:szCs w:val="24"/>
        </w:rPr>
        <w:t>100%</w:t>
      </w:r>
      <w:r w:rsidRPr="001C6152">
        <w:rPr>
          <w:rFonts w:ascii="Verdana" w:hAnsi="Verdana"/>
          <w:spacing w:val="-4"/>
          <w:sz w:val="24"/>
          <w:szCs w:val="24"/>
        </w:rPr>
        <w:t xml:space="preserve"> </w:t>
      </w:r>
      <w:r w:rsidRPr="001C6152">
        <w:rPr>
          <w:rFonts w:ascii="Verdana" w:hAnsi="Verdana"/>
          <w:sz w:val="24"/>
          <w:szCs w:val="24"/>
        </w:rPr>
        <w:t>of</w:t>
      </w:r>
      <w:r w:rsidRPr="001C6152">
        <w:rPr>
          <w:rFonts w:ascii="Verdana" w:hAnsi="Verdana"/>
          <w:spacing w:val="-4"/>
          <w:sz w:val="24"/>
          <w:szCs w:val="24"/>
        </w:rPr>
        <w:t xml:space="preserve"> </w:t>
      </w:r>
      <w:r w:rsidRPr="001C6152">
        <w:rPr>
          <w:rFonts w:ascii="Verdana" w:hAnsi="Verdana"/>
          <w:sz w:val="24"/>
          <w:szCs w:val="24"/>
        </w:rPr>
        <w:t>users</w:t>
      </w:r>
    </w:p>
    <w:p w:rsidR="006F673E" w:rsidRPr="001C6152">
      <w:pPr>
        <w:pStyle w:val="ListParagraph"/>
        <w:numPr>
          <w:ilvl w:val="1"/>
          <w:numId w:val="2"/>
        </w:numPr>
        <w:tabs>
          <w:tab w:val="left" w:pos="1542"/>
          <w:tab w:val="left" w:pos="1543"/>
        </w:tabs>
        <w:spacing w:line="278" w:lineRule="auto"/>
        <w:ind w:right="461"/>
        <w:rPr>
          <w:rFonts w:ascii="Verdana" w:hAnsi="Verdana"/>
          <w:sz w:val="24"/>
          <w:szCs w:val="24"/>
        </w:rPr>
      </w:pPr>
      <w:r w:rsidRPr="001C6152">
        <w:rPr>
          <w:rFonts w:ascii="Verdana" w:hAnsi="Verdana"/>
          <w:sz w:val="24"/>
          <w:szCs w:val="24"/>
        </w:rPr>
        <w:t>Continued cash use is high among vulnerable customers, particularly for those with mental health needs. We are currently undergoing a review with the Money and Mental Health Policy Institute (MMHPI) to ensure that our controls are identifying and supporting vulnerable people when interacting digitally - to help the maintain access to bank accounts independently and access tailored support for common issues e.g. budget</w:t>
      </w:r>
      <w:r w:rsidRPr="001C6152">
        <w:rPr>
          <w:rFonts w:ascii="Verdana" w:hAnsi="Verdana"/>
          <w:spacing w:val="-30"/>
          <w:sz w:val="24"/>
          <w:szCs w:val="24"/>
        </w:rPr>
        <w:t xml:space="preserve"> </w:t>
      </w:r>
      <w:r w:rsidRPr="001C6152">
        <w:rPr>
          <w:rFonts w:ascii="Verdana" w:hAnsi="Verdana"/>
          <w:sz w:val="24"/>
          <w:szCs w:val="24"/>
        </w:rPr>
        <w:t>management.</w:t>
      </w:r>
    </w:p>
    <w:p w:rsidR="006F673E" w:rsidRPr="001C6152">
      <w:pPr>
        <w:pStyle w:val="ListParagraph"/>
        <w:numPr>
          <w:ilvl w:val="1"/>
          <w:numId w:val="2"/>
        </w:numPr>
        <w:tabs>
          <w:tab w:val="left" w:pos="1542"/>
          <w:tab w:val="left" w:pos="1543"/>
        </w:tabs>
        <w:spacing w:line="276" w:lineRule="auto"/>
        <w:ind w:right="113"/>
        <w:rPr>
          <w:rFonts w:ascii="Verdana" w:hAnsi="Verdana"/>
          <w:sz w:val="24"/>
          <w:szCs w:val="24"/>
        </w:rPr>
      </w:pPr>
      <w:r w:rsidRPr="001C6152">
        <w:rPr>
          <w:rFonts w:ascii="Verdana" w:hAnsi="Verdana"/>
          <w:sz w:val="24"/>
          <w:szCs w:val="24"/>
        </w:rPr>
        <w:t xml:space="preserve">We’ve also run listening sessions with certain disability groups, including the Royal Association for Deaf People. As a result, </w:t>
      </w:r>
      <w:r w:rsidRPr="001C6152">
        <w:rPr>
          <w:rFonts w:ascii="Verdana" w:hAnsi="Verdana"/>
          <w:sz w:val="24"/>
          <w:szCs w:val="24"/>
        </w:rPr>
        <w:t>Monzo</w:t>
      </w:r>
      <w:r w:rsidRPr="001C6152">
        <w:rPr>
          <w:rFonts w:ascii="Verdana" w:hAnsi="Verdana"/>
          <w:sz w:val="24"/>
          <w:szCs w:val="24"/>
        </w:rPr>
        <w:t xml:space="preserve"> allows our users to ‘say or sign’ the elements of our electronic identification process that require users to speak in English. This is crucial for consumers functioning without a branch, as British Sign Language (BSL) is the first language for </w:t>
      </w:r>
      <w:r w:rsidRPr="001C6152">
        <w:rPr>
          <w:rFonts w:ascii="Verdana" w:hAnsi="Verdana"/>
          <w:sz w:val="24"/>
          <w:szCs w:val="24"/>
        </w:rPr>
        <w:t>the majority of</w:t>
      </w:r>
      <w:r w:rsidRPr="001C6152">
        <w:rPr>
          <w:rFonts w:ascii="Verdana" w:hAnsi="Verdana"/>
          <w:sz w:val="24"/>
          <w:szCs w:val="24"/>
        </w:rPr>
        <w:t xml:space="preserve"> deaf community in the UK. BSL interpreters can be booked for in person support, but for digital channels more work must be done to ensure that </w:t>
      </w:r>
      <w:r w:rsidRPr="001C6152">
        <w:rPr>
          <w:rFonts w:ascii="Verdana" w:hAnsi="Verdana"/>
          <w:sz w:val="24"/>
          <w:szCs w:val="24"/>
        </w:rPr>
        <w:t>online banking remains accessible for deaf people without requiring reliance on a trusted third party - which has downsides that are currently mitigated by cash</w:t>
      </w:r>
      <w:r w:rsidRPr="001C6152">
        <w:rPr>
          <w:rFonts w:ascii="Verdana" w:hAnsi="Verdana"/>
          <w:spacing w:val="-2"/>
          <w:sz w:val="24"/>
          <w:szCs w:val="24"/>
        </w:rPr>
        <w:t xml:space="preserve"> </w:t>
      </w:r>
      <w:r w:rsidRPr="001C6152">
        <w:rPr>
          <w:rFonts w:ascii="Verdana" w:hAnsi="Verdana"/>
          <w:sz w:val="24"/>
          <w:szCs w:val="24"/>
        </w:rPr>
        <w:t>use.</w:t>
      </w:r>
    </w:p>
    <w:p w:rsidR="006F673E" w:rsidRPr="001C6152">
      <w:pPr>
        <w:pStyle w:val="ListParagraph"/>
        <w:numPr>
          <w:ilvl w:val="0"/>
          <w:numId w:val="2"/>
        </w:numPr>
        <w:tabs>
          <w:tab w:val="left" w:pos="821"/>
          <w:tab w:val="left" w:pos="822"/>
        </w:tabs>
        <w:spacing w:line="285" w:lineRule="auto"/>
        <w:ind w:right="336"/>
        <w:rPr>
          <w:rFonts w:ascii="Verdana" w:hAnsi="Verdana"/>
          <w:sz w:val="24"/>
          <w:szCs w:val="24"/>
        </w:rPr>
      </w:pPr>
      <w:r w:rsidRPr="001C6152">
        <w:rPr>
          <w:rFonts w:ascii="Verdana" w:hAnsi="Verdana"/>
          <w:i/>
          <w:sz w:val="24"/>
          <w:szCs w:val="24"/>
        </w:rPr>
        <w:t>Vulnerability</w:t>
      </w:r>
      <w:r w:rsidRPr="001C6152">
        <w:rPr>
          <w:rFonts w:ascii="Verdana" w:hAnsi="Verdana"/>
          <w:i/>
          <w:spacing w:val="-10"/>
          <w:sz w:val="24"/>
          <w:szCs w:val="24"/>
        </w:rPr>
        <w:t xml:space="preserve"> </w:t>
      </w:r>
      <w:r w:rsidRPr="001C6152">
        <w:rPr>
          <w:rFonts w:ascii="Verdana" w:hAnsi="Verdana"/>
          <w:i/>
          <w:sz w:val="24"/>
          <w:szCs w:val="24"/>
        </w:rPr>
        <w:t>measures:</w:t>
      </w:r>
      <w:r w:rsidRPr="001C6152">
        <w:rPr>
          <w:rFonts w:ascii="Verdana" w:hAnsi="Verdana"/>
          <w:i/>
          <w:spacing w:val="-8"/>
          <w:sz w:val="24"/>
          <w:szCs w:val="24"/>
        </w:rPr>
        <w:t xml:space="preserve"> </w:t>
      </w:r>
      <w:r w:rsidRPr="001C6152">
        <w:rPr>
          <w:rFonts w:ascii="Verdana" w:hAnsi="Verdana"/>
          <w:sz w:val="24"/>
          <w:szCs w:val="24"/>
        </w:rPr>
        <w:t>Financial</w:t>
      </w:r>
      <w:r w:rsidRPr="001C6152">
        <w:rPr>
          <w:rFonts w:ascii="Verdana" w:hAnsi="Verdana"/>
          <w:spacing w:val="-9"/>
          <w:sz w:val="24"/>
          <w:szCs w:val="24"/>
        </w:rPr>
        <w:t xml:space="preserve"> </w:t>
      </w:r>
      <w:r w:rsidRPr="001C6152">
        <w:rPr>
          <w:rFonts w:ascii="Verdana" w:hAnsi="Verdana"/>
          <w:sz w:val="24"/>
          <w:szCs w:val="24"/>
        </w:rPr>
        <w:t>and</w:t>
      </w:r>
      <w:r w:rsidRPr="001C6152">
        <w:rPr>
          <w:rFonts w:ascii="Verdana" w:hAnsi="Verdana"/>
          <w:spacing w:val="-9"/>
          <w:sz w:val="24"/>
          <w:szCs w:val="24"/>
        </w:rPr>
        <w:t xml:space="preserve"> </w:t>
      </w:r>
      <w:r w:rsidRPr="001C6152">
        <w:rPr>
          <w:rFonts w:ascii="Verdana" w:hAnsi="Verdana"/>
          <w:sz w:val="24"/>
          <w:szCs w:val="24"/>
        </w:rPr>
        <w:t>domestic</w:t>
      </w:r>
      <w:r w:rsidRPr="001C6152">
        <w:rPr>
          <w:rFonts w:ascii="Verdana" w:hAnsi="Verdana"/>
          <w:spacing w:val="-10"/>
          <w:sz w:val="24"/>
          <w:szCs w:val="24"/>
        </w:rPr>
        <w:t xml:space="preserve"> </w:t>
      </w:r>
      <w:r w:rsidRPr="001C6152">
        <w:rPr>
          <w:rFonts w:ascii="Verdana" w:hAnsi="Verdana"/>
          <w:sz w:val="24"/>
          <w:szCs w:val="24"/>
        </w:rPr>
        <w:t>abuse</w:t>
      </w:r>
      <w:r w:rsidRPr="001C6152">
        <w:rPr>
          <w:rFonts w:ascii="Verdana" w:hAnsi="Verdana"/>
          <w:spacing w:val="-9"/>
          <w:sz w:val="24"/>
          <w:szCs w:val="24"/>
        </w:rPr>
        <w:t xml:space="preserve"> </w:t>
      </w:r>
      <w:r w:rsidRPr="001C6152">
        <w:rPr>
          <w:rFonts w:ascii="Verdana" w:hAnsi="Verdana"/>
          <w:sz w:val="24"/>
          <w:szCs w:val="24"/>
        </w:rPr>
        <w:t>is</w:t>
      </w:r>
      <w:r w:rsidRPr="001C6152">
        <w:rPr>
          <w:rFonts w:ascii="Verdana" w:hAnsi="Verdana"/>
          <w:spacing w:val="-9"/>
          <w:sz w:val="24"/>
          <w:szCs w:val="24"/>
        </w:rPr>
        <w:t xml:space="preserve"> </w:t>
      </w:r>
      <w:r w:rsidRPr="001C6152">
        <w:rPr>
          <w:rFonts w:ascii="Verdana" w:hAnsi="Verdana"/>
          <w:sz w:val="24"/>
          <w:szCs w:val="24"/>
        </w:rPr>
        <w:t>another</w:t>
      </w:r>
      <w:r w:rsidRPr="001C6152">
        <w:rPr>
          <w:rFonts w:ascii="Verdana" w:hAnsi="Verdana"/>
          <w:spacing w:val="-10"/>
          <w:sz w:val="24"/>
          <w:szCs w:val="24"/>
        </w:rPr>
        <w:t xml:space="preserve"> </w:t>
      </w:r>
      <w:r w:rsidRPr="001C6152">
        <w:rPr>
          <w:rFonts w:ascii="Verdana" w:hAnsi="Verdana"/>
          <w:sz w:val="24"/>
          <w:szCs w:val="24"/>
        </w:rPr>
        <w:t>key</w:t>
      </w:r>
      <w:r w:rsidRPr="001C6152">
        <w:rPr>
          <w:rFonts w:ascii="Verdana" w:hAnsi="Verdana"/>
          <w:spacing w:val="-9"/>
          <w:sz w:val="24"/>
          <w:szCs w:val="24"/>
        </w:rPr>
        <w:t xml:space="preserve"> </w:t>
      </w:r>
      <w:r w:rsidRPr="001C6152">
        <w:rPr>
          <w:rFonts w:ascii="Verdana" w:hAnsi="Verdana"/>
          <w:sz w:val="24"/>
          <w:szCs w:val="24"/>
        </w:rPr>
        <w:t>driver</w:t>
      </w:r>
      <w:r w:rsidRPr="001C6152">
        <w:rPr>
          <w:rFonts w:ascii="Verdana" w:hAnsi="Verdana"/>
          <w:spacing w:val="-9"/>
          <w:sz w:val="24"/>
          <w:szCs w:val="24"/>
        </w:rPr>
        <w:t xml:space="preserve"> </w:t>
      </w:r>
      <w:r w:rsidRPr="001C6152">
        <w:rPr>
          <w:rFonts w:ascii="Verdana" w:hAnsi="Verdana"/>
          <w:sz w:val="24"/>
          <w:szCs w:val="24"/>
        </w:rPr>
        <w:t>for</w:t>
      </w:r>
      <w:r w:rsidRPr="001C6152">
        <w:rPr>
          <w:rFonts w:ascii="Verdana" w:hAnsi="Verdana"/>
          <w:spacing w:val="-10"/>
          <w:sz w:val="24"/>
          <w:szCs w:val="24"/>
        </w:rPr>
        <w:t xml:space="preserve"> </w:t>
      </w:r>
      <w:r w:rsidRPr="001C6152">
        <w:rPr>
          <w:rFonts w:ascii="Verdana" w:hAnsi="Verdana"/>
          <w:sz w:val="24"/>
          <w:szCs w:val="24"/>
        </w:rPr>
        <w:t>cash use which may be solved through digital</w:t>
      </w:r>
      <w:r w:rsidRPr="001C6152">
        <w:rPr>
          <w:rFonts w:ascii="Verdana" w:hAnsi="Verdana"/>
          <w:spacing w:val="-10"/>
          <w:sz w:val="24"/>
          <w:szCs w:val="24"/>
        </w:rPr>
        <w:t xml:space="preserve"> </w:t>
      </w:r>
      <w:r w:rsidRPr="001C6152">
        <w:rPr>
          <w:rFonts w:ascii="Verdana" w:hAnsi="Verdana"/>
          <w:sz w:val="24"/>
          <w:szCs w:val="24"/>
        </w:rPr>
        <w:t>investment.</w:t>
      </w:r>
    </w:p>
    <w:p w:rsidR="00244248" w:rsidP="001C6152">
      <w:pPr>
        <w:pStyle w:val="ListParagraph"/>
        <w:numPr>
          <w:ilvl w:val="1"/>
          <w:numId w:val="2"/>
        </w:numPr>
        <w:tabs>
          <w:tab w:val="left" w:pos="1542"/>
          <w:tab w:val="left" w:pos="1543"/>
        </w:tabs>
        <w:spacing w:line="276" w:lineRule="auto"/>
        <w:ind w:right="128"/>
        <w:rPr>
          <w:rFonts w:ascii="Verdana" w:hAnsi="Verdana"/>
          <w:sz w:val="24"/>
          <w:szCs w:val="24"/>
        </w:rPr>
      </w:pPr>
      <w:r w:rsidRPr="001C6152">
        <w:rPr>
          <w:rFonts w:ascii="Verdana" w:hAnsi="Verdana"/>
          <w:sz w:val="24"/>
          <w:szCs w:val="24"/>
        </w:rPr>
        <w:t>Monzo</w:t>
      </w:r>
      <w:r w:rsidRPr="001C6152">
        <w:rPr>
          <w:rFonts w:ascii="Verdana" w:hAnsi="Verdana"/>
          <w:sz w:val="24"/>
          <w:szCs w:val="24"/>
        </w:rPr>
        <w:t xml:space="preserve"> have built a ‘Share with Us’ feature</w:t>
      </w:r>
      <w:r>
        <w:rPr>
          <w:rStyle w:val="FootnoteReference"/>
          <w:rFonts w:ascii="Verdana" w:hAnsi="Verdana"/>
          <w:sz w:val="24"/>
          <w:szCs w:val="24"/>
        </w:rPr>
        <w:footnoteReference w:id="5"/>
      </w:r>
      <w:r w:rsidRPr="001C6152">
        <w:rPr>
          <w:rFonts w:ascii="Verdana" w:hAnsi="Verdana"/>
          <w:color w:val="1154CC"/>
          <w:sz w:val="24"/>
          <w:szCs w:val="24"/>
        </w:rPr>
        <w:t xml:space="preserve"> </w:t>
      </w:r>
      <w:r w:rsidRPr="001C6152">
        <w:rPr>
          <w:rFonts w:ascii="Verdana" w:hAnsi="Verdana"/>
          <w:sz w:val="24"/>
          <w:szCs w:val="24"/>
        </w:rPr>
        <w:t>within our app to help victims of financial and domestic abuse safely disclose this information with us, set up code words and arrange safe times for us to contact them with regard to their money - away from their abuser. The tool leaves no trace, as all chat history is deleted from the app, and was specifically designed with domestic abuse victims in mind. However, we do encourage users to disclose anything through it that might affect their relationship with their money or their relationship with</w:t>
      </w:r>
      <w:r w:rsidRPr="001C6152">
        <w:rPr>
          <w:rFonts w:ascii="Verdana" w:hAnsi="Verdana"/>
          <w:spacing w:val="-3"/>
          <w:sz w:val="24"/>
          <w:szCs w:val="24"/>
        </w:rPr>
        <w:t xml:space="preserve"> </w:t>
      </w:r>
      <w:r w:rsidRPr="001C6152">
        <w:rPr>
          <w:rFonts w:ascii="Verdana" w:hAnsi="Verdana"/>
          <w:sz w:val="24"/>
          <w:szCs w:val="24"/>
        </w:rPr>
        <w:t>Monzo</w:t>
      </w:r>
      <w:r w:rsidRPr="001C6152">
        <w:rPr>
          <w:rFonts w:ascii="Verdana" w:hAnsi="Verdana"/>
          <w:sz w:val="24"/>
          <w:szCs w:val="24"/>
        </w:rPr>
        <w:t>.</w:t>
      </w:r>
    </w:p>
    <w:p w:rsidR="001C6152" w:rsidRPr="001C6152" w:rsidP="001C6152">
      <w:pPr>
        <w:pStyle w:val="ListParagraph"/>
        <w:tabs>
          <w:tab w:val="left" w:pos="1542"/>
          <w:tab w:val="left" w:pos="1543"/>
        </w:tabs>
        <w:spacing w:line="276" w:lineRule="auto"/>
        <w:ind w:left="1542" w:right="128" w:firstLine="0"/>
        <w:rPr>
          <w:rFonts w:ascii="Verdana" w:hAnsi="Verdana"/>
          <w:sz w:val="24"/>
          <w:szCs w:val="24"/>
        </w:rPr>
      </w:pPr>
    </w:p>
    <w:p w:rsidR="006F673E" w:rsidRPr="001C6152">
      <w:pPr>
        <w:pStyle w:val="ListParagraph"/>
        <w:numPr>
          <w:ilvl w:val="0"/>
          <w:numId w:val="2"/>
        </w:numPr>
        <w:tabs>
          <w:tab w:val="left" w:pos="821"/>
          <w:tab w:val="left" w:pos="822"/>
        </w:tabs>
        <w:spacing w:line="273" w:lineRule="auto"/>
        <w:ind w:right="383"/>
        <w:rPr>
          <w:rFonts w:ascii="Verdana" w:hAnsi="Verdana"/>
          <w:sz w:val="24"/>
          <w:szCs w:val="24"/>
        </w:rPr>
      </w:pPr>
      <w:r w:rsidRPr="001C6152">
        <w:rPr>
          <w:rFonts w:ascii="Verdana" w:hAnsi="Verdana"/>
          <w:i/>
          <w:sz w:val="24"/>
          <w:szCs w:val="24"/>
        </w:rPr>
        <w:t>Access</w:t>
      </w:r>
      <w:r w:rsidRPr="001C6152">
        <w:rPr>
          <w:rFonts w:ascii="Verdana" w:hAnsi="Verdana"/>
          <w:i/>
          <w:spacing w:val="-7"/>
          <w:sz w:val="24"/>
          <w:szCs w:val="24"/>
        </w:rPr>
        <w:t xml:space="preserve"> </w:t>
      </w:r>
      <w:r w:rsidRPr="001C6152">
        <w:rPr>
          <w:rFonts w:ascii="Verdana" w:hAnsi="Verdana"/>
          <w:i/>
          <w:sz w:val="24"/>
          <w:szCs w:val="24"/>
        </w:rPr>
        <w:t>to</w:t>
      </w:r>
      <w:r w:rsidRPr="001C6152">
        <w:rPr>
          <w:rFonts w:ascii="Verdana" w:hAnsi="Verdana"/>
          <w:i/>
          <w:spacing w:val="-7"/>
          <w:sz w:val="24"/>
          <w:szCs w:val="24"/>
        </w:rPr>
        <w:t xml:space="preserve"> </w:t>
      </w:r>
      <w:r w:rsidRPr="001C6152">
        <w:rPr>
          <w:rFonts w:ascii="Verdana" w:hAnsi="Verdana"/>
          <w:i/>
          <w:sz w:val="24"/>
          <w:szCs w:val="24"/>
        </w:rPr>
        <w:t>bank</w:t>
      </w:r>
      <w:r w:rsidRPr="001C6152">
        <w:rPr>
          <w:rFonts w:ascii="Verdana" w:hAnsi="Verdana"/>
          <w:i/>
          <w:spacing w:val="-6"/>
          <w:sz w:val="24"/>
          <w:szCs w:val="24"/>
        </w:rPr>
        <w:t xml:space="preserve"> </w:t>
      </w:r>
      <w:r w:rsidRPr="001C6152">
        <w:rPr>
          <w:rFonts w:ascii="Verdana" w:hAnsi="Verdana"/>
          <w:i/>
          <w:sz w:val="24"/>
          <w:szCs w:val="24"/>
        </w:rPr>
        <w:t>accounts:</w:t>
      </w:r>
      <w:r w:rsidRPr="001C6152">
        <w:rPr>
          <w:rFonts w:ascii="Verdana" w:hAnsi="Verdana"/>
          <w:i/>
          <w:spacing w:val="-7"/>
          <w:sz w:val="24"/>
          <w:szCs w:val="24"/>
        </w:rPr>
        <w:t xml:space="preserve"> </w:t>
      </w:r>
      <w:r w:rsidRPr="001C6152">
        <w:rPr>
          <w:rFonts w:ascii="Verdana" w:hAnsi="Verdana"/>
          <w:sz w:val="24"/>
          <w:szCs w:val="24"/>
        </w:rPr>
        <w:t>Access</w:t>
      </w:r>
      <w:r w:rsidRPr="001C6152">
        <w:rPr>
          <w:rFonts w:ascii="Verdana" w:hAnsi="Verdana"/>
          <w:spacing w:val="-7"/>
          <w:sz w:val="24"/>
          <w:szCs w:val="24"/>
        </w:rPr>
        <w:t xml:space="preserve"> </w:t>
      </w:r>
      <w:r w:rsidRPr="001C6152">
        <w:rPr>
          <w:rFonts w:ascii="Verdana" w:hAnsi="Verdana"/>
          <w:sz w:val="24"/>
          <w:szCs w:val="24"/>
        </w:rPr>
        <w:t>to</w:t>
      </w:r>
      <w:r w:rsidRPr="001C6152">
        <w:rPr>
          <w:rFonts w:ascii="Verdana" w:hAnsi="Verdana"/>
          <w:spacing w:val="-6"/>
          <w:sz w:val="24"/>
          <w:szCs w:val="24"/>
        </w:rPr>
        <w:t xml:space="preserve"> </w:t>
      </w:r>
      <w:r w:rsidRPr="001C6152">
        <w:rPr>
          <w:rFonts w:ascii="Verdana" w:hAnsi="Verdana"/>
          <w:sz w:val="24"/>
          <w:szCs w:val="24"/>
        </w:rPr>
        <w:t>the</w:t>
      </w:r>
      <w:r w:rsidRPr="001C6152">
        <w:rPr>
          <w:rFonts w:ascii="Verdana" w:hAnsi="Verdana"/>
          <w:spacing w:val="-7"/>
          <w:sz w:val="24"/>
          <w:szCs w:val="24"/>
        </w:rPr>
        <w:t xml:space="preserve"> </w:t>
      </w:r>
      <w:r w:rsidRPr="001C6152">
        <w:rPr>
          <w:rFonts w:ascii="Verdana" w:hAnsi="Verdana"/>
          <w:sz w:val="24"/>
          <w:szCs w:val="24"/>
        </w:rPr>
        <w:t>banking</w:t>
      </w:r>
      <w:r w:rsidRPr="001C6152">
        <w:rPr>
          <w:rFonts w:ascii="Verdana" w:hAnsi="Verdana"/>
          <w:spacing w:val="-7"/>
          <w:sz w:val="24"/>
          <w:szCs w:val="24"/>
        </w:rPr>
        <w:t xml:space="preserve"> </w:t>
      </w:r>
      <w:r w:rsidRPr="001C6152">
        <w:rPr>
          <w:rFonts w:ascii="Verdana" w:hAnsi="Verdana"/>
          <w:sz w:val="24"/>
          <w:szCs w:val="24"/>
        </w:rPr>
        <w:t>system</w:t>
      </w:r>
      <w:r w:rsidRPr="001C6152">
        <w:rPr>
          <w:rFonts w:ascii="Verdana" w:hAnsi="Verdana"/>
          <w:spacing w:val="-6"/>
          <w:sz w:val="24"/>
          <w:szCs w:val="24"/>
        </w:rPr>
        <w:t xml:space="preserve"> </w:t>
      </w:r>
      <w:r w:rsidRPr="001C6152">
        <w:rPr>
          <w:rFonts w:ascii="Verdana" w:hAnsi="Verdana"/>
          <w:sz w:val="24"/>
          <w:szCs w:val="24"/>
        </w:rPr>
        <w:t>is</w:t>
      </w:r>
      <w:r w:rsidRPr="001C6152">
        <w:rPr>
          <w:rFonts w:ascii="Verdana" w:hAnsi="Verdana"/>
          <w:spacing w:val="-7"/>
          <w:sz w:val="24"/>
          <w:szCs w:val="24"/>
        </w:rPr>
        <w:t xml:space="preserve"> </w:t>
      </w:r>
      <w:r w:rsidRPr="001C6152">
        <w:rPr>
          <w:rFonts w:ascii="Verdana" w:hAnsi="Verdana"/>
          <w:sz w:val="24"/>
          <w:szCs w:val="24"/>
        </w:rPr>
        <w:t>crucial</w:t>
      </w:r>
      <w:r w:rsidRPr="001C6152">
        <w:rPr>
          <w:rFonts w:ascii="Verdana" w:hAnsi="Verdana"/>
          <w:spacing w:val="-6"/>
          <w:sz w:val="24"/>
          <w:szCs w:val="24"/>
        </w:rPr>
        <w:t xml:space="preserve"> </w:t>
      </w:r>
      <w:r w:rsidRPr="001C6152">
        <w:rPr>
          <w:rFonts w:ascii="Verdana" w:hAnsi="Verdana"/>
          <w:sz w:val="24"/>
          <w:szCs w:val="24"/>
        </w:rPr>
        <w:t>if</w:t>
      </w:r>
      <w:r w:rsidRPr="001C6152">
        <w:rPr>
          <w:rFonts w:ascii="Verdana" w:hAnsi="Verdana"/>
          <w:spacing w:val="-7"/>
          <w:sz w:val="24"/>
          <w:szCs w:val="24"/>
        </w:rPr>
        <w:t xml:space="preserve"> </w:t>
      </w:r>
      <w:r w:rsidRPr="001C6152">
        <w:rPr>
          <w:rFonts w:ascii="Verdana" w:hAnsi="Verdana"/>
          <w:sz w:val="24"/>
          <w:szCs w:val="24"/>
        </w:rPr>
        <w:t>the</w:t>
      </w:r>
      <w:r w:rsidRPr="001C6152">
        <w:rPr>
          <w:rFonts w:ascii="Verdana" w:hAnsi="Verdana"/>
          <w:spacing w:val="-6"/>
          <w:sz w:val="24"/>
          <w:szCs w:val="24"/>
        </w:rPr>
        <w:t xml:space="preserve"> </w:t>
      </w:r>
      <w:r w:rsidRPr="001C6152">
        <w:rPr>
          <w:rFonts w:ascii="Verdana" w:hAnsi="Verdana"/>
          <w:sz w:val="24"/>
          <w:szCs w:val="24"/>
        </w:rPr>
        <w:t>UK</w:t>
      </w:r>
      <w:r w:rsidRPr="001C6152">
        <w:rPr>
          <w:rFonts w:ascii="Verdana" w:hAnsi="Verdana"/>
          <w:spacing w:val="-7"/>
          <w:sz w:val="24"/>
          <w:szCs w:val="24"/>
        </w:rPr>
        <w:t xml:space="preserve"> </w:t>
      </w:r>
      <w:r w:rsidRPr="001C6152">
        <w:rPr>
          <w:rFonts w:ascii="Verdana" w:hAnsi="Verdana"/>
          <w:sz w:val="24"/>
          <w:szCs w:val="24"/>
        </w:rPr>
        <w:t>is</w:t>
      </w:r>
      <w:r w:rsidRPr="001C6152">
        <w:rPr>
          <w:rFonts w:ascii="Verdana" w:hAnsi="Verdana"/>
          <w:spacing w:val="-7"/>
          <w:sz w:val="24"/>
          <w:szCs w:val="24"/>
        </w:rPr>
        <w:t xml:space="preserve"> </w:t>
      </w:r>
      <w:r w:rsidRPr="001C6152">
        <w:rPr>
          <w:rFonts w:ascii="Verdana" w:hAnsi="Verdana"/>
          <w:sz w:val="24"/>
          <w:szCs w:val="24"/>
        </w:rPr>
        <w:t>to</w:t>
      </w:r>
      <w:r w:rsidRPr="001C6152">
        <w:rPr>
          <w:rFonts w:ascii="Verdana" w:hAnsi="Verdana"/>
          <w:spacing w:val="-6"/>
          <w:sz w:val="24"/>
          <w:szCs w:val="24"/>
        </w:rPr>
        <w:t xml:space="preserve"> </w:t>
      </w:r>
      <w:r w:rsidRPr="001C6152">
        <w:rPr>
          <w:rFonts w:ascii="Verdana" w:hAnsi="Verdana"/>
          <w:sz w:val="24"/>
          <w:szCs w:val="24"/>
        </w:rPr>
        <w:t>go cashless, without leaving any section of society</w:t>
      </w:r>
      <w:r w:rsidRPr="001C6152">
        <w:rPr>
          <w:rFonts w:ascii="Verdana" w:hAnsi="Verdana"/>
          <w:spacing w:val="-12"/>
          <w:sz w:val="24"/>
          <w:szCs w:val="24"/>
        </w:rPr>
        <w:t xml:space="preserve"> </w:t>
      </w:r>
      <w:r w:rsidRPr="001C6152">
        <w:rPr>
          <w:rFonts w:ascii="Verdana" w:hAnsi="Verdana"/>
          <w:sz w:val="24"/>
          <w:szCs w:val="24"/>
        </w:rPr>
        <w:t>behind.</w:t>
      </w:r>
    </w:p>
    <w:p w:rsidR="006F673E" w:rsidRPr="001C6152">
      <w:pPr>
        <w:pStyle w:val="ListParagraph"/>
        <w:numPr>
          <w:ilvl w:val="1"/>
          <w:numId w:val="2"/>
        </w:numPr>
        <w:tabs>
          <w:tab w:val="left" w:pos="1542"/>
          <w:tab w:val="left" w:pos="1543"/>
        </w:tabs>
        <w:spacing w:line="276" w:lineRule="auto"/>
        <w:ind w:right="174"/>
        <w:rPr>
          <w:rFonts w:ascii="Verdana" w:hAnsi="Verdana"/>
          <w:sz w:val="24"/>
          <w:szCs w:val="24"/>
        </w:rPr>
      </w:pPr>
      <w:r w:rsidRPr="001C6152">
        <w:rPr>
          <w:rFonts w:ascii="Verdana" w:hAnsi="Verdana"/>
          <w:sz w:val="24"/>
          <w:szCs w:val="24"/>
        </w:rPr>
        <w:t xml:space="preserve">An agile approach to proof of address is needed: the traditional methods of verifying POA, e.g. utility bills are not flexible enough for anyone who is struggling to maintain a stable address - and in many cases they are easy to spoof. Firms should be encouraged to work with the regulator to meet their Know Your Customer requirements in a way that </w:t>
      </w:r>
      <w:r w:rsidRPr="001C6152">
        <w:rPr>
          <w:rFonts w:ascii="Verdana" w:hAnsi="Verdana"/>
          <w:sz w:val="24"/>
          <w:szCs w:val="24"/>
        </w:rPr>
        <w:t>recognises</w:t>
      </w:r>
      <w:r w:rsidRPr="001C6152">
        <w:rPr>
          <w:rFonts w:ascii="Verdana" w:hAnsi="Verdana"/>
          <w:sz w:val="24"/>
          <w:szCs w:val="24"/>
        </w:rPr>
        <w:t xml:space="preserve"> the challenges for</w:t>
      </w:r>
      <w:r w:rsidRPr="001C6152">
        <w:rPr>
          <w:rFonts w:ascii="Verdana" w:hAnsi="Verdana"/>
          <w:spacing w:val="-6"/>
          <w:sz w:val="24"/>
          <w:szCs w:val="24"/>
        </w:rPr>
        <w:t xml:space="preserve"> </w:t>
      </w:r>
      <w:r w:rsidRPr="001C6152">
        <w:rPr>
          <w:rFonts w:ascii="Verdana" w:hAnsi="Verdana"/>
          <w:sz w:val="24"/>
          <w:szCs w:val="24"/>
        </w:rPr>
        <w:t>many</w:t>
      </w:r>
      <w:r w:rsidRPr="001C6152">
        <w:rPr>
          <w:rFonts w:ascii="Verdana" w:hAnsi="Verdana"/>
          <w:spacing w:val="-5"/>
          <w:sz w:val="24"/>
          <w:szCs w:val="24"/>
        </w:rPr>
        <w:t xml:space="preserve"> </w:t>
      </w:r>
      <w:r w:rsidRPr="001C6152">
        <w:rPr>
          <w:rFonts w:ascii="Verdana" w:hAnsi="Verdana"/>
          <w:sz w:val="24"/>
          <w:szCs w:val="24"/>
        </w:rPr>
        <w:t>people</w:t>
      </w:r>
      <w:r w:rsidRPr="001C6152">
        <w:rPr>
          <w:rFonts w:ascii="Verdana" w:hAnsi="Verdana"/>
          <w:spacing w:val="-6"/>
          <w:sz w:val="24"/>
          <w:szCs w:val="24"/>
        </w:rPr>
        <w:t xml:space="preserve"> </w:t>
      </w:r>
      <w:r w:rsidRPr="001C6152">
        <w:rPr>
          <w:rFonts w:ascii="Verdana" w:hAnsi="Verdana"/>
          <w:sz w:val="24"/>
          <w:szCs w:val="24"/>
        </w:rPr>
        <w:t>caught</w:t>
      </w:r>
      <w:r w:rsidRPr="001C6152">
        <w:rPr>
          <w:rFonts w:ascii="Verdana" w:hAnsi="Verdana"/>
          <w:spacing w:val="-5"/>
          <w:sz w:val="24"/>
          <w:szCs w:val="24"/>
        </w:rPr>
        <w:t xml:space="preserve"> </w:t>
      </w:r>
      <w:r w:rsidRPr="001C6152">
        <w:rPr>
          <w:rFonts w:ascii="Verdana" w:hAnsi="Verdana"/>
          <w:sz w:val="24"/>
          <w:szCs w:val="24"/>
        </w:rPr>
        <w:t>in</w:t>
      </w:r>
      <w:r w:rsidRPr="001C6152">
        <w:rPr>
          <w:rFonts w:ascii="Verdana" w:hAnsi="Verdana"/>
          <w:spacing w:val="-6"/>
          <w:sz w:val="24"/>
          <w:szCs w:val="24"/>
        </w:rPr>
        <w:t xml:space="preserve"> </w:t>
      </w:r>
      <w:r w:rsidRPr="001C6152">
        <w:rPr>
          <w:rFonts w:ascii="Verdana" w:hAnsi="Verdana"/>
          <w:sz w:val="24"/>
          <w:szCs w:val="24"/>
        </w:rPr>
        <w:t>short</w:t>
      </w:r>
      <w:r w:rsidRPr="001C6152">
        <w:rPr>
          <w:rFonts w:ascii="Verdana" w:hAnsi="Verdana"/>
          <w:spacing w:val="-5"/>
          <w:sz w:val="24"/>
          <w:szCs w:val="24"/>
        </w:rPr>
        <w:t xml:space="preserve"> </w:t>
      </w:r>
      <w:r w:rsidRPr="001C6152">
        <w:rPr>
          <w:rFonts w:ascii="Verdana" w:hAnsi="Verdana"/>
          <w:sz w:val="24"/>
          <w:szCs w:val="24"/>
        </w:rPr>
        <w:t>term,</w:t>
      </w:r>
      <w:r w:rsidRPr="001C6152">
        <w:rPr>
          <w:rFonts w:ascii="Verdana" w:hAnsi="Verdana"/>
          <w:spacing w:val="-5"/>
          <w:sz w:val="24"/>
          <w:szCs w:val="24"/>
        </w:rPr>
        <w:t xml:space="preserve"> </w:t>
      </w:r>
      <w:r w:rsidRPr="001C6152">
        <w:rPr>
          <w:rFonts w:ascii="Verdana" w:hAnsi="Verdana"/>
          <w:sz w:val="24"/>
          <w:szCs w:val="24"/>
        </w:rPr>
        <w:t>transitional</w:t>
      </w:r>
      <w:r w:rsidRPr="001C6152">
        <w:rPr>
          <w:rFonts w:ascii="Verdana" w:hAnsi="Verdana"/>
          <w:spacing w:val="-4"/>
          <w:sz w:val="24"/>
          <w:szCs w:val="24"/>
        </w:rPr>
        <w:t xml:space="preserve"> </w:t>
      </w:r>
      <w:r w:rsidRPr="001C6152">
        <w:rPr>
          <w:rFonts w:ascii="Verdana" w:hAnsi="Verdana"/>
          <w:sz w:val="24"/>
          <w:szCs w:val="24"/>
        </w:rPr>
        <w:t>or</w:t>
      </w:r>
      <w:r w:rsidRPr="001C6152">
        <w:rPr>
          <w:rFonts w:ascii="Verdana" w:hAnsi="Verdana"/>
          <w:spacing w:val="-6"/>
          <w:sz w:val="24"/>
          <w:szCs w:val="24"/>
        </w:rPr>
        <w:t xml:space="preserve"> </w:t>
      </w:r>
      <w:r w:rsidRPr="001C6152">
        <w:rPr>
          <w:rFonts w:ascii="Verdana" w:hAnsi="Verdana"/>
          <w:sz w:val="24"/>
          <w:szCs w:val="24"/>
        </w:rPr>
        <w:t>unstable</w:t>
      </w:r>
      <w:r w:rsidRPr="001C6152">
        <w:rPr>
          <w:rFonts w:ascii="Verdana" w:hAnsi="Verdana"/>
          <w:spacing w:val="-5"/>
          <w:sz w:val="24"/>
          <w:szCs w:val="24"/>
        </w:rPr>
        <w:t xml:space="preserve"> </w:t>
      </w:r>
      <w:r w:rsidRPr="001C6152">
        <w:rPr>
          <w:rFonts w:ascii="Verdana" w:hAnsi="Verdana"/>
          <w:sz w:val="24"/>
          <w:szCs w:val="24"/>
        </w:rPr>
        <w:t>housing</w:t>
      </w:r>
      <w:r w:rsidRPr="001C6152">
        <w:rPr>
          <w:rFonts w:ascii="Verdana" w:hAnsi="Verdana"/>
          <w:spacing w:val="-6"/>
          <w:sz w:val="24"/>
          <w:szCs w:val="24"/>
        </w:rPr>
        <w:t xml:space="preserve"> </w:t>
      </w:r>
      <w:r w:rsidRPr="001C6152">
        <w:rPr>
          <w:rFonts w:ascii="Verdana" w:hAnsi="Verdana"/>
          <w:sz w:val="24"/>
          <w:szCs w:val="24"/>
        </w:rPr>
        <w:t>cycles.</w:t>
      </w:r>
    </w:p>
    <w:p w:rsidR="006F673E" w:rsidRPr="001C6152">
      <w:pPr>
        <w:pStyle w:val="ListParagraph"/>
        <w:numPr>
          <w:ilvl w:val="1"/>
          <w:numId w:val="2"/>
        </w:numPr>
        <w:tabs>
          <w:tab w:val="left" w:pos="1542"/>
          <w:tab w:val="left" w:pos="1543"/>
        </w:tabs>
        <w:spacing w:line="273" w:lineRule="auto"/>
        <w:ind w:right="340"/>
        <w:rPr>
          <w:rFonts w:ascii="Verdana" w:hAnsi="Verdana"/>
          <w:sz w:val="24"/>
          <w:szCs w:val="24"/>
        </w:rPr>
      </w:pPr>
      <w:r w:rsidRPr="001C6152">
        <w:rPr>
          <w:rFonts w:ascii="Verdana" w:hAnsi="Verdana"/>
          <w:sz w:val="24"/>
          <w:szCs w:val="24"/>
        </w:rPr>
        <w:t>It’s also crucial that we consider widening the pool of accepted IDs for banking</w:t>
      </w:r>
      <w:r w:rsidRPr="001C6152">
        <w:rPr>
          <w:rFonts w:ascii="Verdana" w:hAnsi="Verdana"/>
          <w:spacing w:val="-7"/>
          <w:sz w:val="24"/>
          <w:szCs w:val="24"/>
        </w:rPr>
        <w:t xml:space="preserve"> </w:t>
      </w:r>
      <w:r w:rsidRPr="001C6152">
        <w:rPr>
          <w:rFonts w:ascii="Verdana" w:hAnsi="Verdana"/>
          <w:sz w:val="24"/>
          <w:szCs w:val="24"/>
        </w:rPr>
        <w:t>services,</w:t>
      </w:r>
      <w:r w:rsidRPr="001C6152">
        <w:rPr>
          <w:rFonts w:ascii="Verdana" w:hAnsi="Verdana"/>
          <w:spacing w:val="-5"/>
          <w:sz w:val="24"/>
          <w:szCs w:val="24"/>
        </w:rPr>
        <w:t xml:space="preserve"> </w:t>
      </w:r>
      <w:r w:rsidRPr="001C6152">
        <w:rPr>
          <w:rFonts w:ascii="Verdana" w:hAnsi="Verdana"/>
          <w:sz w:val="24"/>
          <w:szCs w:val="24"/>
        </w:rPr>
        <w:t>for</w:t>
      </w:r>
      <w:r w:rsidRPr="001C6152">
        <w:rPr>
          <w:rFonts w:ascii="Verdana" w:hAnsi="Verdana"/>
          <w:spacing w:val="-6"/>
          <w:sz w:val="24"/>
          <w:szCs w:val="24"/>
        </w:rPr>
        <w:t xml:space="preserve"> </w:t>
      </w:r>
      <w:r w:rsidRPr="001C6152">
        <w:rPr>
          <w:rFonts w:ascii="Verdana" w:hAnsi="Verdana"/>
          <w:sz w:val="24"/>
          <w:szCs w:val="24"/>
        </w:rPr>
        <w:t>example</w:t>
      </w:r>
      <w:r w:rsidRPr="001C6152">
        <w:rPr>
          <w:rFonts w:ascii="Verdana" w:hAnsi="Verdana"/>
          <w:spacing w:val="-7"/>
          <w:sz w:val="24"/>
          <w:szCs w:val="24"/>
        </w:rPr>
        <w:t xml:space="preserve"> </w:t>
      </w:r>
      <w:r w:rsidRPr="001C6152">
        <w:rPr>
          <w:rFonts w:ascii="Verdana" w:hAnsi="Verdana"/>
          <w:sz w:val="24"/>
          <w:szCs w:val="24"/>
        </w:rPr>
        <w:t>the</w:t>
      </w:r>
      <w:r w:rsidRPr="001C6152">
        <w:rPr>
          <w:rFonts w:ascii="Verdana" w:hAnsi="Verdana"/>
          <w:spacing w:val="-6"/>
          <w:sz w:val="24"/>
          <w:szCs w:val="24"/>
        </w:rPr>
        <w:t xml:space="preserve"> </w:t>
      </w:r>
      <w:r w:rsidRPr="001C6152">
        <w:rPr>
          <w:rFonts w:ascii="Verdana" w:hAnsi="Verdana"/>
          <w:sz w:val="24"/>
          <w:szCs w:val="24"/>
        </w:rPr>
        <w:t>acceptance</w:t>
      </w:r>
      <w:r w:rsidRPr="001C6152">
        <w:rPr>
          <w:rFonts w:ascii="Verdana" w:hAnsi="Verdana"/>
          <w:spacing w:val="-6"/>
          <w:sz w:val="24"/>
          <w:szCs w:val="24"/>
        </w:rPr>
        <w:t xml:space="preserve"> </w:t>
      </w:r>
      <w:r w:rsidRPr="001C6152">
        <w:rPr>
          <w:rFonts w:ascii="Verdana" w:hAnsi="Verdana"/>
          <w:sz w:val="24"/>
          <w:szCs w:val="24"/>
        </w:rPr>
        <w:t>of</w:t>
      </w:r>
      <w:r w:rsidRPr="001C6152">
        <w:rPr>
          <w:rFonts w:ascii="Verdana" w:hAnsi="Verdana"/>
          <w:spacing w:val="-6"/>
          <w:sz w:val="24"/>
          <w:szCs w:val="24"/>
        </w:rPr>
        <w:t xml:space="preserve"> </w:t>
      </w:r>
      <w:r w:rsidRPr="001C6152">
        <w:rPr>
          <w:rFonts w:ascii="Verdana" w:hAnsi="Verdana"/>
          <w:sz w:val="24"/>
          <w:szCs w:val="24"/>
        </w:rPr>
        <w:t>Asylum</w:t>
      </w:r>
      <w:r w:rsidRPr="001C6152">
        <w:rPr>
          <w:rFonts w:ascii="Verdana" w:hAnsi="Verdana"/>
          <w:spacing w:val="-7"/>
          <w:sz w:val="24"/>
          <w:szCs w:val="24"/>
        </w:rPr>
        <w:t xml:space="preserve"> </w:t>
      </w:r>
      <w:r w:rsidRPr="001C6152">
        <w:rPr>
          <w:rFonts w:ascii="Verdana" w:hAnsi="Verdana"/>
          <w:sz w:val="24"/>
          <w:szCs w:val="24"/>
        </w:rPr>
        <w:t>Registration</w:t>
      </w:r>
      <w:r w:rsidRPr="001C6152">
        <w:rPr>
          <w:rFonts w:ascii="Verdana" w:hAnsi="Verdana"/>
          <w:spacing w:val="-6"/>
          <w:sz w:val="24"/>
          <w:szCs w:val="24"/>
        </w:rPr>
        <w:t xml:space="preserve"> </w:t>
      </w:r>
      <w:r w:rsidRPr="001C6152">
        <w:rPr>
          <w:rFonts w:ascii="Verdana" w:hAnsi="Verdana"/>
          <w:sz w:val="24"/>
          <w:szCs w:val="24"/>
        </w:rPr>
        <w:t>Cards</w:t>
      </w:r>
    </w:p>
    <w:p w:rsidR="006F673E" w:rsidRPr="001C6152">
      <w:pPr>
        <w:pStyle w:val="BodyText"/>
        <w:spacing w:before="4"/>
        <w:rPr>
          <w:rFonts w:ascii="Verdana" w:hAnsi="Verdana"/>
          <w:sz w:val="24"/>
          <w:szCs w:val="24"/>
        </w:rPr>
      </w:pPr>
    </w:p>
    <w:p w:rsidR="006F673E" w:rsidRPr="001C6152">
      <w:pPr>
        <w:pStyle w:val="Heading1"/>
        <w:rPr>
          <w:rFonts w:ascii="Verdana" w:hAnsi="Verdana"/>
          <w:sz w:val="24"/>
          <w:szCs w:val="24"/>
        </w:rPr>
      </w:pPr>
      <w:r w:rsidRPr="001C6152">
        <w:rPr>
          <w:rFonts w:ascii="Verdana" w:hAnsi="Verdana"/>
          <w:b w:val="0"/>
          <w:spacing w:val="-56"/>
          <w:sz w:val="24"/>
          <w:szCs w:val="24"/>
          <w:u w:val="single"/>
        </w:rPr>
        <w:t xml:space="preserve"> </w:t>
      </w:r>
      <w:r w:rsidRPr="001C6152">
        <w:rPr>
          <w:rFonts w:ascii="Verdana" w:hAnsi="Verdana"/>
          <w:sz w:val="24"/>
          <w:szCs w:val="24"/>
          <w:u w:val="single"/>
        </w:rPr>
        <w:t>Accessibility</w:t>
      </w:r>
    </w:p>
    <w:p w:rsidR="006F673E" w:rsidRPr="001C6152">
      <w:pPr>
        <w:pStyle w:val="BodyText"/>
        <w:spacing w:before="10"/>
        <w:rPr>
          <w:rFonts w:ascii="Verdana" w:hAnsi="Verdana"/>
          <w:b/>
          <w:sz w:val="24"/>
          <w:szCs w:val="24"/>
        </w:rPr>
      </w:pPr>
    </w:p>
    <w:p w:rsidR="006F673E" w:rsidRPr="001C6152" w:rsidP="00244248">
      <w:pPr>
        <w:pStyle w:val="BodyText"/>
        <w:spacing w:before="95" w:line="244" w:lineRule="auto"/>
        <w:ind w:left="101" w:right="440"/>
        <w:rPr>
          <w:rFonts w:ascii="Verdana" w:hAnsi="Verdana"/>
          <w:sz w:val="24"/>
          <w:szCs w:val="24"/>
        </w:rPr>
      </w:pPr>
      <w:r w:rsidRPr="001C6152">
        <w:rPr>
          <w:rFonts w:ascii="Verdana" w:hAnsi="Verdana"/>
          <w:sz w:val="24"/>
          <w:szCs w:val="24"/>
        </w:rPr>
        <w:t>As noted above, improving support and accessibility for vulnerable customers starts with encouraging disclosures. Our digital ‘disclosure environment’ - Share with Us - has helped</w:t>
      </w:r>
      <w:r w:rsidRPr="001C6152" w:rsidR="00244248">
        <w:rPr>
          <w:rFonts w:ascii="Verdana" w:hAnsi="Verdana"/>
          <w:sz w:val="24"/>
          <w:szCs w:val="24"/>
        </w:rPr>
        <w:t xml:space="preserve"> </w:t>
      </w:r>
      <w:r w:rsidRPr="001C6152">
        <w:rPr>
          <w:rFonts w:ascii="Verdana" w:hAnsi="Verdana"/>
          <w:sz w:val="24"/>
          <w:szCs w:val="24"/>
        </w:rPr>
        <w:t>those struggling with</w:t>
      </w:r>
      <w:bookmarkStart w:id="0" w:name="_Hlk66704818"/>
      <w:r w:rsidRPr="001C6152">
        <w:rPr>
          <w:rFonts w:ascii="Verdana" w:hAnsi="Verdana"/>
          <w:color w:val="1154CC"/>
          <w:sz w:val="24"/>
          <w:szCs w:val="24"/>
          <w:u w:val="single" w:color="1154CC"/>
        </w:rPr>
        <w:t xml:space="preserve"> </w:t>
      </w:r>
      <w:r w:rsidRPr="001C6152">
        <w:rPr>
          <w:rFonts w:ascii="Verdana" w:hAnsi="Verdana"/>
          <w:sz w:val="24"/>
          <w:szCs w:val="24"/>
        </w:rPr>
        <w:t>financial abuse</w:t>
      </w:r>
      <w:r>
        <w:rPr>
          <w:rStyle w:val="FootnoteReference"/>
          <w:rFonts w:ascii="Verdana" w:hAnsi="Verdana"/>
          <w:sz w:val="24"/>
          <w:szCs w:val="24"/>
        </w:rPr>
        <w:footnoteReference w:id="6"/>
      </w:r>
      <w:r w:rsidRPr="001C6152">
        <w:rPr>
          <w:rFonts w:ascii="Verdana" w:hAnsi="Verdana"/>
          <w:color w:val="1154CC"/>
          <w:sz w:val="24"/>
          <w:szCs w:val="24"/>
        </w:rPr>
        <w:t xml:space="preserve"> </w:t>
      </w:r>
      <w:bookmarkEnd w:id="0"/>
      <w:r w:rsidRPr="001C6152">
        <w:rPr>
          <w:rFonts w:ascii="Verdana" w:hAnsi="Verdana"/>
          <w:sz w:val="24"/>
          <w:szCs w:val="24"/>
        </w:rPr>
        <w:t>gain control of their finances, which is crucial as we transition towards a cashless society.</w:t>
      </w:r>
    </w:p>
    <w:p w:rsidR="006F673E" w:rsidRPr="001C6152">
      <w:pPr>
        <w:pStyle w:val="BodyText"/>
        <w:spacing w:before="10"/>
        <w:rPr>
          <w:rFonts w:ascii="Verdana" w:hAnsi="Verdana"/>
          <w:sz w:val="24"/>
          <w:szCs w:val="24"/>
        </w:rPr>
      </w:pPr>
    </w:p>
    <w:p w:rsidR="006F673E" w:rsidRPr="001C6152">
      <w:pPr>
        <w:pStyle w:val="BodyText"/>
        <w:spacing w:line="242" w:lineRule="auto"/>
        <w:ind w:left="101" w:right="225"/>
        <w:rPr>
          <w:rFonts w:ascii="Verdana" w:hAnsi="Verdana"/>
          <w:sz w:val="24"/>
          <w:szCs w:val="24"/>
        </w:rPr>
      </w:pPr>
      <w:r w:rsidRPr="001C6152">
        <w:rPr>
          <w:rFonts w:ascii="Verdana" w:hAnsi="Verdana"/>
          <w:sz w:val="24"/>
          <w:szCs w:val="24"/>
        </w:rPr>
        <w:t xml:space="preserve">However, we use this tool to encourage our users to disclose anything to </w:t>
      </w:r>
      <w:r w:rsidRPr="001C6152">
        <w:rPr>
          <w:rFonts w:ascii="Verdana" w:hAnsi="Verdana"/>
          <w:sz w:val="24"/>
          <w:szCs w:val="24"/>
        </w:rPr>
        <w:t xml:space="preserve">us that may be affecting their relationship with </w:t>
      </w:r>
      <w:r w:rsidRPr="001C6152">
        <w:rPr>
          <w:rFonts w:ascii="Verdana" w:hAnsi="Verdana"/>
          <w:sz w:val="24"/>
          <w:szCs w:val="24"/>
        </w:rPr>
        <w:t>Monzo</w:t>
      </w:r>
      <w:r w:rsidRPr="001C6152">
        <w:rPr>
          <w:rFonts w:ascii="Verdana" w:hAnsi="Verdana"/>
          <w:sz w:val="24"/>
          <w:szCs w:val="24"/>
        </w:rPr>
        <w:t>, or their money - including mental health. Proactive disclosures from customers help our customer support steer them towards the right tools for them, be that signposting to charities who can help, or offering configurable features for their accounts to ensure their financial wellbeing.</w:t>
      </w:r>
    </w:p>
    <w:p w:rsidR="006F673E" w:rsidRPr="001C6152">
      <w:pPr>
        <w:pStyle w:val="BodyText"/>
        <w:spacing w:before="6"/>
        <w:rPr>
          <w:rFonts w:ascii="Verdana" w:hAnsi="Verdana"/>
          <w:sz w:val="24"/>
          <w:szCs w:val="24"/>
        </w:rPr>
      </w:pPr>
    </w:p>
    <w:p w:rsidR="006F673E" w:rsidRPr="001C6152">
      <w:pPr>
        <w:pStyle w:val="BodyText"/>
        <w:ind w:left="101" w:right="164"/>
        <w:rPr>
          <w:rFonts w:ascii="Verdana" w:hAnsi="Verdana"/>
          <w:sz w:val="24"/>
          <w:szCs w:val="24"/>
        </w:rPr>
      </w:pPr>
      <w:r w:rsidRPr="001C6152">
        <w:rPr>
          <w:rFonts w:ascii="Verdana" w:hAnsi="Verdana"/>
          <w:sz w:val="24"/>
          <w:szCs w:val="24"/>
        </w:rPr>
        <w:t xml:space="preserve">In many ways </w:t>
      </w:r>
      <w:r w:rsidRPr="001C6152">
        <w:rPr>
          <w:rFonts w:ascii="Verdana" w:hAnsi="Verdana"/>
          <w:sz w:val="24"/>
          <w:szCs w:val="24"/>
        </w:rPr>
        <w:t>Monzo</w:t>
      </w:r>
      <w:r w:rsidRPr="001C6152">
        <w:rPr>
          <w:rFonts w:ascii="Verdana" w:hAnsi="Verdana"/>
          <w:sz w:val="24"/>
          <w:szCs w:val="24"/>
        </w:rPr>
        <w:t xml:space="preserve"> is unique in this respect. The overwhelming majority of our users trust and would recommend us, and as such, many are comfortable disclosing any challenges they may be facing - and our support teams trained to receive that information. However, we believe that these disclosure environments should be mimicked across industry, to improve customer outcomes as right now, the industry’s understanding of their user’s vulnerabilities or accessibility issues is still in its infancy.</w:t>
      </w:r>
    </w:p>
    <w:p w:rsidR="006F673E" w:rsidRPr="001C6152">
      <w:pPr>
        <w:pStyle w:val="BodyText"/>
        <w:spacing w:before="10"/>
        <w:rPr>
          <w:rFonts w:ascii="Verdana" w:hAnsi="Verdana"/>
          <w:sz w:val="24"/>
          <w:szCs w:val="24"/>
        </w:rPr>
      </w:pPr>
    </w:p>
    <w:p w:rsidR="006F673E" w:rsidRPr="001C6152">
      <w:pPr>
        <w:pStyle w:val="BodyText"/>
        <w:spacing w:before="1"/>
        <w:ind w:left="101" w:right="475"/>
        <w:rPr>
          <w:rFonts w:ascii="Verdana" w:hAnsi="Verdana"/>
          <w:sz w:val="24"/>
          <w:szCs w:val="24"/>
        </w:rPr>
      </w:pPr>
      <w:r w:rsidRPr="001C6152">
        <w:rPr>
          <w:rFonts w:ascii="Verdana" w:hAnsi="Verdana"/>
          <w:sz w:val="24"/>
          <w:szCs w:val="24"/>
        </w:rPr>
        <w:t xml:space="preserve">Once banks and financial services providers have a better idea of the kinds of challenges their users are facing, industry should work towards adopting better frameworks to </w:t>
      </w:r>
      <w:r w:rsidRPr="001C6152">
        <w:rPr>
          <w:rFonts w:ascii="Verdana" w:hAnsi="Verdana"/>
          <w:sz w:val="24"/>
          <w:szCs w:val="24"/>
        </w:rPr>
        <w:t>anonymise</w:t>
      </w:r>
      <w:r w:rsidRPr="001C6152">
        <w:rPr>
          <w:rFonts w:ascii="Verdana" w:hAnsi="Verdana"/>
          <w:sz w:val="24"/>
          <w:szCs w:val="24"/>
        </w:rPr>
        <w:t xml:space="preserve"> and securely share vulnerability trends. This kind of macro data could help providers build tools to meet these needs, as well as </w:t>
      </w:r>
      <w:r w:rsidRPr="001C6152">
        <w:rPr>
          <w:rFonts w:ascii="Verdana" w:hAnsi="Verdana"/>
          <w:sz w:val="24"/>
          <w:szCs w:val="24"/>
        </w:rPr>
        <w:t>give</w:t>
      </w:r>
      <w:r w:rsidRPr="001C6152">
        <w:rPr>
          <w:rFonts w:ascii="Verdana" w:hAnsi="Verdana"/>
          <w:sz w:val="24"/>
          <w:szCs w:val="24"/>
        </w:rPr>
        <w:t xml:space="preserve"> the opportunity for tailored solutions to emerge independently of banks. Without </w:t>
      </w:r>
      <w:r w:rsidRPr="001C6152">
        <w:rPr>
          <w:rFonts w:ascii="Verdana" w:hAnsi="Verdana"/>
          <w:sz w:val="24"/>
          <w:szCs w:val="24"/>
        </w:rPr>
        <w:t>anonymised</w:t>
      </w:r>
      <w:r w:rsidRPr="001C6152">
        <w:rPr>
          <w:rFonts w:ascii="Verdana" w:hAnsi="Verdana"/>
          <w:sz w:val="24"/>
          <w:szCs w:val="24"/>
        </w:rPr>
        <w:t>, secure data sharing in this space, the market will struggle to provide innovative solutions. In the context of the wider open data work the Government is currently developing, this information gap is difficult to justify.</w:t>
      </w:r>
    </w:p>
    <w:p w:rsidR="006F673E" w:rsidRPr="001C6152">
      <w:pPr>
        <w:pStyle w:val="BodyText"/>
        <w:rPr>
          <w:rFonts w:ascii="Verdana" w:hAnsi="Verdana"/>
          <w:sz w:val="24"/>
          <w:szCs w:val="24"/>
        </w:rPr>
      </w:pPr>
    </w:p>
    <w:p w:rsidR="006F673E" w:rsidRPr="001C6152">
      <w:pPr>
        <w:pStyle w:val="BodyText"/>
        <w:spacing w:line="237" w:lineRule="auto"/>
        <w:ind w:left="101" w:right="409"/>
        <w:rPr>
          <w:rFonts w:ascii="Verdana" w:hAnsi="Verdana"/>
          <w:sz w:val="24"/>
          <w:szCs w:val="24"/>
        </w:rPr>
      </w:pPr>
      <w:r w:rsidRPr="001C6152">
        <w:rPr>
          <w:rFonts w:ascii="Verdana" w:hAnsi="Verdana"/>
          <w:sz w:val="24"/>
          <w:szCs w:val="24"/>
        </w:rPr>
        <w:t xml:space="preserve">We also touched on the use of listening sessions as a tool for firms to understand the challenges for those living with a disability. This is another way to work to identify key </w:t>
      </w:r>
      <w:r w:rsidRPr="001C6152">
        <w:rPr>
          <w:rFonts w:ascii="Verdana" w:hAnsi="Verdana"/>
          <w:sz w:val="24"/>
          <w:szCs w:val="24"/>
        </w:rPr>
        <w:t>issues, and</w:t>
      </w:r>
      <w:r w:rsidRPr="001C6152">
        <w:rPr>
          <w:rFonts w:ascii="Verdana" w:hAnsi="Verdana"/>
          <w:sz w:val="24"/>
          <w:szCs w:val="24"/>
        </w:rPr>
        <w:t xml:space="preserve"> has helped us build more accessible tools in the past. Listening to customers, and those with lived experiences, is fundamental to building any digital inclusion tools.</w:t>
      </w:r>
    </w:p>
    <w:p w:rsidR="006F673E" w:rsidRPr="001C6152">
      <w:pPr>
        <w:pStyle w:val="BodyText"/>
        <w:spacing w:before="9"/>
        <w:rPr>
          <w:rFonts w:ascii="Verdana" w:hAnsi="Verdana"/>
          <w:sz w:val="24"/>
          <w:szCs w:val="24"/>
        </w:rPr>
      </w:pPr>
    </w:p>
    <w:p w:rsidR="006F673E" w:rsidRPr="001C6152">
      <w:pPr>
        <w:pStyle w:val="BodyText"/>
        <w:spacing w:before="1" w:line="242" w:lineRule="auto"/>
        <w:ind w:left="101" w:right="279"/>
        <w:rPr>
          <w:rFonts w:ascii="Verdana" w:hAnsi="Verdana"/>
          <w:sz w:val="24"/>
          <w:szCs w:val="24"/>
        </w:rPr>
      </w:pPr>
      <w:r w:rsidRPr="001C6152">
        <w:rPr>
          <w:rFonts w:ascii="Verdana" w:hAnsi="Verdana"/>
          <w:sz w:val="24"/>
          <w:szCs w:val="24"/>
        </w:rPr>
        <w:t xml:space="preserve">We also believe that banks can do more to help users struggling with addiction, particularly gambling harms. Right now, the Department for Culture Media and Sport are reviewing the Gambling Act. </w:t>
      </w:r>
      <w:r w:rsidRPr="001C6152">
        <w:rPr>
          <w:rFonts w:ascii="Verdana" w:hAnsi="Verdana"/>
          <w:color w:val="212121"/>
          <w:sz w:val="24"/>
          <w:szCs w:val="24"/>
        </w:rPr>
        <w:t>The review is a huge opportunity to try and secure some big changes to improve these card payment gambling blockers. These opt-in tools allow consumers to prevent themselves from making payments to gambling companies.</w:t>
      </w:r>
    </w:p>
    <w:p w:rsidR="006F673E" w:rsidRPr="001C6152">
      <w:pPr>
        <w:pStyle w:val="BodyText"/>
        <w:spacing w:before="11"/>
        <w:rPr>
          <w:rFonts w:ascii="Verdana" w:hAnsi="Verdana"/>
          <w:sz w:val="24"/>
          <w:szCs w:val="24"/>
        </w:rPr>
      </w:pPr>
    </w:p>
    <w:p w:rsidR="006F673E" w:rsidRPr="001C6152">
      <w:pPr>
        <w:pStyle w:val="BodyText"/>
        <w:ind w:left="101" w:right="179"/>
        <w:rPr>
          <w:rFonts w:ascii="Verdana" w:hAnsi="Verdana"/>
          <w:sz w:val="24"/>
          <w:szCs w:val="24"/>
        </w:rPr>
      </w:pPr>
      <w:r w:rsidRPr="001C6152">
        <w:rPr>
          <w:rFonts w:ascii="Verdana" w:hAnsi="Verdana"/>
          <w:color w:val="212121"/>
          <w:sz w:val="24"/>
          <w:szCs w:val="24"/>
        </w:rPr>
        <w:t>Monzo</w:t>
      </w:r>
      <w:r w:rsidRPr="001C6152">
        <w:rPr>
          <w:rFonts w:ascii="Verdana" w:hAnsi="Verdana"/>
          <w:color w:val="212121"/>
          <w:sz w:val="24"/>
          <w:szCs w:val="24"/>
        </w:rPr>
        <w:t xml:space="preserve"> was the first bank in the UK to launch one of these </w:t>
      </w:r>
      <w:r w:rsidRPr="001C6152">
        <w:rPr>
          <w:rFonts w:ascii="Verdana" w:hAnsi="Verdana"/>
          <w:color w:val="212121"/>
          <w:sz w:val="24"/>
          <w:szCs w:val="24"/>
        </w:rPr>
        <w:t>card based</w:t>
      </w:r>
      <w:r w:rsidRPr="001C6152">
        <w:rPr>
          <w:rFonts w:ascii="Verdana" w:hAnsi="Verdana"/>
          <w:color w:val="212121"/>
          <w:sz w:val="24"/>
          <w:szCs w:val="24"/>
        </w:rPr>
        <w:t xml:space="preserve"> gambling blocks back in 2018, and the tool has been a huge success for our users. Fewer than 10% of customers who turn the block on, go on to deactivate the feature. They have also now been recommended as industry standard as part of the ‘</w:t>
      </w:r>
      <w:r w:rsidRPr="001C6152">
        <w:rPr>
          <w:rFonts w:ascii="Verdana" w:hAnsi="Verdana"/>
          <w:color w:val="212121"/>
          <w:sz w:val="24"/>
          <w:szCs w:val="24"/>
        </w:rPr>
        <w:t>self exclusion</w:t>
      </w:r>
      <w:r w:rsidRPr="001C6152">
        <w:rPr>
          <w:rFonts w:ascii="Verdana" w:hAnsi="Verdana"/>
          <w:color w:val="212121"/>
          <w:sz w:val="24"/>
          <w:szCs w:val="24"/>
        </w:rPr>
        <w:t xml:space="preserve"> triangle’ - three tools that help anyone concerned about their gambling to prevent any interaction with gambling firms, whether that be financial, online, or in person.</w:t>
      </w:r>
    </w:p>
    <w:p w:rsidR="006F673E" w:rsidRPr="001C6152">
      <w:pPr>
        <w:pStyle w:val="BodyText"/>
        <w:spacing w:before="6"/>
        <w:rPr>
          <w:rFonts w:ascii="Verdana" w:hAnsi="Verdana"/>
          <w:sz w:val="24"/>
          <w:szCs w:val="24"/>
        </w:rPr>
      </w:pPr>
    </w:p>
    <w:p w:rsidR="006F673E" w:rsidRPr="001C6152">
      <w:pPr>
        <w:pStyle w:val="BodyText"/>
        <w:spacing w:line="237" w:lineRule="auto"/>
        <w:ind w:left="101" w:right="265"/>
        <w:rPr>
          <w:rFonts w:ascii="Verdana" w:hAnsi="Verdana"/>
          <w:sz w:val="24"/>
          <w:szCs w:val="24"/>
        </w:rPr>
      </w:pPr>
      <w:r w:rsidRPr="001C6152">
        <w:rPr>
          <w:rFonts w:ascii="Verdana" w:hAnsi="Verdana"/>
          <w:color w:val="212121"/>
          <w:sz w:val="24"/>
          <w:szCs w:val="24"/>
        </w:rPr>
        <w:t xml:space="preserve">However, these blocks have yet to become standard practice across the financial services industry. There have also been </w:t>
      </w:r>
      <w:r w:rsidRPr="001C6152">
        <w:rPr>
          <w:rFonts w:ascii="Verdana" w:hAnsi="Verdana"/>
          <w:color w:val="212121"/>
          <w:sz w:val="24"/>
          <w:szCs w:val="24"/>
        </w:rPr>
        <w:t>a number of</w:t>
      </w:r>
      <w:r w:rsidRPr="001C6152">
        <w:rPr>
          <w:rFonts w:ascii="Verdana" w:hAnsi="Verdana"/>
          <w:color w:val="212121"/>
          <w:sz w:val="24"/>
          <w:szCs w:val="24"/>
        </w:rPr>
        <w:t xml:space="preserve"> </w:t>
      </w:r>
      <w:r w:rsidRPr="001C6152">
        <w:rPr>
          <w:rFonts w:ascii="Verdana" w:hAnsi="Verdana"/>
          <w:color w:val="212121"/>
          <w:sz w:val="24"/>
          <w:szCs w:val="24"/>
        </w:rPr>
        <w:t xml:space="preserve">innovations in payments, accelerated by the pandemic, that have made it harder for firms like </w:t>
      </w:r>
      <w:r w:rsidRPr="001C6152">
        <w:rPr>
          <w:rFonts w:ascii="Verdana" w:hAnsi="Verdana"/>
          <w:color w:val="212121"/>
          <w:sz w:val="24"/>
          <w:szCs w:val="24"/>
        </w:rPr>
        <w:t>Monzo</w:t>
      </w:r>
      <w:r w:rsidRPr="001C6152">
        <w:rPr>
          <w:rFonts w:ascii="Verdana" w:hAnsi="Verdana"/>
          <w:color w:val="212121"/>
          <w:sz w:val="24"/>
          <w:szCs w:val="24"/>
        </w:rPr>
        <w:t xml:space="preserve"> to introduce a truly comprehensive payment blocker. Changes in the way people, particularly young people, gamble have also </w:t>
      </w:r>
      <w:r w:rsidRPr="001C6152">
        <w:rPr>
          <w:rFonts w:ascii="Verdana" w:hAnsi="Verdana"/>
          <w:color w:val="212121"/>
          <w:sz w:val="24"/>
          <w:szCs w:val="24"/>
        </w:rPr>
        <w:t>had an effect on</w:t>
      </w:r>
      <w:r w:rsidRPr="001C6152">
        <w:rPr>
          <w:rFonts w:ascii="Verdana" w:hAnsi="Verdana"/>
          <w:color w:val="212121"/>
          <w:sz w:val="24"/>
          <w:szCs w:val="24"/>
        </w:rPr>
        <w:t xml:space="preserve"> the existing tools in the market.</w:t>
      </w:r>
    </w:p>
    <w:p w:rsidR="006F673E" w:rsidRPr="001C6152">
      <w:pPr>
        <w:pStyle w:val="BodyText"/>
        <w:spacing w:before="9"/>
        <w:rPr>
          <w:rFonts w:ascii="Verdana" w:hAnsi="Verdana"/>
          <w:sz w:val="24"/>
          <w:szCs w:val="24"/>
        </w:rPr>
      </w:pPr>
    </w:p>
    <w:p w:rsidR="006F673E" w:rsidRPr="001C6152">
      <w:pPr>
        <w:pStyle w:val="BodyText"/>
        <w:ind w:left="101"/>
        <w:rPr>
          <w:rFonts w:ascii="Verdana" w:hAnsi="Verdana"/>
          <w:sz w:val="24"/>
          <w:szCs w:val="24"/>
        </w:rPr>
      </w:pPr>
      <w:r w:rsidRPr="001C6152">
        <w:rPr>
          <w:rFonts w:ascii="Verdana" w:hAnsi="Verdana"/>
          <w:color w:val="212121"/>
          <w:sz w:val="24"/>
          <w:szCs w:val="24"/>
        </w:rPr>
        <w:t>We believe that the Government should take the opportunity to:</w:t>
      </w:r>
    </w:p>
    <w:p w:rsidR="006F673E" w:rsidRPr="001C6152">
      <w:pPr>
        <w:pStyle w:val="BodyText"/>
        <w:spacing w:before="10"/>
        <w:rPr>
          <w:rFonts w:ascii="Verdana" w:hAnsi="Verdana"/>
          <w:sz w:val="24"/>
          <w:szCs w:val="24"/>
        </w:rPr>
      </w:pPr>
    </w:p>
    <w:p w:rsidR="006F673E" w:rsidRPr="001C6152">
      <w:pPr>
        <w:pStyle w:val="Heading1"/>
        <w:numPr>
          <w:ilvl w:val="0"/>
          <w:numId w:val="1"/>
        </w:numPr>
        <w:tabs>
          <w:tab w:val="left" w:pos="821"/>
          <w:tab w:val="left" w:pos="822"/>
        </w:tabs>
        <w:spacing w:line="369" w:lineRule="auto"/>
        <w:ind w:right="385"/>
        <w:rPr>
          <w:rFonts w:ascii="Verdana" w:hAnsi="Verdana"/>
          <w:sz w:val="24"/>
          <w:szCs w:val="24"/>
        </w:rPr>
      </w:pPr>
      <w:r w:rsidRPr="001C6152">
        <w:rPr>
          <w:rFonts w:ascii="Verdana" w:hAnsi="Verdana"/>
          <w:color w:val="13233C"/>
          <w:sz w:val="24"/>
          <w:szCs w:val="24"/>
        </w:rPr>
        <w:t>Introduce a new requirement for account providers in the UK to make sure every consumer</w:t>
      </w:r>
      <w:r w:rsidRPr="001C6152">
        <w:rPr>
          <w:rFonts w:ascii="Verdana" w:hAnsi="Verdana"/>
          <w:color w:val="13233C"/>
          <w:spacing w:val="-6"/>
          <w:sz w:val="24"/>
          <w:szCs w:val="24"/>
        </w:rPr>
        <w:t xml:space="preserve"> </w:t>
      </w:r>
      <w:r w:rsidRPr="001C6152">
        <w:rPr>
          <w:rFonts w:ascii="Verdana" w:hAnsi="Verdana"/>
          <w:color w:val="13233C"/>
          <w:sz w:val="24"/>
          <w:szCs w:val="24"/>
        </w:rPr>
        <w:t>can</w:t>
      </w:r>
      <w:r w:rsidRPr="001C6152">
        <w:rPr>
          <w:rFonts w:ascii="Verdana" w:hAnsi="Verdana"/>
          <w:color w:val="13233C"/>
          <w:spacing w:val="-5"/>
          <w:sz w:val="24"/>
          <w:szCs w:val="24"/>
        </w:rPr>
        <w:t xml:space="preserve"> </w:t>
      </w:r>
      <w:r w:rsidRPr="001C6152">
        <w:rPr>
          <w:rFonts w:ascii="Verdana" w:hAnsi="Verdana"/>
          <w:color w:val="13233C"/>
          <w:sz w:val="24"/>
          <w:szCs w:val="24"/>
        </w:rPr>
        <w:t>access</w:t>
      </w:r>
      <w:r w:rsidRPr="001C6152">
        <w:rPr>
          <w:rFonts w:ascii="Verdana" w:hAnsi="Verdana"/>
          <w:color w:val="13233C"/>
          <w:spacing w:val="-5"/>
          <w:sz w:val="24"/>
          <w:szCs w:val="24"/>
        </w:rPr>
        <w:t xml:space="preserve"> </w:t>
      </w:r>
      <w:r w:rsidRPr="001C6152">
        <w:rPr>
          <w:rFonts w:ascii="Verdana" w:hAnsi="Verdana"/>
          <w:color w:val="13233C"/>
          <w:sz w:val="24"/>
          <w:szCs w:val="24"/>
        </w:rPr>
        <w:t>a</w:t>
      </w:r>
      <w:r w:rsidRPr="001C6152">
        <w:rPr>
          <w:rFonts w:ascii="Verdana" w:hAnsi="Verdana"/>
          <w:color w:val="13233C"/>
          <w:spacing w:val="-5"/>
          <w:sz w:val="24"/>
          <w:szCs w:val="24"/>
        </w:rPr>
        <w:t xml:space="preserve"> </w:t>
      </w:r>
      <w:r w:rsidRPr="001C6152">
        <w:rPr>
          <w:rFonts w:ascii="Verdana" w:hAnsi="Verdana"/>
          <w:color w:val="13233C"/>
          <w:sz w:val="24"/>
          <w:szCs w:val="24"/>
        </w:rPr>
        <w:t>friction</w:t>
      </w:r>
      <w:r w:rsidRPr="001C6152">
        <w:rPr>
          <w:rFonts w:ascii="Verdana" w:hAnsi="Verdana"/>
          <w:color w:val="13233C"/>
          <w:spacing w:val="-5"/>
          <w:sz w:val="24"/>
          <w:szCs w:val="24"/>
        </w:rPr>
        <w:t xml:space="preserve"> </w:t>
      </w:r>
      <w:r w:rsidRPr="001C6152">
        <w:rPr>
          <w:rFonts w:ascii="Verdana" w:hAnsi="Verdana"/>
          <w:color w:val="13233C"/>
          <w:sz w:val="24"/>
          <w:szCs w:val="24"/>
        </w:rPr>
        <w:t>driven,</w:t>
      </w:r>
      <w:r w:rsidRPr="001C6152">
        <w:rPr>
          <w:rFonts w:ascii="Verdana" w:hAnsi="Verdana"/>
          <w:color w:val="13233C"/>
          <w:spacing w:val="-4"/>
          <w:sz w:val="24"/>
          <w:szCs w:val="24"/>
        </w:rPr>
        <w:t xml:space="preserve"> </w:t>
      </w:r>
      <w:r w:rsidRPr="001C6152">
        <w:rPr>
          <w:rFonts w:ascii="Verdana" w:hAnsi="Verdana"/>
          <w:color w:val="13233C"/>
          <w:sz w:val="24"/>
          <w:szCs w:val="24"/>
        </w:rPr>
        <w:t>card</w:t>
      </w:r>
      <w:r w:rsidRPr="001C6152">
        <w:rPr>
          <w:rFonts w:ascii="Verdana" w:hAnsi="Verdana"/>
          <w:color w:val="13233C"/>
          <w:spacing w:val="-5"/>
          <w:sz w:val="24"/>
          <w:szCs w:val="24"/>
        </w:rPr>
        <w:t xml:space="preserve"> </w:t>
      </w:r>
      <w:r w:rsidRPr="001C6152">
        <w:rPr>
          <w:rFonts w:ascii="Verdana" w:hAnsi="Verdana"/>
          <w:color w:val="13233C"/>
          <w:sz w:val="24"/>
          <w:szCs w:val="24"/>
        </w:rPr>
        <w:t>based</w:t>
      </w:r>
      <w:r w:rsidRPr="001C6152">
        <w:rPr>
          <w:rFonts w:ascii="Verdana" w:hAnsi="Verdana"/>
          <w:color w:val="13233C"/>
          <w:spacing w:val="-6"/>
          <w:sz w:val="24"/>
          <w:szCs w:val="24"/>
        </w:rPr>
        <w:t xml:space="preserve"> </w:t>
      </w:r>
      <w:r w:rsidRPr="001C6152">
        <w:rPr>
          <w:rFonts w:ascii="Verdana" w:hAnsi="Verdana"/>
          <w:color w:val="13233C"/>
          <w:sz w:val="24"/>
          <w:szCs w:val="24"/>
        </w:rPr>
        <w:t>gambling</w:t>
      </w:r>
      <w:r w:rsidRPr="001C6152">
        <w:rPr>
          <w:rFonts w:ascii="Verdana" w:hAnsi="Verdana"/>
          <w:color w:val="13233C"/>
          <w:spacing w:val="-5"/>
          <w:sz w:val="24"/>
          <w:szCs w:val="24"/>
        </w:rPr>
        <w:t xml:space="preserve"> </w:t>
      </w:r>
      <w:r w:rsidRPr="001C6152">
        <w:rPr>
          <w:rFonts w:ascii="Verdana" w:hAnsi="Verdana"/>
          <w:color w:val="13233C"/>
          <w:sz w:val="24"/>
          <w:szCs w:val="24"/>
        </w:rPr>
        <w:t>block</w:t>
      </w:r>
      <w:r w:rsidRPr="001C6152">
        <w:rPr>
          <w:rFonts w:ascii="Verdana" w:hAnsi="Verdana"/>
          <w:color w:val="13233C"/>
          <w:spacing w:val="-5"/>
          <w:sz w:val="24"/>
          <w:szCs w:val="24"/>
        </w:rPr>
        <w:t xml:space="preserve"> </w:t>
      </w:r>
      <w:r w:rsidRPr="001C6152">
        <w:rPr>
          <w:rFonts w:ascii="Verdana" w:hAnsi="Verdana"/>
          <w:color w:val="13233C"/>
          <w:sz w:val="24"/>
          <w:szCs w:val="24"/>
        </w:rPr>
        <w:t>-</w:t>
      </w:r>
      <w:r w:rsidRPr="001C6152">
        <w:rPr>
          <w:rFonts w:ascii="Verdana" w:hAnsi="Verdana"/>
          <w:color w:val="13233C"/>
          <w:spacing w:val="-5"/>
          <w:sz w:val="24"/>
          <w:szCs w:val="24"/>
        </w:rPr>
        <w:t xml:space="preserve"> </w:t>
      </w:r>
      <w:r w:rsidRPr="001C6152">
        <w:rPr>
          <w:rFonts w:ascii="Verdana" w:hAnsi="Verdana"/>
          <w:color w:val="13233C"/>
          <w:sz w:val="24"/>
          <w:szCs w:val="24"/>
        </w:rPr>
        <w:t>regardless</w:t>
      </w:r>
      <w:r w:rsidRPr="001C6152">
        <w:rPr>
          <w:rFonts w:ascii="Verdana" w:hAnsi="Verdana"/>
          <w:color w:val="13233C"/>
          <w:spacing w:val="-5"/>
          <w:sz w:val="24"/>
          <w:szCs w:val="24"/>
        </w:rPr>
        <w:t xml:space="preserve"> </w:t>
      </w:r>
      <w:r w:rsidRPr="001C6152">
        <w:rPr>
          <w:rFonts w:ascii="Verdana" w:hAnsi="Verdana"/>
          <w:color w:val="13233C"/>
          <w:sz w:val="24"/>
          <w:szCs w:val="24"/>
        </w:rPr>
        <w:t>of</w:t>
      </w:r>
    </w:p>
    <w:p w:rsidR="006F673E" w:rsidRPr="001C6152">
      <w:pPr>
        <w:pStyle w:val="BodyText"/>
        <w:spacing w:before="67" w:line="362" w:lineRule="auto"/>
        <w:ind w:left="821" w:right="555"/>
        <w:rPr>
          <w:rFonts w:ascii="Verdana" w:hAnsi="Verdana"/>
          <w:sz w:val="24"/>
          <w:szCs w:val="24"/>
        </w:rPr>
      </w:pPr>
      <w:r w:rsidRPr="001C6152">
        <w:rPr>
          <w:rFonts w:ascii="Verdana" w:hAnsi="Verdana"/>
          <w:b/>
          <w:color w:val="13233C"/>
          <w:sz w:val="24"/>
          <w:szCs w:val="24"/>
        </w:rPr>
        <w:t xml:space="preserve">who they bank </w:t>
      </w:r>
      <w:r w:rsidRPr="001C6152">
        <w:rPr>
          <w:rFonts w:ascii="Verdana" w:hAnsi="Verdana"/>
          <w:b/>
          <w:color w:val="13233C"/>
          <w:sz w:val="24"/>
          <w:szCs w:val="24"/>
        </w:rPr>
        <w:t>with.</w:t>
      </w:r>
      <w:r w:rsidRPr="001C6152">
        <w:rPr>
          <w:rFonts w:ascii="Verdana" w:hAnsi="Verdana"/>
          <w:b/>
          <w:color w:val="13233C"/>
          <w:sz w:val="24"/>
          <w:szCs w:val="24"/>
        </w:rPr>
        <w:t xml:space="preserve"> </w:t>
      </w:r>
      <w:r w:rsidRPr="001C6152">
        <w:rPr>
          <w:rFonts w:ascii="Verdana" w:hAnsi="Verdana"/>
          <w:color w:val="13233C"/>
          <w:sz w:val="24"/>
          <w:szCs w:val="24"/>
        </w:rPr>
        <w:t>These blocks are opt-in features that customers control, are simple to build, proven to work, and will help protect hundreds of thousands of people.</w:t>
      </w:r>
    </w:p>
    <w:p w:rsidR="006F673E" w:rsidRPr="001C6152">
      <w:pPr>
        <w:pStyle w:val="ListParagraph"/>
        <w:numPr>
          <w:ilvl w:val="0"/>
          <w:numId w:val="1"/>
        </w:numPr>
        <w:tabs>
          <w:tab w:val="left" w:pos="821"/>
          <w:tab w:val="left" w:pos="822"/>
        </w:tabs>
        <w:spacing w:before="5" w:line="355" w:lineRule="auto"/>
        <w:ind w:right="211"/>
        <w:rPr>
          <w:rFonts w:ascii="Verdana" w:hAnsi="Verdana"/>
          <w:sz w:val="24"/>
          <w:szCs w:val="24"/>
        </w:rPr>
      </w:pPr>
      <w:r w:rsidRPr="001C6152">
        <w:rPr>
          <w:rFonts w:ascii="Verdana" w:hAnsi="Verdana"/>
          <w:b/>
          <w:color w:val="13233C"/>
          <w:sz w:val="24"/>
          <w:szCs w:val="24"/>
        </w:rPr>
        <w:t xml:space="preserve">Mandate gambling firms to disclose their bank account details on a central registry </w:t>
      </w:r>
      <w:r w:rsidRPr="001C6152">
        <w:rPr>
          <w:rFonts w:ascii="Verdana" w:hAnsi="Verdana"/>
          <w:color w:val="13233C"/>
          <w:sz w:val="24"/>
          <w:szCs w:val="24"/>
        </w:rPr>
        <w:t>to empower banks and other providers to extend their gambling block to bank transfers made to gambling companies as well as card</w:t>
      </w:r>
      <w:r w:rsidRPr="001C6152">
        <w:rPr>
          <w:rFonts w:ascii="Verdana" w:hAnsi="Verdana"/>
          <w:color w:val="13233C"/>
          <w:spacing w:val="-17"/>
          <w:sz w:val="24"/>
          <w:szCs w:val="24"/>
        </w:rPr>
        <w:t xml:space="preserve"> </w:t>
      </w:r>
      <w:r w:rsidRPr="001C6152">
        <w:rPr>
          <w:rFonts w:ascii="Verdana" w:hAnsi="Verdana"/>
          <w:color w:val="13233C"/>
          <w:sz w:val="24"/>
          <w:szCs w:val="24"/>
        </w:rPr>
        <w:t>payments.</w:t>
      </w:r>
    </w:p>
    <w:p w:rsidR="006F673E" w:rsidRPr="001C6152" w:rsidP="00244248">
      <w:pPr>
        <w:pStyle w:val="ListParagraph"/>
        <w:numPr>
          <w:ilvl w:val="0"/>
          <w:numId w:val="1"/>
        </w:numPr>
        <w:tabs>
          <w:tab w:val="left" w:pos="821"/>
          <w:tab w:val="left" w:pos="822"/>
        </w:tabs>
        <w:spacing w:before="14" w:line="362" w:lineRule="auto"/>
        <w:ind w:right="557"/>
        <w:rPr>
          <w:rFonts w:ascii="Verdana" w:hAnsi="Verdana"/>
          <w:sz w:val="24"/>
          <w:szCs w:val="24"/>
        </w:rPr>
      </w:pPr>
      <w:r w:rsidRPr="001C6152">
        <w:rPr>
          <w:rFonts w:ascii="Verdana" w:hAnsi="Verdana"/>
          <w:b/>
          <w:color w:val="13233C"/>
          <w:sz w:val="24"/>
          <w:szCs w:val="24"/>
        </w:rPr>
        <w:t>Work with gaming firms to find a way to differentiate and identify loot box transactions from typical gaming purchases</w:t>
      </w:r>
      <w:r w:rsidRPr="001C6152">
        <w:rPr>
          <w:rFonts w:ascii="Verdana" w:hAnsi="Verdana"/>
          <w:color w:val="13233C"/>
          <w:sz w:val="24"/>
          <w:szCs w:val="24"/>
        </w:rPr>
        <w:t>, so consumers can choose to block these transactions as part of existing gambling</w:t>
      </w:r>
      <w:r w:rsidRPr="001C6152">
        <w:rPr>
          <w:rFonts w:ascii="Verdana" w:hAnsi="Verdana"/>
          <w:color w:val="13233C"/>
          <w:spacing w:val="-13"/>
          <w:sz w:val="24"/>
          <w:szCs w:val="24"/>
        </w:rPr>
        <w:t xml:space="preserve"> </w:t>
      </w:r>
      <w:r w:rsidRPr="001C6152">
        <w:rPr>
          <w:rFonts w:ascii="Verdana" w:hAnsi="Verdana"/>
          <w:color w:val="13233C"/>
          <w:sz w:val="24"/>
          <w:szCs w:val="24"/>
        </w:rPr>
        <w:t>blocks.</w:t>
      </w:r>
    </w:p>
    <w:p w:rsidR="006F673E" w:rsidRPr="001D6217">
      <w:pPr>
        <w:pStyle w:val="Heading1"/>
        <w:spacing w:before="209" w:line="232" w:lineRule="auto"/>
        <w:ind w:right="154"/>
        <w:rPr>
          <w:rFonts w:ascii="Verdana" w:hAnsi="Verdana"/>
          <w:sz w:val="24"/>
          <w:szCs w:val="24"/>
          <w:u w:val="single"/>
        </w:rPr>
      </w:pPr>
      <w:r w:rsidRPr="001D6217">
        <w:rPr>
          <w:rFonts w:ascii="Verdana" w:hAnsi="Verdana"/>
          <w:sz w:val="24"/>
          <w:szCs w:val="24"/>
          <w:u w:val="single"/>
        </w:rPr>
        <w:t>What is hindering progress in this area and is the situation likely to improve or worsen over the next year?</w:t>
      </w:r>
    </w:p>
    <w:p w:rsidR="006F673E" w:rsidRPr="001C6152">
      <w:pPr>
        <w:pStyle w:val="BodyText"/>
        <w:spacing w:before="3"/>
        <w:rPr>
          <w:rFonts w:ascii="Verdana" w:hAnsi="Verdana"/>
          <w:b/>
          <w:sz w:val="24"/>
          <w:szCs w:val="24"/>
        </w:rPr>
      </w:pPr>
    </w:p>
    <w:p w:rsidR="006F673E" w:rsidRPr="001C6152" w:rsidP="00244248">
      <w:pPr>
        <w:pStyle w:val="BodyText"/>
        <w:spacing w:line="237" w:lineRule="auto"/>
        <w:ind w:left="101" w:right="132"/>
        <w:rPr>
          <w:rFonts w:ascii="Verdana" w:hAnsi="Verdana"/>
          <w:sz w:val="24"/>
          <w:szCs w:val="24"/>
        </w:rPr>
      </w:pPr>
      <w:r w:rsidRPr="001C6152">
        <w:rPr>
          <w:rFonts w:ascii="Verdana" w:hAnsi="Verdana"/>
          <w:sz w:val="24"/>
          <w:szCs w:val="24"/>
        </w:rPr>
        <w:t xml:space="preserve">As noted, currently industry </w:t>
      </w:r>
      <w:r w:rsidRPr="001C6152">
        <w:rPr>
          <w:rFonts w:ascii="Verdana" w:hAnsi="Verdana"/>
          <w:sz w:val="24"/>
          <w:szCs w:val="24"/>
        </w:rPr>
        <w:t>are</w:t>
      </w:r>
      <w:r w:rsidRPr="001C6152">
        <w:rPr>
          <w:rFonts w:ascii="Verdana" w:hAnsi="Verdana"/>
          <w:sz w:val="24"/>
          <w:szCs w:val="24"/>
        </w:rPr>
        <w:t xml:space="preserve"> not </w:t>
      </w:r>
      <w:r w:rsidRPr="001C6152">
        <w:rPr>
          <w:rFonts w:ascii="Verdana" w:hAnsi="Verdana"/>
          <w:sz w:val="24"/>
          <w:szCs w:val="24"/>
        </w:rPr>
        <w:t>incentivised</w:t>
      </w:r>
      <w:r w:rsidRPr="001C6152">
        <w:rPr>
          <w:rFonts w:ascii="Verdana" w:hAnsi="Verdana"/>
          <w:sz w:val="24"/>
          <w:szCs w:val="24"/>
        </w:rPr>
        <w:t xml:space="preserve"> to collate or securely and anonymously share data on trends in consumer vulnerability. We think this is crucial to seeing improved provision of services to help meet the challenges consumers are </w:t>
      </w:r>
      <w:r w:rsidRPr="001C6152">
        <w:rPr>
          <w:rFonts w:ascii="Verdana" w:hAnsi="Verdana"/>
          <w:sz w:val="24"/>
          <w:szCs w:val="24"/>
        </w:rPr>
        <w:t>facing, and</w:t>
      </w:r>
      <w:r w:rsidRPr="001C6152">
        <w:rPr>
          <w:rFonts w:ascii="Verdana" w:hAnsi="Verdana"/>
          <w:sz w:val="24"/>
          <w:szCs w:val="24"/>
        </w:rPr>
        <w:t xml:space="preserve"> would welcome steps in that direction.</w:t>
      </w:r>
    </w:p>
    <w:p w:rsidR="006F673E" w:rsidRPr="001C6152">
      <w:pPr>
        <w:pStyle w:val="Heading1"/>
        <w:spacing w:before="217"/>
        <w:rPr>
          <w:rFonts w:ascii="Verdana" w:hAnsi="Verdana"/>
          <w:sz w:val="24"/>
          <w:szCs w:val="24"/>
        </w:rPr>
      </w:pPr>
      <w:r w:rsidRPr="001C6152">
        <w:rPr>
          <w:rFonts w:ascii="Verdana" w:hAnsi="Verdana"/>
          <w:b w:val="0"/>
          <w:spacing w:val="-56"/>
          <w:sz w:val="24"/>
          <w:szCs w:val="24"/>
          <w:u w:val="single"/>
        </w:rPr>
        <w:t xml:space="preserve"> </w:t>
      </w:r>
      <w:r w:rsidRPr="001C6152">
        <w:rPr>
          <w:rFonts w:ascii="Verdana" w:hAnsi="Verdana"/>
          <w:sz w:val="24"/>
          <w:szCs w:val="24"/>
          <w:u w:val="single"/>
        </w:rPr>
        <w:t>Support from Government and the financial inclusion strategy</w:t>
      </w:r>
    </w:p>
    <w:p w:rsidR="006F673E" w:rsidRPr="001C6152">
      <w:pPr>
        <w:pStyle w:val="BodyText"/>
        <w:spacing w:before="10"/>
        <w:rPr>
          <w:rFonts w:ascii="Verdana" w:hAnsi="Verdana"/>
          <w:b/>
          <w:sz w:val="24"/>
          <w:szCs w:val="24"/>
        </w:rPr>
      </w:pPr>
    </w:p>
    <w:p w:rsidR="006F673E" w:rsidRPr="001C6152">
      <w:pPr>
        <w:spacing w:before="102" w:line="232" w:lineRule="auto"/>
        <w:ind w:left="101" w:right="872"/>
        <w:rPr>
          <w:rFonts w:ascii="Verdana" w:hAnsi="Verdana"/>
          <w:b/>
          <w:sz w:val="24"/>
          <w:szCs w:val="24"/>
        </w:rPr>
      </w:pPr>
      <w:r w:rsidRPr="001C6152">
        <w:rPr>
          <w:rFonts w:ascii="Verdana" w:hAnsi="Verdana"/>
          <w:b/>
          <w:color w:val="201F1D"/>
          <w:sz w:val="24"/>
          <w:szCs w:val="24"/>
        </w:rPr>
        <w:t>Is there a desire within the sector to have sight of and the ability to comment on the Government’s overall strategy for Financial inclusion? Should it be made public?</w:t>
      </w:r>
    </w:p>
    <w:p w:rsidR="006F673E" w:rsidRPr="001C6152">
      <w:pPr>
        <w:pStyle w:val="BodyText"/>
        <w:spacing w:before="10"/>
        <w:rPr>
          <w:rFonts w:ascii="Verdana" w:hAnsi="Verdana"/>
          <w:b/>
          <w:sz w:val="24"/>
          <w:szCs w:val="24"/>
        </w:rPr>
      </w:pPr>
    </w:p>
    <w:p w:rsidR="006F673E">
      <w:pPr>
        <w:pStyle w:val="BodyText"/>
        <w:spacing w:line="242" w:lineRule="auto"/>
        <w:ind w:left="101" w:right="504"/>
        <w:rPr>
          <w:rFonts w:ascii="Verdana" w:hAnsi="Verdana"/>
          <w:color w:val="201F1D"/>
          <w:sz w:val="24"/>
          <w:szCs w:val="24"/>
        </w:rPr>
      </w:pPr>
      <w:r w:rsidRPr="001C6152">
        <w:rPr>
          <w:rFonts w:ascii="Verdana" w:hAnsi="Verdana"/>
          <w:color w:val="201F1D"/>
          <w:sz w:val="24"/>
          <w:szCs w:val="24"/>
        </w:rPr>
        <w:t xml:space="preserve">Yes, </w:t>
      </w:r>
      <w:r w:rsidRPr="001C6152">
        <w:rPr>
          <w:rFonts w:ascii="Verdana" w:hAnsi="Verdana"/>
          <w:color w:val="201F1D"/>
          <w:sz w:val="24"/>
          <w:szCs w:val="24"/>
        </w:rPr>
        <w:t>Monzo</w:t>
      </w:r>
      <w:r w:rsidRPr="001C6152">
        <w:rPr>
          <w:rFonts w:ascii="Verdana" w:hAnsi="Verdana"/>
          <w:color w:val="201F1D"/>
          <w:sz w:val="24"/>
          <w:szCs w:val="24"/>
        </w:rPr>
        <w:t xml:space="preserve"> would welcome the opportunity to input into an overall financial inclusion strategy. Particularly as we transition out of the pandemic, questions around access to digital services as well as encouraging appropriate financial products and growing consumer understanding through effective disclosures will be crucial. We’d </w:t>
      </w:r>
      <w:r w:rsidRPr="001C6152">
        <w:rPr>
          <w:rFonts w:ascii="Verdana" w:hAnsi="Verdana"/>
          <w:color w:val="201F1D"/>
          <w:sz w:val="24"/>
          <w:szCs w:val="24"/>
        </w:rPr>
        <w:t>welcome the opportunity to share our experience, and our user insights.</w:t>
      </w:r>
    </w:p>
    <w:p w:rsidR="001C6152">
      <w:pPr>
        <w:pStyle w:val="BodyText"/>
        <w:spacing w:line="242" w:lineRule="auto"/>
        <w:ind w:left="101" w:right="504"/>
        <w:rPr>
          <w:rFonts w:ascii="Verdana" w:hAnsi="Verdana"/>
          <w:color w:val="201F1D"/>
          <w:sz w:val="24"/>
          <w:szCs w:val="24"/>
        </w:rPr>
      </w:pPr>
    </w:p>
    <w:p w:rsidR="001C6152" w:rsidRPr="001C6152">
      <w:pPr>
        <w:pStyle w:val="BodyText"/>
        <w:spacing w:line="242" w:lineRule="auto"/>
        <w:ind w:left="101" w:right="504"/>
        <w:rPr>
          <w:rFonts w:ascii="Verdana" w:hAnsi="Verdana"/>
          <w:sz w:val="24"/>
          <w:szCs w:val="24"/>
        </w:rPr>
      </w:pPr>
      <w:r>
        <w:rPr>
          <w:rFonts w:ascii="Verdana" w:hAnsi="Verdana"/>
          <w:color w:val="201F1D"/>
          <w:sz w:val="24"/>
          <w:szCs w:val="24"/>
        </w:rPr>
        <w:t>March 2021</w:t>
      </w:r>
    </w:p>
    <w:sectPr>
      <w:headerReference w:type="even" r:id="rId10"/>
      <w:headerReference w:type="default" r:id="rId11"/>
      <w:footerReference w:type="even" r:id="rId12"/>
      <w:footerReference w:type="default" r:id="rId13"/>
      <w:headerReference w:type="first" r:id="rId14"/>
      <w:footerReference w:type="first" r:id="rId15"/>
      <w:pgSz w:w="11920" w:h="16860"/>
      <w:pgMar w:top="1360" w:right="1340" w:bottom="1120" w:left="1340" w:header="0" w:footer="92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height:13.05pt;margin-left:514.95pt;margin-top:785.65pt;mso-position-horizontal-relative:page;mso-position-vertical-relative:page;position:absolute;width:11.6pt;z-index:-251658240" filled="f" stroked="f">
          <v:textbox inset="0,0,0,0">
            <w:txbxContent>
              <w:p w:rsidR="007069C4">
                <w:pPr>
                  <w:pStyle w:val="BodyText"/>
                  <w:spacing w:line="244"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A2769">
      <w:r>
        <w:separator/>
      </w:r>
    </w:p>
  </w:footnote>
  <w:footnote w:type="continuationSeparator" w:id="1">
    <w:p w:rsidR="006A2769">
      <w:r>
        <w:continuationSeparator/>
      </w:r>
    </w:p>
  </w:footnote>
  <w:footnote w:id="2">
    <w:p w:rsidR="001C6152" w:rsidRPr="001C6152" w:rsidP="001C6152">
      <w:pPr>
        <w:spacing w:before="93" w:line="242" w:lineRule="exact"/>
        <w:ind w:left="101"/>
        <w:rPr>
          <w:rFonts w:ascii="Verdana" w:hAnsi="Verdana"/>
          <w:sz w:val="20"/>
          <w:szCs w:val="20"/>
        </w:rPr>
      </w:pPr>
      <w:r>
        <w:rPr>
          <w:rStyle w:val="FootnoteReference"/>
        </w:rPr>
        <w:footnoteRef/>
      </w:r>
      <w:r>
        <w:t xml:space="preserve"> </w:t>
      </w:r>
      <w:r w:rsidRPr="001C6152">
        <w:rPr>
          <w:rFonts w:ascii="Verdana" w:hAnsi="Verdana"/>
          <w:sz w:val="20"/>
          <w:szCs w:val="20"/>
        </w:rPr>
        <w:t>https://</w:t>
      </w:r>
      <w:r>
        <w:fldChar w:fldCharType="begin"/>
      </w:r>
      <w:r>
        <w:instrText xml:space="preserve"> HYPERLINK "http://www.ofcom.org.uk/" </w:instrText>
      </w:r>
      <w:r>
        <w:fldChar w:fldCharType="separate"/>
      </w:r>
      <w:r w:rsidRPr="001C6152">
        <w:rPr>
          <w:rFonts w:ascii="Verdana" w:hAnsi="Verdana"/>
          <w:sz w:val="20"/>
          <w:szCs w:val="20"/>
        </w:rPr>
        <w:t>www.ofcom.org.uk/</w:t>
      </w:r>
      <w:r>
        <w:fldChar w:fldCharType="end"/>
      </w:r>
      <w:r w:rsidRPr="001C6152">
        <w:rPr>
          <w:rFonts w:ascii="Verdana" w:hAnsi="Verdana"/>
          <w:sz w:val="20"/>
          <w:szCs w:val="20"/>
          <w:u w:val="single"/>
        </w:rPr>
        <w:t xml:space="preserve"> </w:t>
      </w:r>
      <w:r w:rsidRPr="001C6152">
        <w:rPr>
          <w:rFonts w:ascii="Verdana" w:hAnsi="Verdana"/>
          <w:sz w:val="20"/>
          <w:szCs w:val="20"/>
        </w:rPr>
        <w:t>data/assets/pdf_file/0031/149872/Adults-media-use-and-attitudes-report-2019-chart-pack.pdf</w:t>
      </w:r>
      <w:r>
        <w:rPr>
          <w:rFonts w:ascii="Verdana" w:hAnsi="Verdana"/>
          <w:sz w:val="20"/>
          <w:szCs w:val="20"/>
        </w:rPr>
        <w:t xml:space="preserve"> </w:t>
      </w:r>
    </w:p>
  </w:footnote>
  <w:footnote w:id="3">
    <w:p w:rsidR="001C6152" w:rsidRPr="001C6152">
      <w:pPr>
        <w:pStyle w:val="FootnoteText"/>
        <w:rPr>
          <w:lang w:val="en-GB"/>
        </w:rPr>
      </w:pPr>
      <w:r>
        <w:rPr>
          <w:rStyle w:val="FootnoteReference"/>
        </w:rPr>
        <w:footnoteRef/>
      </w:r>
      <w:r>
        <w:t xml:space="preserve"> </w:t>
      </w:r>
      <w:r>
        <w:fldChar w:fldCharType="begin"/>
      </w:r>
      <w:r>
        <w:instrText xml:space="preserve"> HYPERLINK "https://www.accesstocash.org.uk/media/1087/final-report-final-web.pdf" </w:instrText>
      </w:r>
      <w:r>
        <w:fldChar w:fldCharType="separate"/>
      </w:r>
      <w:r w:rsidRPr="00965CB0">
        <w:rPr>
          <w:rStyle w:val="Hyperlink"/>
        </w:rPr>
        <w:t>https://www.accesstocash.org.uk/media/1087/final-report-final-web.pdf</w:t>
      </w:r>
      <w:r>
        <w:fldChar w:fldCharType="end"/>
      </w:r>
      <w:r>
        <w:t xml:space="preserve"> </w:t>
      </w:r>
    </w:p>
  </w:footnote>
  <w:footnote w:id="4">
    <w:p w:rsidR="001C6152" w:rsidRPr="001C6152" w:rsidP="001C6152">
      <w:pPr>
        <w:spacing w:before="87"/>
        <w:rPr>
          <w:rFonts w:ascii="Verdana" w:hAnsi="Verdana"/>
          <w:sz w:val="20"/>
          <w:szCs w:val="20"/>
        </w:rPr>
      </w:pPr>
      <w:r>
        <w:rPr>
          <w:rStyle w:val="FootnoteReference"/>
        </w:rPr>
        <w:footnoteRef/>
      </w:r>
      <w:r w:rsidRPr="001C6152">
        <w:rPr>
          <w:rFonts w:ascii="Verdana" w:hAnsi="Verdana"/>
          <w:sz w:val="20"/>
          <w:szCs w:val="20"/>
        </w:rPr>
        <w:t>https</w:t>
      </w:r>
      <w:r>
        <w:fldChar w:fldCharType="begin"/>
      </w:r>
      <w:r>
        <w:instrText xml:space="preserve"> HYPERLINK "http://www.psr.org.uk/sites/default/files/media/PDF/PSR-Access-to-Cash-full-report-July-2019_0.pdf" </w:instrText>
      </w:r>
      <w:r>
        <w:fldChar w:fldCharType="separate"/>
      </w:r>
      <w:r w:rsidRPr="001C6152">
        <w:rPr>
          <w:rFonts w:ascii="Verdana" w:hAnsi="Verdana"/>
          <w:sz w:val="20"/>
          <w:szCs w:val="20"/>
        </w:rPr>
        <w:t>://www.psr.org.uk/sites/default/files/media/PDF/PSR-Access-to-Cash-full-report-July-2019_0.pdf</w:t>
      </w:r>
      <w:r>
        <w:fldChar w:fldCharType="end"/>
      </w:r>
      <w:r>
        <w:rPr>
          <w:rFonts w:ascii="Verdana" w:hAnsi="Verdana"/>
          <w:sz w:val="20"/>
          <w:szCs w:val="20"/>
        </w:rPr>
        <w:t xml:space="preserve"> </w:t>
      </w:r>
    </w:p>
    <w:p w:rsidR="001C6152" w:rsidRPr="001C6152">
      <w:pPr>
        <w:pStyle w:val="FootnoteText"/>
        <w:rPr>
          <w:lang w:val="en-GB"/>
        </w:rPr>
      </w:pPr>
    </w:p>
  </w:footnote>
  <w:footnote w:id="5">
    <w:p w:rsidR="001C6152" w:rsidRPr="001C6152">
      <w:pPr>
        <w:pStyle w:val="FootnoteText"/>
        <w:rPr>
          <w:lang w:val="en-GB"/>
        </w:rPr>
      </w:pPr>
      <w:r>
        <w:rPr>
          <w:rStyle w:val="FootnoteReference"/>
        </w:rPr>
        <w:footnoteRef/>
      </w:r>
      <w:r>
        <w:t xml:space="preserve"> </w:t>
      </w:r>
      <w:r>
        <w:fldChar w:fldCharType="begin"/>
      </w:r>
      <w:r>
        <w:instrText xml:space="preserve"> HYPERLINK "https://www.wired.co.uk/article/financial-abuse-banks-monzo" </w:instrText>
      </w:r>
      <w:r>
        <w:fldChar w:fldCharType="separate"/>
      </w:r>
      <w:r w:rsidRPr="00965CB0">
        <w:rPr>
          <w:rStyle w:val="Hyperlink"/>
        </w:rPr>
        <w:t>https://www.wired.co.uk/article/financial-abuse-banks-monzo</w:t>
      </w:r>
      <w:r>
        <w:fldChar w:fldCharType="end"/>
      </w:r>
      <w:r>
        <w:t xml:space="preserve"> </w:t>
      </w:r>
    </w:p>
  </w:footnote>
  <w:footnote w:id="6">
    <w:p w:rsidR="001C6152" w:rsidRPr="001C6152">
      <w:pPr>
        <w:pStyle w:val="FootnoteText"/>
        <w:rPr>
          <w:lang w:val="en-GB"/>
        </w:rPr>
      </w:pPr>
      <w:r>
        <w:rPr>
          <w:rStyle w:val="FootnoteReference"/>
        </w:rPr>
        <w:footnoteRef/>
      </w:r>
      <w:r>
        <w:t xml:space="preserve"> </w:t>
      </w:r>
      <w:r>
        <w:fldChar w:fldCharType="begin"/>
      </w:r>
      <w:r>
        <w:instrText xml:space="preserve"> HYPERLINK "https://www.wired.co.uk/article/financial-abuse-banks-monzo" </w:instrText>
      </w:r>
      <w:r>
        <w:fldChar w:fldCharType="separate"/>
      </w:r>
      <w:r w:rsidRPr="00965CB0">
        <w:rPr>
          <w:rStyle w:val="Hyperlink"/>
        </w:rPr>
        <w:t>https://www.wired.co.uk/article/financial-abuse-banks-monzo</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Header"/>
    </w:pPr>
    <w:r>
      <w:rPr>
        <w:noProof/>
      </w:rPr>
      <w:pict>
        <v:shapetype id="_x0000_t202" coordsize="21600,21600" o:spt="202" path="m,l,21600r21600,l21600,xe">
          <v:stroke joinstyle="miter"/>
          <v:path gradientshapeok="t" o:connecttype="rect"/>
        </v:shapetype>
        <v:shape id="MSIPCM579b449dbd041a95bb1faba9" o:spid="_x0000_s2049" type="#_x0000_t202" alt="{&quot;HashCode&quot;:-849872376,&quot;Height&quot;:843.0,&quot;Width&quot;:596.0,&quot;Placement&quot;:&quot;Header&quot;,&quot;Index&quot;:&quot;Primary&quot;,&quot;Section&quot;:1,&quot;Top&quot;:0.0,&quot;Left&quot;:0.0}" style="height:21pt;margin-left:0;margin-top:15pt;mso-position-horizontal-relative:page;mso-position-vertical-relative:page;mso-wrap-style:square;position:absolute;v-text-anchor:top;width:596pt;z-index:251659264" o:allowincell="f" filled="f" stroked="f">
          <v:textbox inset=",0,,0">
            <w:txbxContent>
              <w:p w:rsidR="00382405" w:rsidRPr="00382405" w:rsidP="00382405">
                <w:pPr>
                  <w:jc w:val="center"/>
                  <w:rPr>
                    <w:rFonts w:ascii="Tahoma" w:hAnsi="Tahoma" w:cs="Tahoma"/>
                    <w:color w:val="000000"/>
                    <w:sz w:val="20"/>
                  </w:rPr>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9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7449F8"/>
    <w:multiLevelType w:val="hybridMultilevel"/>
    <w:tmpl w:val="FC9E03E2"/>
    <w:lvl w:ilvl="0">
      <w:start w:val="0"/>
      <w:numFmt w:val="bullet"/>
      <w:lvlText w:val="-"/>
      <w:lvlJc w:val="left"/>
      <w:pPr>
        <w:ind w:left="821" w:hanging="361"/>
      </w:pPr>
      <w:rPr>
        <w:rFonts w:ascii="Arial" w:eastAsia="Arial" w:hAnsi="Arial" w:cs="Arial" w:hint="default"/>
        <w:color w:val="13233C"/>
        <w:spacing w:val="-1"/>
        <w:w w:val="100"/>
        <w:sz w:val="22"/>
        <w:szCs w:val="22"/>
      </w:rPr>
    </w:lvl>
    <w:lvl w:ilvl="1">
      <w:start w:val="0"/>
      <w:numFmt w:val="bullet"/>
      <w:lvlText w:val="•"/>
      <w:lvlJc w:val="left"/>
      <w:pPr>
        <w:ind w:left="1662" w:hanging="361"/>
      </w:pPr>
      <w:rPr>
        <w:rFonts w:hint="default"/>
      </w:rPr>
    </w:lvl>
    <w:lvl w:ilvl="2">
      <w:start w:val="0"/>
      <w:numFmt w:val="bullet"/>
      <w:lvlText w:val="•"/>
      <w:lvlJc w:val="left"/>
      <w:pPr>
        <w:ind w:left="2504" w:hanging="361"/>
      </w:pPr>
      <w:rPr>
        <w:rFonts w:hint="default"/>
      </w:rPr>
    </w:lvl>
    <w:lvl w:ilvl="3">
      <w:start w:val="0"/>
      <w:numFmt w:val="bullet"/>
      <w:lvlText w:val="•"/>
      <w:lvlJc w:val="left"/>
      <w:pPr>
        <w:ind w:left="3346" w:hanging="361"/>
      </w:pPr>
      <w:rPr>
        <w:rFonts w:hint="default"/>
      </w:rPr>
    </w:lvl>
    <w:lvl w:ilvl="4">
      <w:start w:val="0"/>
      <w:numFmt w:val="bullet"/>
      <w:lvlText w:val="•"/>
      <w:lvlJc w:val="left"/>
      <w:pPr>
        <w:ind w:left="4188" w:hanging="361"/>
      </w:pPr>
      <w:rPr>
        <w:rFonts w:hint="default"/>
      </w:rPr>
    </w:lvl>
    <w:lvl w:ilvl="5">
      <w:start w:val="0"/>
      <w:numFmt w:val="bullet"/>
      <w:lvlText w:val="•"/>
      <w:lvlJc w:val="left"/>
      <w:pPr>
        <w:ind w:left="5030" w:hanging="361"/>
      </w:pPr>
      <w:rPr>
        <w:rFonts w:hint="default"/>
      </w:rPr>
    </w:lvl>
    <w:lvl w:ilvl="6">
      <w:start w:val="0"/>
      <w:numFmt w:val="bullet"/>
      <w:lvlText w:val="•"/>
      <w:lvlJc w:val="left"/>
      <w:pPr>
        <w:ind w:left="5872" w:hanging="361"/>
      </w:pPr>
      <w:rPr>
        <w:rFonts w:hint="default"/>
      </w:rPr>
    </w:lvl>
    <w:lvl w:ilvl="7">
      <w:start w:val="0"/>
      <w:numFmt w:val="bullet"/>
      <w:lvlText w:val="•"/>
      <w:lvlJc w:val="left"/>
      <w:pPr>
        <w:ind w:left="6714" w:hanging="361"/>
      </w:pPr>
      <w:rPr>
        <w:rFonts w:hint="default"/>
      </w:rPr>
    </w:lvl>
    <w:lvl w:ilvl="8">
      <w:start w:val="0"/>
      <w:numFmt w:val="bullet"/>
      <w:lvlText w:val="•"/>
      <w:lvlJc w:val="left"/>
      <w:pPr>
        <w:ind w:left="7556" w:hanging="361"/>
      </w:pPr>
      <w:rPr>
        <w:rFonts w:hint="default"/>
      </w:rPr>
    </w:lvl>
  </w:abstractNum>
  <w:abstractNum w:abstractNumId="1">
    <w:nsid w:val="1C5D4502"/>
    <w:multiLevelType w:val="hybridMultilevel"/>
    <w:tmpl w:val="2564F2E2"/>
    <w:lvl w:ilvl="0">
      <w:start w:val="0"/>
      <w:numFmt w:val="bullet"/>
      <w:lvlText w:val="●"/>
      <w:lvlJc w:val="left"/>
      <w:pPr>
        <w:ind w:left="821" w:hanging="361"/>
      </w:pPr>
      <w:rPr>
        <w:rFonts w:ascii="Arial" w:eastAsia="Arial" w:hAnsi="Arial" w:cs="Arial" w:hint="default"/>
        <w:spacing w:val="-1"/>
        <w:w w:val="100"/>
        <w:sz w:val="22"/>
        <w:szCs w:val="22"/>
      </w:rPr>
    </w:lvl>
    <w:lvl w:ilvl="1">
      <w:start w:val="0"/>
      <w:numFmt w:val="bullet"/>
      <w:lvlText w:val="•"/>
      <w:lvlJc w:val="left"/>
      <w:pPr>
        <w:ind w:left="1662" w:hanging="361"/>
      </w:pPr>
      <w:rPr>
        <w:rFonts w:hint="default"/>
      </w:rPr>
    </w:lvl>
    <w:lvl w:ilvl="2">
      <w:start w:val="0"/>
      <w:numFmt w:val="bullet"/>
      <w:lvlText w:val="•"/>
      <w:lvlJc w:val="left"/>
      <w:pPr>
        <w:ind w:left="2504" w:hanging="361"/>
      </w:pPr>
      <w:rPr>
        <w:rFonts w:hint="default"/>
      </w:rPr>
    </w:lvl>
    <w:lvl w:ilvl="3">
      <w:start w:val="0"/>
      <w:numFmt w:val="bullet"/>
      <w:lvlText w:val="•"/>
      <w:lvlJc w:val="left"/>
      <w:pPr>
        <w:ind w:left="3346" w:hanging="361"/>
      </w:pPr>
      <w:rPr>
        <w:rFonts w:hint="default"/>
      </w:rPr>
    </w:lvl>
    <w:lvl w:ilvl="4">
      <w:start w:val="0"/>
      <w:numFmt w:val="bullet"/>
      <w:lvlText w:val="•"/>
      <w:lvlJc w:val="left"/>
      <w:pPr>
        <w:ind w:left="4188" w:hanging="361"/>
      </w:pPr>
      <w:rPr>
        <w:rFonts w:hint="default"/>
      </w:rPr>
    </w:lvl>
    <w:lvl w:ilvl="5">
      <w:start w:val="0"/>
      <w:numFmt w:val="bullet"/>
      <w:lvlText w:val="•"/>
      <w:lvlJc w:val="left"/>
      <w:pPr>
        <w:ind w:left="5030" w:hanging="361"/>
      </w:pPr>
      <w:rPr>
        <w:rFonts w:hint="default"/>
      </w:rPr>
    </w:lvl>
    <w:lvl w:ilvl="6">
      <w:start w:val="0"/>
      <w:numFmt w:val="bullet"/>
      <w:lvlText w:val="•"/>
      <w:lvlJc w:val="left"/>
      <w:pPr>
        <w:ind w:left="5872" w:hanging="361"/>
      </w:pPr>
      <w:rPr>
        <w:rFonts w:hint="default"/>
      </w:rPr>
    </w:lvl>
    <w:lvl w:ilvl="7">
      <w:start w:val="0"/>
      <w:numFmt w:val="bullet"/>
      <w:lvlText w:val="•"/>
      <w:lvlJc w:val="left"/>
      <w:pPr>
        <w:ind w:left="6714" w:hanging="361"/>
      </w:pPr>
      <w:rPr>
        <w:rFonts w:hint="default"/>
      </w:rPr>
    </w:lvl>
    <w:lvl w:ilvl="8">
      <w:start w:val="0"/>
      <w:numFmt w:val="bullet"/>
      <w:lvlText w:val="•"/>
      <w:lvlJc w:val="left"/>
      <w:pPr>
        <w:ind w:left="7556" w:hanging="361"/>
      </w:pPr>
      <w:rPr>
        <w:rFonts w:hint="default"/>
      </w:rPr>
    </w:lvl>
  </w:abstractNum>
  <w:abstractNum w:abstractNumId="2">
    <w:nsid w:val="5D6D5622"/>
    <w:multiLevelType w:val="hybridMultilevel"/>
    <w:tmpl w:val="38962378"/>
    <w:lvl w:ilvl="0">
      <w:start w:val="0"/>
      <w:numFmt w:val="bullet"/>
      <w:lvlText w:val="-"/>
      <w:lvlJc w:val="left"/>
      <w:pPr>
        <w:ind w:left="821" w:hanging="361"/>
      </w:pPr>
      <w:rPr>
        <w:rFonts w:ascii="Roboto" w:eastAsia="Roboto" w:hAnsi="Roboto" w:cs="Roboto" w:hint="default"/>
        <w:spacing w:val="-28"/>
        <w:w w:val="97"/>
        <w:sz w:val="22"/>
        <w:szCs w:val="22"/>
      </w:rPr>
    </w:lvl>
    <w:lvl w:ilvl="1">
      <w:start w:val="0"/>
      <w:numFmt w:val="bullet"/>
      <w:lvlText w:val="-"/>
      <w:lvlJc w:val="left"/>
      <w:pPr>
        <w:ind w:left="1542" w:hanging="361"/>
      </w:pPr>
      <w:rPr>
        <w:rFonts w:ascii="Roboto" w:eastAsia="Roboto" w:hAnsi="Roboto" w:cs="Roboto" w:hint="default"/>
        <w:spacing w:val="-28"/>
        <w:w w:val="100"/>
        <w:sz w:val="22"/>
        <w:szCs w:val="22"/>
      </w:rPr>
    </w:lvl>
    <w:lvl w:ilvl="2">
      <w:start w:val="0"/>
      <w:numFmt w:val="bullet"/>
      <w:lvlText w:val="•"/>
      <w:lvlJc w:val="left"/>
      <w:pPr>
        <w:ind w:left="2395" w:hanging="361"/>
      </w:pPr>
      <w:rPr>
        <w:rFonts w:hint="default"/>
      </w:rPr>
    </w:lvl>
    <w:lvl w:ilvl="3">
      <w:start w:val="0"/>
      <w:numFmt w:val="bullet"/>
      <w:lvlText w:val="•"/>
      <w:lvlJc w:val="left"/>
      <w:pPr>
        <w:ind w:left="3251" w:hanging="361"/>
      </w:pPr>
      <w:rPr>
        <w:rFonts w:hint="default"/>
      </w:rPr>
    </w:lvl>
    <w:lvl w:ilvl="4">
      <w:start w:val="0"/>
      <w:numFmt w:val="bullet"/>
      <w:lvlText w:val="•"/>
      <w:lvlJc w:val="left"/>
      <w:pPr>
        <w:ind w:left="4106" w:hanging="361"/>
      </w:pPr>
      <w:rPr>
        <w:rFonts w:hint="default"/>
      </w:rPr>
    </w:lvl>
    <w:lvl w:ilvl="5">
      <w:start w:val="0"/>
      <w:numFmt w:val="bullet"/>
      <w:lvlText w:val="•"/>
      <w:lvlJc w:val="left"/>
      <w:pPr>
        <w:ind w:left="4962" w:hanging="361"/>
      </w:pPr>
      <w:rPr>
        <w:rFonts w:hint="default"/>
      </w:rPr>
    </w:lvl>
    <w:lvl w:ilvl="6">
      <w:start w:val="0"/>
      <w:numFmt w:val="bullet"/>
      <w:lvlText w:val="•"/>
      <w:lvlJc w:val="left"/>
      <w:pPr>
        <w:ind w:left="5817" w:hanging="361"/>
      </w:pPr>
      <w:rPr>
        <w:rFonts w:hint="default"/>
      </w:rPr>
    </w:lvl>
    <w:lvl w:ilvl="7">
      <w:start w:val="0"/>
      <w:numFmt w:val="bullet"/>
      <w:lvlText w:val="•"/>
      <w:lvlJc w:val="left"/>
      <w:pPr>
        <w:ind w:left="6673" w:hanging="361"/>
      </w:pPr>
      <w:rPr>
        <w:rFonts w:hint="default"/>
      </w:rPr>
    </w:lvl>
    <w:lvl w:ilvl="8">
      <w:start w:val="0"/>
      <w:numFmt w:val="bullet"/>
      <w:lvlText w:val="•"/>
      <w:lvlJc w:val="left"/>
      <w:pPr>
        <w:ind w:left="7528" w:hanging="361"/>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footnotePr>
    <w:footnote w:id="0"/>
    <w:footnote w:id="1"/>
  </w:footnotePr>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10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069C4"/>
    <w:pPr>
      <w:tabs>
        <w:tab w:val="center" w:pos="4513"/>
        <w:tab w:val="right" w:pos="9026"/>
      </w:tabs>
    </w:pPr>
  </w:style>
  <w:style w:type="character" w:customStyle="1" w:styleId="HeaderChar">
    <w:name w:val="Header Char"/>
    <w:basedOn w:val="DefaultParagraphFont"/>
    <w:link w:val="Header"/>
    <w:uiPriority w:val="99"/>
    <w:rsid w:val="007069C4"/>
    <w:rPr>
      <w:rFonts w:ascii="Roboto" w:eastAsia="Roboto" w:hAnsi="Roboto" w:cs="Roboto"/>
    </w:rPr>
  </w:style>
  <w:style w:type="paragraph" w:styleId="Footer">
    <w:name w:val="footer"/>
    <w:basedOn w:val="Normal"/>
    <w:link w:val="FooterChar"/>
    <w:uiPriority w:val="99"/>
    <w:unhideWhenUsed/>
    <w:rsid w:val="007069C4"/>
    <w:pPr>
      <w:tabs>
        <w:tab w:val="center" w:pos="4513"/>
        <w:tab w:val="right" w:pos="9026"/>
      </w:tabs>
    </w:pPr>
  </w:style>
  <w:style w:type="character" w:customStyle="1" w:styleId="FooterChar">
    <w:name w:val="Footer Char"/>
    <w:basedOn w:val="DefaultParagraphFont"/>
    <w:link w:val="Footer"/>
    <w:uiPriority w:val="99"/>
    <w:rsid w:val="007069C4"/>
    <w:rPr>
      <w:rFonts w:ascii="Roboto" w:eastAsia="Roboto" w:hAnsi="Roboto" w:cs="Roboto"/>
    </w:rPr>
  </w:style>
  <w:style w:type="paragraph" w:styleId="FootnoteText">
    <w:name w:val="footnote text"/>
    <w:basedOn w:val="Normal"/>
    <w:link w:val="FootnoteTextChar"/>
    <w:uiPriority w:val="99"/>
    <w:semiHidden/>
    <w:unhideWhenUsed/>
    <w:rsid w:val="001C6152"/>
    <w:rPr>
      <w:sz w:val="20"/>
      <w:szCs w:val="20"/>
    </w:rPr>
  </w:style>
  <w:style w:type="character" w:customStyle="1" w:styleId="FootnoteTextChar">
    <w:name w:val="Footnote Text Char"/>
    <w:basedOn w:val="DefaultParagraphFont"/>
    <w:link w:val="FootnoteText"/>
    <w:uiPriority w:val="99"/>
    <w:semiHidden/>
    <w:rsid w:val="001C6152"/>
    <w:rPr>
      <w:rFonts w:ascii="Roboto" w:eastAsia="Roboto" w:hAnsi="Roboto" w:cs="Roboto"/>
      <w:sz w:val="20"/>
      <w:szCs w:val="20"/>
    </w:rPr>
  </w:style>
  <w:style w:type="character" w:styleId="FootnoteReference">
    <w:name w:val="footnote reference"/>
    <w:basedOn w:val="DefaultParagraphFont"/>
    <w:uiPriority w:val="99"/>
    <w:semiHidden/>
    <w:unhideWhenUsed/>
    <w:rsid w:val="001C6152"/>
    <w:rPr>
      <w:vertAlign w:val="superscript"/>
    </w:rPr>
  </w:style>
  <w:style w:type="character" w:styleId="Hyperlink">
    <w:name w:val="Hyperlink"/>
    <w:basedOn w:val="DefaultParagraphFont"/>
    <w:uiPriority w:val="99"/>
    <w:unhideWhenUsed/>
    <w:rsid w:val="001C6152"/>
    <w:rPr>
      <w:color w:val="0000FF" w:themeColor="hyperlink"/>
      <w:u w:val="single"/>
    </w:rPr>
  </w:style>
  <w:style w:type="character" w:customStyle="1" w:styleId="UnresolvedMention">
    <w:name w:val="Unresolved Mention"/>
    <w:basedOn w:val="DefaultParagraphFont"/>
    <w:uiPriority w:val="99"/>
    <w:semiHidden/>
    <w:unhideWhenUsed/>
    <w:rsid w:val="001C6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Written Evidence - Published</TermName>
          <TermId xmlns="http://schemas.microsoft.com/office/infopath/2007/PartnerControls">ac123c11-8ea8-4b0a-98ae-a876ca2a8f4d</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Financial Exclusion follow-up</TermName>
          <TermId xmlns="http://schemas.microsoft.com/office/infopath/2007/PartnerControls">474a2c38-a905-45d0-aad2-58228974bfe0</TermId>
        </TermInfo>
      </Terms>
    </edc898bf3bb343549b83ac391d519ef2>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Meeting_x0020_Date xmlns="b42ee53a-2340-4c25-89c8-245227b3848b" xsi:nil="tru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N/A</Document_x0020_Status1>
    <Sub_x002d_committee xmlns="dac85ed4-06e4-46ba-915f-2881079f6bdf">Follow-up</Sub_x002d_committee>
    <g3ef09377e3444258679b6035a1ff93a xmlns="4600776d-0a3c-44b4-bff2-0ceaafb13046">
      <Terms xmlns="http://schemas.microsoft.com/office/infopath/2007/PartnerControls"/>
    </g3ef09377e3444258679b6035a1ff93a>
    <SharedWithUsers xmlns="b42ee53a-2340-4c25-89c8-245227b3848b">
      <UserInfo>
        <DisplayName>MOLLOY, Lucy</DisplayName>
        <AccountId>61</AccountId>
        <AccountType/>
      </UserInfo>
      <UserInfo>
        <DisplayName>TUDOR, Philippa</DisplayName>
        <AccountId>32</AccountId>
        <AccountType/>
      </UserInfo>
    </SharedWithUsers>
    <TaxCatchAll xmlns="4600776d-0a3c-44b4-bff2-0ceaafb13046">
      <Value>31</Value>
      <Value>63</Value>
      <Value>8</Value>
      <Value>76</Value>
      <Value>2</Value>
      <Value>51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5CE6E953A90C5D44AFB511DA2A276004" ma:contentTypeVersion="22" ma:contentTypeDescription="Create a new document." ma:contentTypeScope="" ma:versionID="f9073b3f0e532cde65c5e5d62da50d5b">
  <xsd:schema xmlns:xsd="http://www.w3.org/2001/XMLSchema" xmlns:xs="http://www.w3.org/2001/XMLSchema" xmlns:p="http://schemas.microsoft.com/office/2006/metadata/properties" xmlns:ns2="b42ee53a-2340-4c25-89c8-245227b3848b" xmlns:ns3="4600776d-0a3c-44b4-bff2-0ceaafb13046" xmlns:ns5="dac85ed4-06e4-46ba-915f-2881079f6bdf" targetNamespace="http://schemas.microsoft.com/office/2006/metadata/properties" ma:root="true" ma:fieldsID="b587998d899803cf6be93a53b7940f20" ns2:_="" ns3:_="" ns5:_="">
    <xsd:import namespace="b42ee53a-2340-4c25-89c8-245227b3848b"/>
    <xsd:import namespace="4600776d-0a3c-44b4-bff2-0ceaafb13046"/>
    <xsd:import namespace="dac85ed4-06e4-46ba-915f-2881079f6bdf"/>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Sub_x002d_committ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6e90d9af-d532-425e-a8dd-7b602c37d787"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51;#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226008d1-36e6-41fe-a915-1c177f79e2e4}"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226008d1-36e6-41fe-a915-1c177f79e2e4}"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c85ed4-06e4-46ba-915f-2881079f6bd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Sub_x002d_committee" ma:index="43" nillable="true" ma:displayName="Sub-committee" ma:format="Dropdown" ma:internalName="Sub_x002d_committe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DDFD9-CD76-4D23-9A61-C0A3B187BA1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42ee53a-2340-4c25-89c8-245227b3848b"/>
    <ds:schemaRef ds:uri="http://purl.org/dc/terms/"/>
    <ds:schemaRef ds:uri="dac85ed4-06e4-46ba-915f-2881079f6bdf"/>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A76A865B-DA1F-4495-9441-5B1BE9FF1672}">
  <ds:schemaRefs>
    <ds:schemaRef ds:uri="http://schemas.microsoft.com/sharepoint/v3/contenttype/forms"/>
  </ds:schemaRefs>
</ds:datastoreItem>
</file>

<file path=customXml/itemProps3.xml><?xml version="1.0" encoding="utf-8"?>
<ds:datastoreItem xmlns:ds="http://schemas.openxmlformats.org/officeDocument/2006/customXml" ds:itemID="{049DB892-ABA7-416E-A264-83250AD85F4C}">
  <ds:schemaRefs>
    <ds:schemaRef ds:uri="http://schemas.microsoft.com/sharepoint/events"/>
  </ds:schemaRefs>
</ds:datastoreItem>
</file>

<file path=customXml/itemProps4.xml><?xml version="1.0" encoding="utf-8"?>
<ds:datastoreItem xmlns:ds="http://schemas.openxmlformats.org/officeDocument/2006/customXml" ds:itemID="{775518B4-FC0B-4D65-B2AD-548554D74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ac85ed4-06e4-46ba-915f-2881079f6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9971E3-0E97-4421-915D-738A989E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