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73E83" w:rsidP="007A1456">
      <w:pPr>
        <w:spacing w:after="0"/>
        <w:jc w:val="center"/>
        <w:rPr>
          <w:b/>
          <w:bCs/>
          <w:sz w:val="28"/>
        </w:rPr>
      </w:pPr>
      <w:r>
        <w:rPr>
          <w:b/>
          <w:bCs/>
          <w:sz w:val="28"/>
        </w:rPr>
        <w:t xml:space="preserve">Written evidence submitted by </w:t>
      </w:r>
      <w:r w:rsidRPr="007A1456">
        <w:rPr>
          <w:b/>
          <w:bCs/>
          <w:sz w:val="28"/>
        </w:rPr>
        <w:t>Dr Shann Turnbull</w:t>
      </w:r>
    </w:p>
    <w:p w:rsidR="007A1456" w:rsidRPr="007A1456" w:rsidP="007A1456">
      <w:pPr>
        <w:spacing w:after="0"/>
        <w:rPr>
          <w:b/>
          <w:bCs/>
          <w:sz w:val="28"/>
        </w:rPr>
      </w:pPr>
    </w:p>
    <w:p w:rsidR="00990F26" w:rsidRPr="00DC58CB" w:rsidP="00DC58CB">
      <w:pPr>
        <w:spacing w:after="240"/>
        <w:rPr>
          <w:sz w:val="28"/>
          <w:u w:val="single"/>
        </w:rPr>
      </w:pPr>
      <w:r w:rsidRPr="00DC58CB">
        <w:rPr>
          <w:sz w:val="28"/>
          <w:u w:val="single"/>
        </w:rPr>
        <w:t xml:space="preserve">This </w:t>
      </w:r>
      <w:r>
        <w:rPr>
          <w:sz w:val="28"/>
          <w:u w:val="single"/>
        </w:rPr>
        <w:t>submission is in response to</w:t>
      </w:r>
      <w:r w:rsidRPr="00DC58CB">
        <w:rPr>
          <w:sz w:val="28"/>
          <w:u w:val="single"/>
        </w:rPr>
        <w:t xml:space="preserve"> consultation documents issued in 2020 by:</w:t>
      </w:r>
    </w:p>
    <w:p w:rsidR="00990F26" w:rsidRPr="00990F26" w:rsidP="00990F26">
      <w:pPr>
        <w:spacing w:after="0"/>
        <w:rPr>
          <w:b/>
        </w:rPr>
      </w:pPr>
      <w:r>
        <w:rPr>
          <w:b/>
        </w:rPr>
        <w:t>UK Parliament Committees c</w:t>
      </w:r>
      <w:r w:rsidRPr="00990F26">
        <w:rPr>
          <w:b/>
        </w:rPr>
        <w:t>all for evidence: Future of Financial Services</w:t>
      </w:r>
      <w:r>
        <w:rPr>
          <w:b/>
        </w:rPr>
        <w:t xml:space="preserve"> (FFS)</w:t>
      </w:r>
    </w:p>
    <w:p w:rsidR="00990F26" w:rsidP="00990F26">
      <w:pPr>
        <w:spacing w:after="0"/>
      </w:pPr>
      <w:r>
        <w:fldChar w:fldCharType="begin"/>
      </w:r>
      <w:r>
        <w:instrText xml:space="preserve"> HYPERLINK "https://committees.parliament.uk/call-for-evidence/319/future-of-financial-services/" </w:instrText>
      </w:r>
      <w:r>
        <w:fldChar w:fldCharType="separate"/>
      </w:r>
      <w:r w:rsidRPr="00B734BE" w:rsidR="007A1456">
        <w:rPr>
          <w:rStyle w:val="Hyperlink"/>
        </w:rPr>
        <w:t>https://committees.parliament.uk/call-for-evidence/319/future-of-financial-services/</w:t>
      </w:r>
      <w:r>
        <w:fldChar w:fldCharType="end"/>
      </w:r>
      <w:r w:rsidR="007A1456">
        <w:t xml:space="preserve"> </w:t>
      </w:r>
    </w:p>
    <w:p w:rsidR="00990F26" w:rsidP="00990F26">
      <w:pPr>
        <w:spacing w:after="0"/>
      </w:pPr>
    </w:p>
    <w:p w:rsidR="00990F26" w:rsidRPr="00990F26" w:rsidP="00990F26">
      <w:pPr>
        <w:spacing w:after="0"/>
        <w:rPr>
          <w:b/>
        </w:rPr>
      </w:pPr>
      <w:r w:rsidRPr="00990F26">
        <w:rPr>
          <w:b/>
        </w:rPr>
        <w:t>HM Treasury Future Regulatory Framework (FRF) Review: Consultation</w:t>
      </w:r>
    </w:p>
    <w:p w:rsidR="00DC58CB">
      <w:r>
        <w:fldChar w:fldCharType="begin"/>
      </w:r>
      <w:r>
        <w:instrText xml:space="preserve"> HYPERLINK "https://www.gov.uk/government/consultations/future-regulatory-framework-frf-review-consultation" \l "history" </w:instrText>
      </w:r>
      <w:r>
        <w:fldChar w:fldCharType="separate"/>
      </w:r>
      <w:r w:rsidRPr="00B734BE" w:rsidR="007A1456">
        <w:rPr>
          <w:rStyle w:val="Hyperlink"/>
        </w:rPr>
        <w:t>https://www.gov.uk/government/consultations/future-regulatory-framework-frf-review-consultation#history</w:t>
      </w:r>
      <w:r>
        <w:fldChar w:fldCharType="end"/>
      </w:r>
      <w:r w:rsidR="007A1456">
        <w:t xml:space="preserve"> </w:t>
      </w:r>
    </w:p>
    <w:p w:rsidR="00DC58CB" w:rsidP="00012CD8">
      <w:pPr>
        <w:jc w:val="center"/>
        <w:rPr>
          <w:b/>
        </w:rPr>
      </w:pPr>
      <w:r w:rsidRPr="00DC58CB">
        <w:rPr>
          <w:b/>
        </w:rPr>
        <w:t>Summary</w:t>
      </w:r>
    </w:p>
    <w:p w:rsidR="00350390" w:rsidP="0064118D">
      <w:pPr>
        <w:spacing w:after="120"/>
      </w:pPr>
      <w:r>
        <w:t xml:space="preserve">While Brexit triggered both consultations, the recommendations are based on taking into account the existential risks and opportunities for humanity arising from environmental degradation. As UK net financial services exports are </w:t>
      </w:r>
      <w:r>
        <w:fldChar w:fldCharType="begin"/>
      </w:r>
      <w:r>
        <w:instrText xml:space="preserve"> HYPERLINK "https://cdn.ymaws.com/www.export.org.uk/resource/resmgr/media/news/key-facts-about-the-uk-as-an.pd" </w:instrText>
      </w:r>
      <w:r>
        <w:fldChar w:fldCharType="separate"/>
      </w:r>
      <w:r w:rsidRPr="007454E4">
        <w:rPr>
          <w:rStyle w:val="Hyperlink"/>
        </w:rPr>
        <w:t>twice that of the US</w:t>
      </w:r>
      <w:r>
        <w:fldChar w:fldCharType="end"/>
      </w:r>
      <w:r>
        <w:rPr>
          <w:rStyle w:val="FootnoteReference"/>
        </w:rPr>
        <w:footnoteReference w:id="2"/>
      </w:r>
      <w:r>
        <w:t xml:space="preserve">, the UK has the most to loose by not becoming a global role model for a stable, resilient and sustainable financial system. As each bioregion of the planet has different capacities to sustain bio-diversity, including humans, the existing top-down control in both public and private sectors urgently needs to become subject to bottom up self-regulating and self-governing practices of nature. </w:t>
      </w:r>
    </w:p>
    <w:p w:rsidR="00FE4DDA" w:rsidP="0064118D">
      <w:pPr>
        <w:spacing w:after="120"/>
        <w:rPr>
          <w:rFonts w:cstheme="majorHAnsi"/>
          <w:color w:val="0B0C0C"/>
          <w:szCs w:val="29"/>
          <w:shd w:val="clear" w:color="auto" w:fill="FFFFFF"/>
          <w:lang w:val="en-AU"/>
        </w:rPr>
      </w:pPr>
      <w:r>
        <w:t>Bottom-up self-governance can replace “</w:t>
      </w:r>
      <w:r>
        <w:fldChar w:fldCharType="begin"/>
      </w:r>
      <w:r>
        <w:instrText xml:space="preserve"> HYPERLINK "https://upload.wikimedia.org/wikipedia/en/d/d9/TheAdministrativeState.jpg" </w:instrText>
      </w:r>
      <w:r>
        <w:fldChar w:fldCharType="separate"/>
      </w:r>
      <w:r w:rsidRPr="007454E4">
        <w:rPr>
          <w:rStyle w:val="Hyperlink"/>
        </w:rPr>
        <w:t>The administrative State</w:t>
      </w:r>
      <w:r>
        <w:fldChar w:fldCharType="end"/>
      </w:r>
      <w:r>
        <w:t>”</w:t>
      </w:r>
      <w:r>
        <w:rPr>
          <w:rStyle w:val="FootnoteReference"/>
        </w:rPr>
        <w:footnoteReference w:id="3"/>
      </w:r>
      <w:r>
        <w:t xml:space="preserve"> to enrich hollowed out political democracies with locally driven self-determination. However, as the dominant form of public and private institutions, are imperial alienating hierarchies not subject to self-regulation or self-governance, massive structural changes are required. The approach is consistent with a “key aim” of the FRF </w:t>
      </w:r>
      <w:r w:rsidRPr="006A10B9">
        <w:rPr>
          <w:rFonts w:cstheme="majorHAnsi"/>
        </w:rPr>
        <w:t xml:space="preserve">to seek </w:t>
      </w:r>
      <w:r w:rsidRPr="006A10B9">
        <w:rPr>
          <w:rFonts w:cstheme="majorHAnsi"/>
          <w:color w:val="0B0C0C"/>
          <w:szCs w:val="29"/>
          <w:shd w:val="clear" w:color="auto" w:fill="FFFFFF"/>
          <w:lang w:val="en-AU"/>
        </w:rPr>
        <w:t>“</w:t>
      </w:r>
      <w:r>
        <w:fldChar w:fldCharType="begin"/>
      </w:r>
      <w:r>
        <w:instrText xml:space="preserve"> HYPERLINK "https://www.gov.uk/government/consultations/future-regulatory-framework-frf-review-consultation" \l "history" </w:instrText>
      </w:r>
      <w:r>
        <w:fldChar w:fldCharType="separate"/>
      </w:r>
      <w:r w:rsidRPr="007454E4">
        <w:rPr>
          <w:rStyle w:val="Hyperlink"/>
          <w:rFonts w:cstheme="majorHAnsi"/>
          <w:i/>
          <w:iCs/>
          <w:szCs w:val="29"/>
          <w:shd w:val="clear" w:color="auto" w:fill="FFFFFF"/>
          <w:lang w:val="en-AU"/>
        </w:rPr>
        <w:t>appropriate democratic policy input to support a stable, innovative and world-leading FS sector</w:t>
      </w:r>
      <w:r>
        <w:fldChar w:fldCharType="end"/>
      </w:r>
      <w:r>
        <w:rPr>
          <w:rFonts w:cstheme="majorHAnsi"/>
          <w:color w:val="0B0C0C"/>
          <w:szCs w:val="29"/>
          <w:shd w:val="clear" w:color="auto" w:fill="FFFFFF"/>
          <w:lang w:val="en-AU"/>
        </w:rPr>
        <w:t>”</w:t>
      </w:r>
      <w:r>
        <w:rPr>
          <w:rStyle w:val="FootnoteReference"/>
          <w:rFonts w:cstheme="majorHAnsi"/>
          <w:color w:val="0B0C0C"/>
          <w:szCs w:val="29"/>
          <w:shd w:val="clear" w:color="auto" w:fill="FFFFFF"/>
          <w:lang w:val="en-AU"/>
        </w:rPr>
        <w:footnoteReference w:id="4"/>
      </w:r>
      <w:r>
        <w:rPr>
          <w:rFonts w:cstheme="majorHAnsi"/>
          <w:color w:val="0B0C0C"/>
          <w:szCs w:val="29"/>
          <w:shd w:val="clear" w:color="auto" w:fill="FFFFFF"/>
          <w:lang w:val="en-AU"/>
        </w:rPr>
        <w:t xml:space="preserve">. </w:t>
      </w:r>
    </w:p>
    <w:p w:rsidR="00AC1119" w:rsidRPr="00FE4DDA" w:rsidP="0064118D">
      <w:pPr>
        <w:spacing w:after="120"/>
      </w:pPr>
      <w:r>
        <w:rPr>
          <w:rFonts w:cstheme="majorHAnsi"/>
          <w:color w:val="0B0C0C"/>
          <w:szCs w:val="29"/>
          <w:shd w:val="clear" w:color="auto" w:fill="FFFFFF"/>
          <w:lang w:val="en-AU"/>
        </w:rPr>
        <w:t xml:space="preserve">Self-funding tax incentives are proposed for private plutocratic corporations to introduce a massive number of richly diversified democratically controlled stakeholder non-profit associations. The incentive would create a fiduciary duty for institutional shareholders to endow their equity over the life of a patent to democratise the wealth of nations directly with citizen stakeholders. Privatised stakeholder regulation and welfare radically reduces the size, costs and roles of government while countering global environmental degradation locally for global stakeholders. </w:t>
      </w:r>
    </w:p>
    <w:p w:rsidR="002B2AC4" w:rsidRPr="00DA3066" w:rsidP="00EF4903">
      <w:pPr>
        <w:spacing w:after="120"/>
        <w:rPr>
          <w:rFonts w:cstheme="majorHAnsi"/>
          <w:b/>
          <w:color w:val="0B0C0C"/>
          <w:szCs w:val="29"/>
          <w:shd w:val="clear" w:color="auto" w:fill="FFFFFF"/>
          <w:lang w:val="en-AU"/>
        </w:rPr>
      </w:pPr>
      <w:r w:rsidRPr="00DA3066">
        <w:rPr>
          <w:rFonts w:cstheme="majorHAnsi"/>
          <w:b/>
          <w:color w:val="0B0C0C"/>
          <w:szCs w:val="29"/>
          <w:shd w:val="clear" w:color="auto" w:fill="FFFFFF"/>
          <w:lang w:val="en-AU"/>
        </w:rPr>
        <w:t>Contents</w:t>
      </w:r>
    </w:p>
    <w:p w:rsidR="00D639ED" w:rsidRPr="00E1725A" w:rsidP="00D12065">
      <w:pPr>
        <w:pStyle w:val="ListParagraph"/>
        <w:numPr>
          <w:ilvl w:val="0"/>
          <w:numId w:val="1"/>
        </w:numPr>
        <w:ind w:left="709" w:hanging="283"/>
        <w:rPr>
          <w:rFonts w:cstheme="majorHAnsi"/>
          <w:color w:val="0B0C0C"/>
          <w:szCs w:val="29"/>
          <w:shd w:val="clear" w:color="auto" w:fill="FFFFFF"/>
          <w:lang w:val="en-AU"/>
        </w:rPr>
      </w:pPr>
      <w:r>
        <w:rPr>
          <w:rFonts w:cstheme="majorHAnsi"/>
          <w:color w:val="0B0C0C"/>
          <w:szCs w:val="29"/>
          <w:shd w:val="clear" w:color="auto" w:fill="FFFFFF"/>
          <w:lang w:val="en-AU"/>
        </w:rPr>
        <w:t xml:space="preserve">Overview of why financial services and regulation are not fit for purpose; </w:t>
      </w:r>
    </w:p>
    <w:p w:rsidR="00D12065" w:rsidP="00D12065">
      <w:pPr>
        <w:pStyle w:val="ListParagraph"/>
        <w:numPr>
          <w:ilvl w:val="0"/>
          <w:numId w:val="1"/>
        </w:numPr>
        <w:ind w:left="709" w:hanging="283"/>
        <w:rPr>
          <w:rFonts w:cstheme="majorHAnsi"/>
          <w:color w:val="0B0C0C"/>
          <w:szCs w:val="29"/>
          <w:shd w:val="clear" w:color="auto" w:fill="FFFFFF"/>
          <w:lang w:val="en-AU"/>
        </w:rPr>
      </w:pPr>
      <w:r>
        <w:rPr>
          <w:rFonts w:cstheme="majorHAnsi"/>
          <w:color w:val="0B0C0C"/>
          <w:szCs w:val="29"/>
          <w:shd w:val="clear" w:color="auto" w:fill="FFFFFF"/>
          <w:lang w:val="en-AU"/>
        </w:rPr>
        <w:t>“Privatising regulation to enrich democracy” posted at</w:t>
      </w:r>
      <w:r>
        <w:rPr>
          <w:rStyle w:val="FootnoteReference"/>
          <w:rFonts w:cstheme="majorHAnsi"/>
          <w:color w:val="0B0C0C"/>
          <w:szCs w:val="29"/>
          <w:shd w:val="clear" w:color="auto" w:fill="FFFFFF"/>
          <w:lang w:val="en-AU"/>
        </w:rPr>
        <w:footnoteReference w:id="5"/>
      </w:r>
      <w:r>
        <w:rPr>
          <w:rFonts w:cstheme="majorHAnsi"/>
          <w:color w:val="0B0C0C"/>
          <w:szCs w:val="29"/>
          <w:shd w:val="clear" w:color="auto" w:fill="FFFFFF"/>
          <w:lang w:val="en-AU"/>
        </w:rPr>
        <w:t>;</w:t>
      </w:r>
    </w:p>
    <w:p w:rsidR="00E1725A" w:rsidRPr="00D12065" w:rsidP="00D12065">
      <w:pPr>
        <w:pStyle w:val="ListParagraph"/>
        <w:numPr>
          <w:ilvl w:val="0"/>
          <w:numId w:val="1"/>
        </w:numPr>
        <w:ind w:left="709" w:hanging="283"/>
        <w:rPr>
          <w:rFonts w:cstheme="majorHAnsi"/>
          <w:color w:val="0B0C0C"/>
          <w:szCs w:val="29"/>
          <w:shd w:val="clear" w:color="auto" w:fill="FFFFFF"/>
          <w:lang w:val="en-AU"/>
        </w:rPr>
      </w:pPr>
      <w:r>
        <w:rPr>
          <w:rFonts w:cstheme="majorHAnsi"/>
          <w:color w:val="0B0C0C"/>
          <w:szCs w:val="29"/>
          <w:shd w:val="clear" w:color="auto" w:fill="FFFFFF"/>
          <w:lang w:val="en-AU"/>
        </w:rPr>
        <w:t>Responses to seventeen questions raised by FFS;</w:t>
      </w:r>
    </w:p>
    <w:p w:rsidR="004E0EC6" w:rsidP="00D12065">
      <w:pPr>
        <w:pStyle w:val="ListParagraph"/>
        <w:numPr>
          <w:ilvl w:val="0"/>
          <w:numId w:val="1"/>
        </w:numPr>
        <w:ind w:left="709" w:hanging="283"/>
        <w:rPr>
          <w:rFonts w:cstheme="majorHAnsi"/>
          <w:color w:val="0B0C0C"/>
          <w:szCs w:val="29"/>
          <w:shd w:val="clear" w:color="auto" w:fill="FFFFFF"/>
          <w:lang w:val="en-AU"/>
        </w:rPr>
      </w:pPr>
      <w:r>
        <w:rPr>
          <w:rFonts w:cstheme="majorHAnsi"/>
          <w:color w:val="0B0C0C"/>
          <w:szCs w:val="29"/>
          <w:shd w:val="clear" w:color="auto" w:fill="FFFFFF"/>
          <w:lang w:val="en-AU"/>
        </w:rPr>
        <w:t>Wider implications to government and existential risks and opportunities;</w:t>
      </w:r>
    </w:p>
    <w:p w:rsidR="00D20C64" w:rsidRPr="00D20C64" w:rsidP="00D12065">
      <w:pPr>
        <w:pStyle w:val="ListParagraph"/>
        <w:numPr>
          <w:ilvl w:val="0"/>
          <w:numId w:val="1"/>
        </w:numPr>
        <w:spacing w:after="120"/>
        <w:ind w:left="709" w:hanging="283"/>
      </w:pPr>
      <w:r>
        <w:rPr>
          <w:rFonts w:cstheme="majorHAnsi"/>
          <w:color w:val="0B0C0C"/>
          <w:szCs w:val="29"/>
          <w:shd w:val="clear" w:color="auto" w:fill="FFFFFF"/>
          <w:lang w:val="en-AU"/>
        </w:rPr>
        <w:t>Appendices:</w:t>
      </w:r>
    </w:p>
    <w:p w:rsidR="00740C0B" w:rsidP="00740C0B">
      <w:pPr>
        <w:pStyle w:val="ListParagraph"/>
        <w:numPr>
          <w:ilvl w:val="1"/>
          <w:numId w:val="1"/>
        </w:numPr>
        <w:spacing w:after="120"/>
        <w:ind w:left="1560" w:hanging="426"/>
      </w:pPr>
      <w:r>
        <w:t>‘</w:t>
      </w:r>
      <w:r w:rsidRPr="00CA02FB">
        <w:t>Without a stable unit of value a CBDC becomes flawed</w:t>
      </w:r>
      <w:r>
        <w:t>’ – 12</w:t>
      </w:r>
      <w:r w:rsidRPr="00D20C64">
        <w:rPr>
          <w:vertAlign w:val="superscript"/>
        </w:rPr>
        <w:t>th</w:t>
      </w:r>
      <w:r>
        <w:t xml:space="preserve"> June 2020 Response by Dr Shann Turnbull to Bank of England’s Discussion Paper on “Central Bank Digital Currencies Opportunities, challenges and design”.</w:t>
      </w:r>
    </w:p>
    <w:p w:rsidR="000116A9" w:rsidP="00D20C64">
      <w:pPr>
        <w:pStyle w:val="ListParagraph"/>
        <w:numPr>
          <w:ilvl w:val="1"/>
          <w:numId w:val="1"/>
        </w:numPr>
        <w:spacing w:after="120"/>
      </w:pPr>
      <w:r>
        <w:rPr>
          <w:rFonts w:cstheme="majorHAnsi"/>
          <w:color w:val="0B0C0C"/>
          <w:szCs w:val="29"/>
          <w:shd w:val="clear" w:color="auto" w:fill="FFFFFF"/>
          <w:lang w:val="en-AU"/>
        </w:rPr>
        <w:t xml:space="preserve">Three </w:t>
      </w:r>
      <w:r w:rsidRPr="000116A9">
        <w:rPr>
          <w:rFonts w:cstheme="majorHAnsi"/>
          <w:color w:val="0B0C0C"/>
          <w:szCs w:val="29"/>
          <w:shd w:val="clear" w:color="auto" w:fill="FFFFFF"/>
          <w:lang w:val="en-AU"/>
        </w:rPr>
        <w:t xml:space="preserve">submission </w:t>
      </w:r>
      <w:r>
        <w:rPr>
          <w:rFonts w:cstheme="majorHAnsi"/>
          <w:color w:val="0B0C0C"/>
          <w:szCs w:val="29"/>
          <w:shd w:val="clear" w:color="auto" w:fill="FFFFFF"/>
          <w:lang w:val="en-AU"/>
        </w:rPr>
        <w:t xml:space="preserve">by Dr Shann Turnbull </w:t>
      </w:r>
      <w:r w:rsidRPr="000116A9">
        <w:rPr>
          <w:rFonts w:cstheme="majorHAnsi"/>
          <w:color w:val="0B0C0C"/>
          <w:szCs w:val="29"/>
          <w:shd w:val="clear" w:color="auto" w:fill="FFFFFF"/>
          <w:lang w:val="en-AU"/>
        </w:rPr>
        <w:t xml:space="preserve">to the Australian </w:t>
      </w:r>
      <w:r w:rsidRPr="0040781D">
        <w:t xml:space="preserve">Royal Commission into misconduct in the Banking, Superannuation and Financial Service Industry </w:t>
      </w:r>
      <w:r>
        <w:t>lead by Commissioner Kenneth Hayne Q.C.</w:t>
      </w:r>
    </w:p>
    <w:p w:rsidR="000116A9" w:rsidP="006A725B">
      <w:pPr>
        <w:pStyle w:val="ListParagraph"/>
        <w:numPr>
          <w:ilvl w:val="0"/>
          <w:numId w:val="8"/>
        </w:numPr>
        <w:spacing w:after="120"/>
        <w:ind w:left="1843" w:hanging="425"/>
      </w:pPr>
      <w:r w:rsidRPr="0040781D">
        <w:t>“Regulators poisoning corporate culture and performance”, 28 May 2018, reference number PWF.0001.0001.7989.</w:t>
      </w:r>
    </w:p>
    <w:p w:rsidR="000116A9" w:rsidP="006A725B">
      <w:pPr>
        <w:pStyle w:val="ListParagraph"/>
        <w:numPr>
          <w:ilvl w:val="0"/>
          <w:numId w:val="8"/>
        </w:numPr>
        <w:spacing w:after="120"/>
        <w:ind w:left="1843" w:hanging="425"/>
      </w:pPr>
      <w:r w:rsidRPr="0040781D">
        <w:t>“Causes and solutions for misconduct in the financial services industry”, 21 September 2018 reference number POL.0001.2000.0003.</w:t>
      </w:r>
    </w:p>
    <w:p w:rsidR="00D20C64" w:rsidP="006A725B">
      <w:pPr>
        <w:pStyle w:val="ListParagraph"/>
        <w:numPr>
          <w:ilvl w:val="0"/>
          <w:numId w:val="8"/>
        </w:numPr>
        <w:spacing w:after="120"/>
        <w:ind w:left="1843" w:hanging="425"/>
      </w:pPr>
      <w:r w:rsidRPr="0040781D">
        <w:t>“Regulating Financial Misconduct: Should the existing law be administered</w:t>
      </w:r>
      <w:r>
        <w:t>,</w:t>
      </w:r>
      <w:r w:rsidRPr="0040781D">
        <w:t xml:space="preserve"> or enforced differently?” October 26, </w:t>
      </w:r>
      <w:r>
        <w:t xml:space="preserve">2018, </w:t>
      </w:r>
      <w:r w:rsidRPr="0040781D">
        <w:t>reference number:</w:t>
      </w:r>
      <w:r w:rsidRPr="00EF4903">
        <w:rPr>
          <w:color w:val="000000"/>
        </w:rPr>
        <w:t xml:space="preserve"> </w:t>
      </w:r>
      <w:r w:rsidRPr="00EF4903">
        <w:rPr>
          <w:color w:val="000000"/>
          <w:szCs w:val="19"/>
        </w:rPr>
        <w:t>POL.1000.0001.0917,</w:t>
      </w:r>
      <w:r w:rsidRPr="00EF4903">
        <w:rPr>
          <w:color w:val="000000"/>
        </w:rPr>
        <w:t> </w:t>
      </w:r>
      <w:r>
        <w:fldChar w:fldCharType="begin"/>
      </w:r>
      <w:r>
        <w:instrText xml:space="preserve"> HYPERLINK "https://financialservices.royalcommission.gov.au/Submissions/Documents/interim-report-submissions/POL.9100.0001.0917.pdf" </w:instrText>
      </w:r>
      <w:r>
        <w:fldChar w:fldCharType="separate"/>
      </w:r>
      <w:r w:rsidRPr="00EF4903">
        <w:rPr>
          <w:rStyle w:val="Hyperlink"/>
          <w:szCs w:val="19"/>
        </w:rPr>
        <w:t>https://financialservices.royalcommission.gov.au/Submissions/Documents/interim-report-submissions/POL.9100.0001.0917.pdf</w:t>
      </w:r>
      <w:r>
        <w:fldChar w:fldCharType="end"/>
      </w:r>
    </w:p>
    <w:p w:rsidR="00D20C64" w:rsidP="006A725B">
      <w:pPr>
        <w:pStyle w:val="ListParagraph"/>
        <w:numPr>
          <w:ilvl w:val="1"/>
          <w:numId w:val="1"/>
        </w:numPr>
        <w:spacing w:after="120"/>
        <w:ind w:left="1560" w:hanging="426"/>
      </w:pPr>
      <w:r>
        <w:rPr>
          <w:rFonts w:cs="Helvetica Neue"/>
          <w:color w:val="000000"/>
        </w:rPr>
        <w:t xml:space="preserve">Turnbull, S. 2020, </w:t>
      </w:r>
      <w:r w:rsidRPr="00436252">
        <w:rPr>
          <w:rFonts w:cs="Helvetica Neue"/>
          <w:color w:val="000000"/>
        </w:rPr>
        <w:t xml:space="preserve">‘Who will build a new business by saving the planet?’ </w:t>
      </w:r>
      <w:r w:rsidRPr="00436252">
        <w:rPr>
          <w:rFonts w:cs="Helvetica Neue"/>
          <w:i/>
          <w:color w:val="000000"/>
        </w:rPr>
        <w:t>The European Financial Review</w:t>
      </w:r>
      <w:r w:rsidRPr="00436252">
        <w:rPr>
          <w:rFonts w:cs="Helvetica Neue"/>
          <w:color w:val="000000"/>
        </w:rPr>
        <w:t>, 14 July,</w:t>
      </w:r>
      <w:r>
        <w:rPr>
          <w:rFonts w:cs="Helvetica Neue"/>
          <w:color w:val="000000"/>
        </w:rPr>
        <w:t xml:space="preserve"> </w:t>
      </w:r>
      <w:r>
        <w:fldChar w:fldCharType="begin"/>
      </w:r>
      <w:r>
        <w:instrText xml:space="preserve"> HYPERLINK "https://www.europeanfinancialreview.com/who-will-build-a-new-business-by-saving-the-planet/" </w:instrText>
      </w:r>
      <w:r>
        <w:fldChar w:fldCharType="separate"/>
      </w:r>
      <w:r>
        <w:rPr>
          <w:rStyle w:val="Hyperlink"/>
        </w:rPr>
        <w:t>https://www.europeanfinancialreview.com/who-will-build-a-new-business-by-saving-the-planet/</w:t>
      </w:r>
      <w:r>
        <w:fldChar w:fldCharType="end"/>
      </w:r>
    </w:p>
    <w:p w:rsidR="00D20C64" w:rsidP="006A725B">
      <w:pPr>
        <w:pStyle w:val="ListParagraph"/>
        <w:numPr>
          <w:ilvl w:val="1"/>
          <w:numId w:val="1"/>
        </w:numPr>
        <w:spacing w:after="120"/>
        <w:ind w:left="1560" w:hanging="426"/>
      </w:pPr>
      <w:r>
        <w:t>Abstracts of three Turnbull videos on countering climate change hosted by:</w:t>
      </w:r>
    </w:p>
    <w:p w:rsidR="00D20C64" w:rsidP="006A725B">
      <w:pPr>
        <w:pStyle w:val="ListParagraph"/>
        <w:numPr>
          <w:ilvl w:val="1"/>
          <w:numId w:val="11"/>
        </w:numPr>
        <w:spacing w:after="120"/>
        <w:ind w:left="1985" w:hanging="567"/>
        <w:jc w:val="both"/>
      </w:pPr>
      <w:r>
        <w:t xml:space="preserve"> American Society of Cybernetics;</w:t>
      </w:r>
    </w:p>
    <w:p w:rsidR="00D20C64" w:rsidP="006A725B">
      <w:pPr>
        <w:pStyle w:val="ListParagraph"/>
        <w:numPr>
          <w:ilvl w:val="1"/>
          <w:numId w:val="11"/>
        </w:numPr>
        <w:spacing w:after="120"/>
        <w:ind w:left="1985" w:hanging="567"/>
        <w:jc w:val="both"/>
      </w:pPr>
      <w:r>
        <w:t>World Organisation for Systems and Cybernetics;</w:t>
      </w:r>
    </w:p>
    <w:p w:rsidR="00D20C64" w:rsidP="006A725B">
      <w:pPr>
        <w:pStyle w:val="ListParagraph"/>
        <w:numPr>
          <w:ilvl w:val="1"/>
          <w:numId w:val="11"/>
        </w:numPr>
        <w:spacing w:after="120"/>
        <w:ind w:left="1985" w:hanging="567"/>
        <w:jc w:val="both"/>
      </w:pPr>
      <w:r>
        <w:t>Global Research Foundation for Corporate Governance.</w:t>
      </w:r>
    </w:p>
    <w:p w:rsidR="003C5F12" w:rsidP="00436252">
      <w:pPr>
        <w:pStyle w:val="ListParagraph"/>
        <w:spacing w:after="120"/>
        <w:ind w:left="1440"/>
      </w:pPr>
    </w:p>
    <w:p w:rsidR="003C5F12" w:rsidRPr="003C5F12" w:rsidP="00AE365C">
      <w:pPr>
        <w:pStyle w:val="ListParagraph"/>
        <w:numPr>
          <w:ilvl w:val="0"/>
          <w:numId w:val="5"/>
        </w:numPr>
        <w:ind w:left="0" w:firstLine="0"/>
        <w:rPr>
          <w:rFonts w:cstheme="majorHAnsi"/>
          <w:b/>
          <w:color w:val="0B0C0C"/>
          <w:szCs w:val="29"/>
          <w:shd w:val="clear" w:color="auto" w:fill="FFFFFF"/>
          <w:lang w:val="en-AU"/>
        </w:rPr>
      </w:pPr>
      <w:r w:rsidRPr="003C5F12">
        <w:rPr>
          <w:rFonts w:cstheme="majorHAnsi"/>
          <w:b/>
          <w:color w:val="0B0C0C"/>
          <w:szCs w:val="29"/>
          <w:shd w:val="clear" w:color="auto" w:fill="FFFFFF"/>
          <w:lang w:val="en-AU"/>
        </w:rPr>
        <w:t>Overview of why financial services and reg</w:t>
      </w:r>
      <w:r>
        <w:rPr>
          <w:rFonts w:cstheme="majorHAnsi"/>
          <w:b/>
          <w:color w:val="0B0C0C"/>
          <w:szCs w:val="29"/>
          <w:shd w:val="clear" w:color="auto" w:fill="FFFFFF"/>
          <w:lang w:val="en-AU"/>
        </w:rPr>
        <w:t>ulation are not fit for purpose</w:t>
      </w:r>
      <w:r w:rsidRPr="003C5F12">
        <w:rPr>
          <w:rFonts w:cstheme="majorHAnsi"/>
          <w:b/>
          <w:color w:val="0B0C0C"/>
          <w:szCs w:val="29"/>
          <w:shd w:val="clear" w:color="auto" w:fill="FFFFFF"/>
          <w:lang w:val="en-AU"/>
        </w:rPr>
        <w:t xml:space="preserve"> </w:t>
      </w:r>
    </w:p>
    <w:p w:rsidR="00547BB9" w:rsidRPr="00547BB9" w:rsidP="0057072B">
      <w:pPr>
        <w:spacing w:after="120"/>
        <w:jc w:val="both"/>
        <w:rPr>
          <w:u w:val="single"/>
        </w:rPr>
      </w:pPr>
      <w:r>
        <w:rPr>
          <w:u w:val="single"/>
        </w:rPr>
        <w:t xml:space="preserve">1.1 </w:t>
      </w:r>
      <w:r w:rsidRPr="00547BB9">
        <w:rPr>
          <w:u w:val="single"/>
        </w:rPr>
        <w:t>Economic value not defined.</w:t>
      </w:r>
    </w:p>
    <w:p w:rsidR="0057072B" w:rsidP="0057072B">
      <w:pPr>
        <w:spacing w:after="120"/>
        <w:jc w:val="both"/>
      </w:pPr>
      <w:r>
        <w:t>The most fundamental reason financial services are not fit for purpose is because economic value is not defined.  This creates systemic instability, uncertainty while exacerbating climate change from what Lord Stern described as the “greatest market failure the world has ever seen”</w:t>
      </w:r>
      <w:r>
        <w:rPr>
          <w:rStyle w:val="FootnoteReference"/>
        </w:rPr>
        <w:footnoteReference w:id="6"/>
      </w:r>
      <w:r>
        <w:t>.</w:t>
      </w:r>
    </w:p>
    <w:p w:rsidR="00FE5FE7" w:rsidP="00FE5FE7">
      <w:pPr>
        <w:spacing w:after="0"/>
        <w:jc w:val="both"/>
      </w:pPr>
      <w:r>
        <w:t>Attached is the author’s submission to the Bank of England of June 12</w:t>
      </w:r>
      <w:r w:rsidRPr="00B42505">
        <w:rPr>
          <w:vertAlign w:val="superscript"/>
        </w:rPr>
        <w:t>th</w:t>
      </w:r>
      <w:r>
        <w:t>, 2020. It states:</w:t>
      </w:r>
    </w:p>
    <w:p w:rsidR="0057072B" w:rsidP="00FE5FE7">
      <w:pPr>
        <w:spacing w:after="120"/>
        <w:ind w:left="567" w:right="842"/>
        <w:jc w:val="both"/>
      </w:pPr>
      <w:r>
        <w:rPr>
          <w:szCs w:val="20"/>
          <w:lang w:val="en-AU"/>
        </w:rPr>
        <w:t>We recommend that the BoE advise the UK Parliament that its Treasury Committee be invited to consider the perceived conflicts of interest involved in the views of the Bank. In particular the Parliament be invited to consider the urgent need for the UK to provide global leadership in determining standard units of value that: 1. Counter climate change and 2. Establish financial stability</w:t>
      </w:r>
    </w:p>
    <w:p w:rsidR="00C770C4" w:rsidP="0057072B">
      <w:pPr>
        <w:spacing w:after="120"/>
        <w:jc w:val="both"/>
      </w:pPr>
      <w:r>
        <w:t xml:space="preserve">A standard unit of value, established on physical metrics such as a sustainability index, would introduce a stable currency. The Bank of England would not longer be required to undertake this role. Credit creation could be achieved on a highly decentralized basis as and where required to promote local self-sufficiency and resiliency. Local self-determination would enrich democracy. This outcome would also answer the question raised by Mervyn King in 1999 when he was </w:t>
      </w:r>
      <w:r>
        <w:rPr>
          <w:color w:val="000000"/>
          <w:szCs w:val="19"/>
        </w:rPr>
        <w:t xml:space="preserve">Deputy of Governor of the Bank of England. His question was, </w:t>
      </w:r>
      <w:r w:rsidRPr="00B35FC0">
        <w:rPr>
          <w:szCs w:val="20"/>
          <w:lang w:val="en-AU"/>
        </w:rPr>
        <w:t>“Will future historians look back on central banks as a phenomenon</w:t>
      </w:r>
      <w:r>
        <w:rPr>
          <w:szCs w:val="20"/>
          <w:lang w:val="en-AU"/>
        </w:rPr>
        <w:t xml:space="preserve"> </w:t>
      </w:r>
      <w:r w:rsidRPr="00B35FC0">
        <w:rPr>
          <w:szCs w:val="20"/>
          <w:lang w:val="en-AU"/>
        </w:rPr>
        <w:t>larg</w:t>
      </w:r>
      <w:r>
        <w:rPr>
          <w:szCs w:val="20"/>
          <w:lang w:val="en-AU"/>
        </w:rPr>
        <w:t xml:space="preserve">ely of the twentieth century?” </w:t>
      </w:r>
      <w:r>
        <w:rPr>
          <w:rStyle w:val="FootnoteReference"/>
          <w:szCs w:val="20"/>
          <w:lang w:val="en-AU"/>
        </w:rPr>
        <w:footnoteReference w:id="7"/>
      </w:r>
      <w:r>
        <w:t xml:space="preserve"> </w:t>
      </w:r>
    </w:p>
    <w:p w:rsidR="00A451E4" w:rsidP="0057072B">
      <w:pPr>
        <w:spacing w:after="120"/>
        <w:jc w:val="both"/>
        <w:rPr>
          <w:color w:val="000000"/>
          <w:szCs w:val="19"/>
        </w:rPr>
      </w:pPr>
      <w:r>
        <w:t xml:space="preserve">Defining the value of money on the basis on how well each region of the planet is capable of creating a sustainable economy would introduce powerful market forces to protect and further the wellbeing of the environment and humanity. Details are presented by the author in Apendixes 1, 3 and his article, </w:t>
      </w:r>
      <w:r w:rsidRPr="00AE6EE3">
        <w:rPr>
          <w:color w:val="000000"/>
          <w:szCs w:val="19"/>
        </w:rPr>
        <w:t>‘</w:t>
      </w:r>
      <w:r>
        <w:fldChar w:fldCharType="begin"/>
      </w:r>
      <w:r>
        <w:instrText xml:space="preserve"> HYPERLINK "https://ssrn.com/abstract=3429726" </w:instrText>
      </w:r>
      <w:r>
        <w:fldChar w:fldCharType="separate"/>
      </w:r>
      <w:r w:rsidRPr="003D2239">
        <w:rPr>
          <w:rStyle w:val="Hyperlink"/>
          <w:szCs w:val="19"/>
        </w:rPr>
        <w:t>How might standard units of value be defined</w:t>
      </w:r>
      <w:r>
        <w:fldChar w:fldCharType="end"/>
      </w:r>
      <w:r w:rsidRPr="00AE6EE3">
        <w:rPr>
          <w:color w:val="000000"/>
          <w:szCs w:val="19"/>
        </w:rPr>
        <w:t>?’</w:t>
      </w:r>
      <w:r>
        <w:rPr>
          <w:rStyle w:val="FootnoteReference"/>
          <w:color w:val="000000"/>
          <w:szCs w:val="19"/>
        </w:rPr>
        <w:footnoteReference w:id="8"/>
      </w:r>
      <w:r w:rsidRPr="00AE6EE3">
        <w:rPr>
          <w:color w:val="000000"/>
          <w:szCs w:val="19"/>
        </w:rPr>
        <w:t xml:space="preserve"> </w:t>
      </w:r>
    </w:p>
    <w:p w:rsidR="00230ED2" w:rsidP="0057072B">
      <w:pPr>
        <w:spacing w:after="120"/>
        <w:jc w:val="both"/>
        <w:rPr>
          <w:szCs w:val="20"/>
          <w:lang w:val="en-AU"/>
        </w:rPr>
      </w:pPr>
      <w:r>
        <w:t xml:space="preserve">The most compelling reason to quickly establish a monetary tether is to create a resilient financial system in case of any institutional failure that is anticipated by leading commentators. Lord King states </w:t>
      </w:r>
      <w:r>
        <w:rPr>
          <w:szCs w:val="20"/>
          <w:lang w:val="en-AU"/>
        </w:rPr>
        <w:t>“another crisis is certain”</w:t>
      </w:r>
      <w:r>
        <w:rPr>
          <w:rStyle w:val="FootnoteReference"/>
          <w:szCs w:val="20"/>
          <w:lang w:val="en-AU"/>
        </w:rPr>
        <w:footnoteReference w:id="9"/>
      </w:r>
      <w:r>
        <w:rPr>
          <w:szCs w:val="20"/>
          <w:lang w:val="en-AU"/>
        </w:rPr>
        <w:t xml:space="preserve"> while Martin Wolfe asked, “Will there be another huge financial crisis?”</w:t>
      </w:r>
      <w:r>
        <w:rPr>
          <w:rStyle w:val="FootnoteReference"/>
          <w:szCs w:val="20"/>
          <w:lang w:val="en-AU"/>
        </w:rPr>
        <w:footnoteReference w:id="10"/>
      </w:r>
      <w:r>
        <w:rPr>
          <w:szCs w:val="20"/>
          <w:lang w:val="en-AU"/>
        </w:rPr>
        <w:t xml:space="preserve">. </w:t>
      </w:r>
    </w:p>
    <w:p w:rsidR="00C6296A" w:rsidRPr="00230ED2" w:rsidP="0057072B">
      <w:pPr>
        <w:spacing w:after="120"/>
        <w:jc w:val="both"/>
      </w:pPr>
      <w:r w:rsidRPr="00571F26">
        <w:rPr>
          <w:i/>
          <w:szCs w:val="20"/>
          <w:lang w:val="en-AU"/>
        </w:rPr>
        <w:t>The Economist</w:t>
      </w:r>
      <w:r>
        <w:rPr>
          <w:rStyle w:val="FootnoteReference"/>
          <w:szCs w:val="20"/>
          <w:lang w:val="en-AU"/>
        </w:rPr>
        <w:footnoteReference w:id="11"/>
      </w:r>
      <w:r>
        <w:rPr>
          <w:szCs w:val="20"/>
          <w:lang w:val="en-AU"/>
        </w:rPr>
        <w:t xml:space="preserve"> raised the need for a monetary tether when the Euro was being established. The Economist established in 1986 a “BigMac” Index to compare the relative purchasing power or official money that it still maintains</w:t>
      </w:r>
      <w:r>
        <w:rPr>
          <w:rStyle w:val="FootnoteReference"/>
          <w:szCs w:val="20"/>
          <w:lang w:val="en-AU"/>
        </w:rPr>
        <w:footnoteReference w:id="12"/>
      </w:r>
      <w:r>
        <w:rPr>
          <w:szCs w:val="20"/>
          <w:lang w:val="en-AU"/>
        </w:rPr>
        <w:t>. The Governor of the Bank of England, Mark Carney, also raised the matter of a tether in 2019</w:t>
      </w:r>
      <w:r>
        <w:rPr>
          <w:rStyle w:val="FootnoteReference"/>
          <w:szCs w:val="20"/>
          <w:lang w:val="en-AU"/>
        </w:rPr>
        <w:footnoteReference w:id="13"/>
      </w:r>
      <w:r>
        <w:rPr>
          <w:szCs w:val="20"/>
          <w:lang w:val="en-AU"/>
        </w:rPr>
        <w:t xml:space="preserve"> to make official money more attractive than </w:t>
      </w:r>
      <w:r w:rsidRPr="00C42C7A">
        <w:rPr>
          <w:szCs w:val="20"/>
          <w:u w:val="single"/>
          <w:lang w:val="en-AU"/>
        </w:rPr>
        <w:t>other</w:t>
      </w:r>
      <w:r>
        <w:rPr>
          <w:szCs w:val="20"/>
          <w:lang w:val="en-AU"/>
        </w:rPr>
        <w:t xml:space="preserve"> virtual currencies. </w:t>
      </w:r>
    </w:p>
    <w:p w:rsidR="00873715" w:rsidP="0057072B">
      <w:pPr>
        <w:spacing w:after="120"/>
        <w:jc w:val="both"/>
        <w:rPr>
          <w:szCs w:val="20"/>
          <w:lang w:val="en-AU"/>
        </w:rPr>
      </w:pPr>
      <w:r>
        <w:rPr>
          <w:szCs w:val="20"/>
          <w:lang w:val="en-AU"/>
        </w:rPr>
        <w:t>Ideally it is the International Accounting Standards Board (IASB) or like body that should define how economic value is defined. In 2014, the IASB chairman informed the author that this task was too hard for them to undertake</w:t>
      </w:r>
      <w:r>
        <w:rPr>
          <w:rStyle w:val="FootnoteReference"/>
          <w:szCs w:val="20"/>
          <w:lang w:val="en-AU"/>
        </w:rPr>
        <w:footnoteReference w:id="14"/>
      </w:r>
      <w:r>
        <w:rPr>
          <w:szCs w:val="20"/>
          <w:lang w:val="en-AU"/>
        </w:rPr>
        <w:t>. Since that time technology and the Internet of Things have greatly simplified the task as set out in Appendix 1, 3 and footnote 7.</w:t>
      </w:r>
    </w:p>
    <w:p w:rsidR="005F34CF" w:rsidP="0057072B">
      <w:pPr>
        <w:spacing w:after="120"/>
        <w:jc w:val="both"/>
        <w:rPr>
          <w:szCs w:val="20"/>
          <w:lang w:val="en-AU"/>
        </w:rPr>
      </w:pPr>
      <w:r>
        <w:rPr>
          <w:szCs w:val="20"/>
          <w:lang w:val="en-AU"/>
        </w:rPr>
        <w:t>The UK has the opportunity to provide global leadership in creating markets to counter climate change while at the same time underwrite financial stability. It is recommended that the Treasury Committee act in this regard to protect its citizens and provide a role model for the world.</w:t>
      </w:r>
    </w:p>
    <w:p w:rsidR="00560989" w:rsidRPr="000706B8" w:rsidP="0057072B">
      <w:pPr>
        <w:spacing w:after="120"/>
        <w:jc w:val="both"/>
        <w:rPr>
          <w:szCs w:val="20"/>
          <w:u w:val="single"/>
          <w:lang w:val="en-AU"/>
        </w:rPr>
      </w:pPr>
      <w:r w:rsidRPr="000706B8">
        <w:rPr>
          <w:szCs w:val="20"/>
          <w:u w:val="single"/>
          <w:lang w:val="en-AU"/>
        </w:rPr>
        <w:t xml:space="preserve">1.2 The role of </w:t>
      </w:r>
      <w:r>
        <w:rPr>
          <w:szCs w:val="20"/>
          <w:u w:val="single"/>
          <w:lang w:val="en-AU"/>
        </w:rPr>
        <w:t xml:space="preserve">digital </w:t>
      </w:r>
      <w:r w:rsidRPr="000706B8">
        <w:rPr>
          <w:szCs w:val="20"/>
          <w:u w:val="single"/>
          <w:lang w:val="en-AU"/>
        </w:rPr>
        <w:t>money is too complicate</w:t>
      </w:r>
      <w:r>
        <w:rPr>
          <w:szCs w:val="20"/>
          <w:u w:val="single"/>
          <w:lang w:val="en-AU"/>
        </w:rPr>
        <w:t>d</w:t>
      </w:r>
      <w:r w:rsidRPr="000706B8">
        <w:rPr>
          <w:szCs w:val="20"/>
          <w:u w:val="single"/>
          <w:lang w:val="en-AU"/>
        </w:rPr>
        <w:t>.</w:t>
      </w:r>
    </w:p>
    <w:p w:rsidR="001831FE" w:rsidP="0057072B">
      <w:pPr>
        <w:spacing w:after="120"/>
        <w:jc w:val="both"/>
        <w:rPr>
          <w:szCs w:val="20"/>
          <w:lang w:val="en-AU"/>
        </w:rPr>
      </w:pPr>
      <w:r>
        <w:rPr>
          <w:szCs w:val="20"/>
          <w:lang w:val="en-AU"/>
        </w:rPr>
        <w:t>Money should only carry out the role of being a medium of exchange as proposed by Keynes</w:t>
      </w:r>
      <w:r>
        <w:rPr>
          <w:rStyle w:val="FootnoteReference"/>
          <w:szCs w:val="20"/>
          <w:lang w:val="en-AU"/>
        </w:rPr>
        <w:footnoteReference w:id="15"/>
      </w:r>
      <w:r>
        <w:rPr>
          <w:szCs w:val="20"/>
          <w:lang w:val="en-AU"/>
        </w:rPr>
        <w:t xml:space="preserve">. Instead, modern official attempts to provide other complicating roles of being store of value and a unit of account. A monetary tether would remove money from being a reference unit of value. Self-liquidating money, as privately issued in the Great Depression, described as “Stamp </w:t>
      </w:r>
      <w:r>
        <w:rPr>
          <w:szCs w:val="20"/>
          <w:lang w:val="en-AU"/>
        </w:rPr>
        <w:t>Scrip”,</w:t>
      </w:r>
      <w:r>
        <w:rPr>
          <w:rStyle w:val="FootnoteReference"/>
          <w:szCs w:val="20"/>
          <w:lang w:val="en-AU"/>
        </w:rPr>
        <w:footnoteReference w:id="16"/>
      </w:r>
      <w:r>
        <w:rPr>
          <w:szCs w:val="20"/>
          <w:lang w:val="en-AU"/>
        </w:rPr>
        <w:t xml:space="preserve"> would remove money being a store of value creating financial asset bubbles. It would also reduce inequality by removing the ability of the rich to get richer from unearned interest income.</w:t>
      </w:r>
    </w:p>
    <w:p w:rsidR="001831FE" w:rsidP="0057072B">
      <w:pPr>
        <w:spacing w:after="120"/>
        <w:jc w:val="both"/>
        <w:rPr>
          <w:szCs w:val="20"/>
          <w:lang w:val="en-AU"/>
        </w:rPr>
      </w:pPr>
      <w:r>
        <w:rPr>
          <w:szCs w:val="20"/>
          <w:lang w:val="en-AU"/>
        </w:rPr>
        <w:t>Digital technology makes it practical for re-induce self-liquidating money. Its negative interest cost can be used to redeem the money issued to remove excessive or inflationary concerns. This allows its creation to become highly decentralised to democratise both money creation and banking</w:t>
      </w:r>
      <w:r>
        <w:rPr>
          <w:rStyle w:val="FootnoteReference"/>
          <w:szCs w:val="20"/>
          <w:lang w:val="en-AU"/>
        </w:rPr>
        <w:footnoteReference w:id="17"/>
      </w:r>
      <w:r>
        <w:rPr>
          <w:szCs w:val="20"/>
          <w:lang w:val="en-AU"/>
        </w:rPr>
        <w:t>. A crucial benefit of self-liquidating money is that it can be used as a “financial lifeboat” in the event of another huge financial crash</w:t>
      </w:r>
      <w:r>
        <w:rPr>
          <w:rStyle w:val="FootnoteReference"/>
          <w:szCs w:val="20"/>
          <w:lang w:val="en-AU"/>
        </w:rPr>
        <w:footnoteReference w:id="18"/>
      </w:r>
      <w:r>
        <w:rPr>
          <w:szCs w:val="20"/>
          <w:lang w:val="en-AU"/>
        </w:rPr>
        <w:t>.</w:t>
      </w:r>
    </w:p>
    <w:p w:rsidR="00F81FB2" w:rsidP="0057072B">
      <w:pPr>
        <w:spacing w:after="120"/>
        <w:jc w:val="both"/>
        <w:rPr>
          <w:color w:val="000000" w:themeColor="text1"/>
          <w:szCs w:val="20"/>
        </w:rPr>
      </w:pPr>
      <w:r>
        <w:rPr>
          <w:szCs w:val="20"/>
          <w:lang w:val="en-AU"/>
        </w:rPr>
        <w:t>Privately issued negative interest rate money has again been circulating in Germany since 2003</w:t>
      </w:r>
      <w:r>
        <w:rPr>
          <w:rStyle w:val="FootnoteReference"/>
          <w:szCs w:val="20"/>
          <w:lang w:val="en-AU"/>
        </w:rPr>
        <w:footnoteReference w:id="19"/>
      </w:r>
      <w:r>
        <w:rPr>
          <w:szCs w:val="20"/>
          <w:lang w:val="en-AU"/>
        </w:rPr>
        <w:t>. It is recommended that the UK Parliament authorise trials for its issue in the UK as soon as possible to rebuild its infected economy as described in attachment 4, ‘</w:t>
      </w:r>
      <w:r w:rsidRPr="00436252">
        <w:rPr>
          <w:color w:val="000000" w:themeColor="text1"/>
          <w:szCs w:val="20"/>
        </w:rPr>
        <w:t>Curing infected econ</w:t>
      </w:r>
      <w:r>
        <w:rPr>
          <w:color w:val="000000" w:themeColor="text1"/>
          <w:szCs w:val="20"/>
        </w:rPr>
        <w:t>omies with self-financing money’</w:t>
      </w:r>
    </w:p>
    <w:p w:rsidR="00051AA8" w:rsidRPr="008C3DF7" w:rsidP="008C3DF7">
      <w:pPr>
        <w:pStyle w:val="ListParagraph"/>
        <w:numPr>
          <w:ilvl w:val="0"/>
          <w:numId w:val="5"/>
        </w:numPr>
        <w:spacing w:after="240"/>
        <w:ind w:left="0" w:firstLine="0"/>
        <w:jc w:val="both"/>
        <w:rPr>
          <w:rFonts w:cstheme="majorHAnsi"/>
          <w:b/>
          <w:color w:val="0B0C0C"/>
          <w:szCs w:val="29"/>
          <w:shd w:val="clear" w:color="auto" w:fill="FFFFFF"/>
          <w:lang w:val="en-AU"/>
        </w:rPr>
      </w:pPr>
      <w:r w:rsidRPr="00DD44DD">
        <w:rPr>
          <w:rFonts w:cstheme="majorHAnsi"/>
          <w:b/>
          <w:color w:val="0B0C0C"/>
          <w:szCs w:val="29"/>
          <w:shd w:val="clear" w:color="auto" w:fill="FFFFFF"/>
          <w:lang w:val="en-AU"/>
        </w:rPr>
        <w:t>Privatising regulation to enrich democracy</w:t>
      </w:r>
    </w:p>
    <w:p w:rsidR="008C3DF7" w:rsidRPr="008C3DF7" w:rsidP="008C3DF7">
      <w:pPr>
        <w:ind w:right="142"/>
        <w:rPr>
          <w:rFonts w:cstheme="majorHAnsi"/>
          <w:bCs/>
          <w:sz w:val="28"/>
          <w:szCs w:val="28"/>
        </w:rPr>
      </w:pPr>
      <w:r>
        <w:rPr>
          <w:rFonts w:cstheme="majorHAnsi"/>
          <w:bCs/>
          <w:szCs w:val="28"/>
          <w:u w:val="single"/>
        </w:rPr>
        <w:t xml:space="preserve">2.1 </w:t>
      </w:r>
      <w:r w:rsidRPr="008C3DF7">
        <w:rPr>
          <w:rFonts w:cstheme="majorHAnsi"/>
          <w:bCs/>
          <w:szCs w:val="28"/>
          <w:u w:val="single"/>
        </w:rPr>
        <w:t>Summar</w:t>
      </w:r>
      <w:r w:rsidRPr="008C3DF7">
        <w:rPr>
          <w:rFonts w:cstheme="majorHAnsi"/>
          <w:bCs/>
          <w:szCs w:val="28"/>
        </w:rPr>
        <w:t>y</w:t>
      </w:r>
      <w:r w:rsidRPr="008C3DF7">
        <w:rPr>
          <w:rFonts w:cstheme="majorHAnsi"/>
          <w:bCs/>
          <w:sz w:val="28"/>
          <w:szCs w:val="28"/>
        </w:rPr>
        <w:t xml:space="preserve"> </w:t>
      </w:r>
    </w:p>
    <w:p w:rsidR="008C3DF7" w:rsidRPr="008C3DF7" w:rsidP="008C3DF7">
      <w:pPr>
        <w:pStyle w:val="ListParagraph"/>
        <w:ind w:left="0" w:right="142"/>
        <w:rPr>
          <w:rFonts w:cstheme="majorHAnsi"/>
          <w:bCs/>
          <w:sz w:val="28"/>
          <w:szCs w:val="28"/>
        </w:rPr>
      </w:pPr>
      <w:r w:rsidRPr="008C3DF7">
        <w:rPr>
          <w:rFonts w:cstheme="majorHAnsi"/>
        </w:rPr>
        <w:t>Complexity can only be cont</w:t>
      </w:r>
      <w:r>
        <w:rPr>
          <w:rFonts w:cstheme="majorHAnsi"/>
        </w:rPr>
        <w:t>rolled with matching complexity.</w:t>
      </w:r>
      <w:r>
        <w:rPr>
          <w:rStyle w:val="FootnoteReference"/>
          <w:rFonts w:cstheme="majorHAnsi"/>
        </w:rPr>
        <w:footnoteReference w:id="20"/>
      </w:r>
      <w:r>
        <w:rPr>
          <w:rFonts w:cstheme="majorHAnsi"/>
        </w:rPr>
        <w:t xml:space="preserve"> This</w:t>
      </w:r>
      <w:r w:rsidRPr="008C3DF7">
        <w:rPr>
          <w:rFonts w:cstheme="majorHAnsi"/>
        </w:rPr>
        <w:t xml:space="preserve"> is why current models of regulation for the financial services sector are not fit for purpose. Systemic issues with the governance of regulatory bodies have led to intrusive, expensive, unreliable top-down regulation. The introduction of polycentric self-governance, found in sporting organisations from local to global levels, indicates how businesses could engage with their stakeholders to become more self-regulating and self-governing. If the UK Government were to develop this approach the UK would become a role model for the world.</w:t>
      </w:r>
    </w:p>
    <w:p w:rsidR="008C3DF7" w:rsidRPr="008C3DF7" w:rsidP="008C3DF7">
      <w:pPr>
        <w:ind w:right="142"/>
        <w:rPr>
          <w:rFonts w:cstheme="majorHAnsi"/>
          <w:bCs/>
          <w:szCs w:val="28"/>
          <w:u w:val="single"/>
        </w:rPr>
      </w:pPr>
      <w:r>
        <w:rPr>
          <w:rFonts w:cstheme="majorHAnsi"/>
          <w:bCs/>
          <w:szCs w:val="28"/>
          <w:u w:val="single"/>
        </w:rPr>
        <w:t xml:space="preserve">2.2 </w:t>
      </w:r>
      <w:r w:rsidRPr="008C3DF7">
        <w:rPr>
          <w:rFonts w:cstheme="majorHAnsi"/>
          <w:bCs/>
          <w:szCs w:val="28"/>
          <w:u w:val="single"/>
        </w:rPr>
        <w:t>Introduction</w:t>
      </w:r>
    </w:p>
    <w:p w:rsidR="008C3DF7" w:rsidRPr="004B7E2C" w:rsidP="008C3DF7">
      <w:pPr>
        <w:ind w:right="142"/>
        <w:jc w:val="both"/>
        <w:rPr>
          <w:rFonts w:cstheme="majorHAnsi"/>
        </w:rPr>
      </w:pPr>
      <w:r>
        <w:rPr>
          <w:rFonts w:cstheme="majorHAnsi"/>
        </w:rPr>
        <w:t xml:space="preserve">Because of Brexit both the UK Treasury Officials who control the regulation of financial services, and the UK Parliamentary Treasury Committee that has oversight of the Treasury have invited the public to make submissions on </w:t>
      </w:r>
      <w:r w:rsidRPr="00C34A8D">
        <w:rPr>
          <w:rFonts w:cstheme="majorHAnsi"/>
        </w:rPr>
        <w:t>the “</w:t>
      </w:r>
      <w:r w:rsidRPr="00C34A8D">
        <w:t>Future Regulatory Framework</w:t>
      </w:r>
      <w:r w:rsidRPr="00C34A8D">
        <w:rPr>
          <w:rFonts w:cstheme="majorHAnsi"/>
        </w:rPr>
        <w:t>”</w:t>
      </w:r>
      <w:r>
        <w:rPr>
          <w:rStyle w:val="FootnoteReference"/>
          <w:rFonts w:cstheme="majorHAnsi"/>
        </w:rPr>
        <w:footnoteReference w:id="21"/>
      </w:r>
      <w:r w:rsidRPr="00C34A8D">
        <w:rPr>
          <w:rFonts w:cstheme="majorHAnsi"/>
        </w:rPr>
        <w:t xml:space="preserve">.  </w:t>
      </w:r>
    </w:p>
    <w:p w:rsidR="008C3DF7" w:rsidP="00FF6EA8">
      <w:pPr>
        <w:spacing w:after="120"/>
        <w:ind w:right="142"/>
        <w:jc w:val="both"/>
        <w:rPr>
          <w:rFonts w:cstheme="majorHAnsi"/>
          <w:color w:val="0B0C0C"/>
          <w:szCs w:val="29"/>
          <w:shd w:val="clear" w:color="auto" w:fill="FFFFFF"/>
          <w:lang w:val="en-AU"/>
        </w:rPr>
      </w:pPr>
      <w:r w:rsidRPr="00C34A8D">
        <w:rPr>
          <w:rFonts w:cstheme="majorHAnsi"/>
        </w:rPr>
        <w:t xml:space="preserve">A key </w:t>
      </w:r>
      <w:r>
        <w:rPr>
          <w:rFonts w:cstheme="majorHAnsi"/>
        </w:rPr>
        <w:t xml:space="preserve">stated </w:t>
      </w:r>
      <w:r w:rsidRPr="00C34A8D">
        <w:rPr>
          <w:rFonts w:cstheme="majorHAnsi"/>
        </w:rPr>
        <w:t xml:space="preserve">aim of the government is to seek </w:t>
      </w:r>
      <w:r w:rsidRPr="00C34A8D">
        <w:rPr>
          <w:rFonts w:cstheme="majorHAnsi"/>
          <w:color w:val="0B0C0C"/>
          <w:szCs w:val="29"/>
          <w:shd w:val="clear" w:color="auto" w:fill="FFFFFF"/>
          <w:lang w:val="en-AU"/>
        </w:rPr>
        <w:t>“</w:t>
      </w:r>
      <w:r w:rsidRPr="00C34A8D">
        <w:rPr>
          <w:rFonts w:cstheme="majorHAnsi"/>
          <w:i/>
          <w:iCs/>
          <w:color w:val="0B0C0C"/>
          <w:szCs w:val="29"/>
          <w:shd w:val="clear" w:color="auto" w:fill="FFFFFF"/>
          <w:lang w:val="en-AU"/>
        </w:rPr>
        <w:t>appropriate democratic policy input to support a stable, innovative and world-leading FS sector</w:t>
      </w:r>
      <w:r w:rsidRPr="00C34A8D">
        <w:rPr>
          <w:rFonts w:cstheme="majorHAnsi"/>
          <w:color w:val="0B0C0C"/>
          <w:szCs w:val="29"/>
          <w:shd w:val="clear" w:color="auto" w:fill="FFFFFF"/>
          <w:lang w:val="en-AU"/>
        </w:rPr>
        <w:t>”. To meet this objective requires the wholesale creation of democratically controlled organisations with one vote p</w:t>
      </w:r>
      <w:r>
        <w:rPr>
          <w:rFonts w:cstheme="majorHAnsi"/>
          <w:color w:val="0B0C0C"/>
          <w:szCs w:val="29"/>
          <w:shd w:val="clear" w:color="auto" w:fill="FFFFFF"/>
          <w:lang w:val="en-AU"/>
        </w:rPr>
        <w:t xml:space="preserve">er stakeholder. </w:t>
      </w:r>
      <w:r>
        <w:rPr>
          <w:rFonts w:cstheme="majorHAnsi"/>
          <w:color w:val="0B0C0C"/>
          <w:szCs w:val="29"/>
          <w:shd w:val="clear" w:color="auto" w:fill="FFFFFF"/>
          <w:lang w:val="en-AU"/>
        </w:rPr>
        <w:t>This is because</w:t>
      </w:r>
      <w:r w:rsidRPr="00C34A8D">
        <w:rPr>
          <w:rFonts w:cstheme="majorHAnsi"/>
          <w:color w:val="0B0C0C"/>
          <w:szCs w:val="29"/>
          <w:shd w:val="clear" w:color="auto" w:fill="FFFFFF"/>
          <w:lang w:val="en-AU"/>
        </w:rPr>
        <w:t xml:space="preserve"> dominant businesses advising and lobbying the government are controlled on the plutocratic basis of one vote per share. </w:t>
      </w:r>
    </w:p>
    <w:p w:rsidR="008C3DF7" w:rsidRPr="004B7E2C" w:rsidP="00FF6EA8">
      <w:pPr>
        <w:spacing w:after="120"/>
        <w:ind w:right="142"/>
        <w:jc w:val="both"/>
        <w:rPr>
          <w:rFonts w:cstheme="majorHAnsi"/>
        </w:rPr>
      </w:pPr>
      <w:r>
        <w:rPr>
          <w:rFonts w:cstheme="majorHAnsi"/>
          <w:color w:val="0B0C0C"/>
          <w:szCs w:val="29"/>
          <w:shd w:val="clear" w:color="auto" w:fill="FFFFFF"/>
          <w:lang w:val="en-AU"/>
        </w:rPr>
        <w:t>The above key aim of the government raises the question not asked by the either the Government Officials or the UK Parliamentary Treasury Committee, should regulation be privatised as suggested above?</w:t>
      </w:r>
    </w:p>
    <w:p w:rsidR="008C3DF7" w:rsidRPr="004B7E2C" w:rsidP="00FF6EA8">
      <w:pPr>
        <w:spacing w:after="120"/>
        <w:ind w:right="142"/>
        <w:jc w:val="both"/>
        <w:rPr>
          <w:rFonts w:cstheme="majorHAnsi"/>
        </w:rPr>
      </w:pPr>
      <w:r w:rsidRPr="00C34A8D">
        <w:rPr>
          <w:rFonts w:cstheme="majorHAnsi"/>
        </w:rPr>
        <w:t>The political objective of government is consistent with system science. This informs us that reliable regulation of any complex activity, and especially financial services, cannot be achieved simply. Complexity can only be controlled with</w:t>
      </w:r>
      <w:r>
        <w:rPr>
          <w:rFonts w:cstheme="majorHAnsi"/>
        </w:rPr>
        <w:t xml:space="preserve"> a requisite variety of supplementary co-regulators to “amplify” controllers with </w:t>
      </w:r>
      <w:r>
        <w:fldChar w:fldCharType="begin"/>
      </w:r>
      <w:r>
        <w:instrText xml:space="preserve"> HYPERLINK "mailto:https://www.dukeupress.edu/protection-of-global-biodiversity" </w:instrText>
      </w:r>
      <w:r>
        <w:fldChar w:fldCharType="separate"/>
      </w:r>
      <w:r w:rsidRPr="00C34A8D">
        <w:rPr>
          <w:rStyle w:val="Hyperlink"/>
          <w:rFonts w:cstheme="majorHAnsi"/>
        </w:rPr>
        <w:t>matching complexity</w:t>
      </w:r>
      <w:r>
        <w:fldChar w:fldCharType="end"/>
      </w:r>
      <w:r>
        <w:rPr>
          <w:rStyle w:val="FootnoteReference"/>
          <w:rFonts w:cstheme="majorHAnsi"/>
        </w:rPr>
        <w:footnoteReference w:id="22"/>
      </w:r>
      <w:r w:rsidRPr="00C34A8D">
        <w:rPr>
          <w:rFonts w:cstheme="majorHAnsi"/>
        </w:rPr>
        <w:t xml:space="preserve">. </w:t>
      </w:r>
    </w:p>
    <w:p w:rsidR="008C3DF7" w:rsidRPr="004B7E2C" w:rsidP="008C3DF7">
      <w:pPr>
        <w:spacing w:after="120"/>
        <w:ind w:right="142"/>
        <w:jc w:val="both"/>
        <w:rPr>
          <w:rFonts w:cstheme="majorHAnsi"/>
        </w:rPr>
      </w:pPr>
      <w:r w:rsidRPr="00C34A8D">
        <w:rPr>
          <w:rFonts w:cstheme="majorHAnsi"/>
        </w:rPr>
        <w:t>The obvious way to constructively increase complexity is to engage a sufficient variety of stakeholders who require protection, organizing them on a democratic basis, to become bottom-up supplementary co-regulators to facilitate self-regulation. Instead, the UK Government, like other governments around the world, only considers the int</w:t>
      </w:r>
      <w:r>
        <w:rPr>
          <w:rFonts w:cstheme="majorHAnsi"/>
        </w:rPr>
        <w:t>rusive, expensive, unreliable</w:t>
      </w:r>
      <w:r w:rsidRPr="00C34A8D">
        <w:rPr>
          <w:rFonts w:cstheme="majorHAnsi"/>
        </w:rPr>
        <w:t>,</w:t>
      </w:r>
      <w:r>
        <w:rPr>
          <w:rFonts w:cstheme="majorHAnsi"/>
        </w:rPr>
        <w:t xml:space="preserve"> </w:t>
      </w:r>
      <w:r w:rsidRPr="00C34A8D">
        <w:rPr>
          <w:rFonts w:cstheme="majorHAnsi"/>
        </w:rPr>
        <w:t xml:space="preserve">and ultimately ineffective, top-down regulation of complexity. </w:t>
      </w:r>
    </w:p>
    <w:p w:rsidR="008C3DF7" w:rsidRPr="004B7E2C" w:rsidP="008C3DF7">
      <w:pPr>
        <w:spacing w:after="120"/>
        <w:ind w:right="142"/>
        <w:jc w:val="both"/>
        <w:rPr>
          <w:rFonts w:cstheme="majorHAnsi"/>
        </w:rPr>
      </w:pPr>
      <w:r w:rsidRPr="00C34A8D">
        <w:rPr>
          <w:rFonts w:cstheme="majorHAnsi"/>
        </w:rPr>
        <w:t>Expecting successful regulation using only a top-down approach is like expecting to win a football match by fielding a team with only two players. Facing overwhelming odds, and a battery of expert lawyers and lobbyists, The Financial Conduct Authority and the Prudential Regulatory Authority cannot be expected to win. They require the multiplicity of supplementary, bottom-up co-regulators available from the private sector.</w:t>
      </w:r>
    </w:p>
    <w:p w:rsidR="008C3DF7" w:rsidRPr="004B7E2C" w:rsidP="008C3DF7">
      <w:pPr>
        <w:spacing w:after="120"/>
        <w:ind w:right="142"/>
        <w:jc w:val="both"/>
        <w:rPr>
          <w:rFonts w:cstheme="majorHAnsi"/>
        </w:rPr>
      </w:pPr>
      <w:r w:rsidRPr="00C34A8D">
        <w:rPr>
          <w:rFonts w:cstheme="majorHAnsi"/>
        </w:rPr>
        <w:t xml:space="preserve">Auditors should, and could, contribute as supplementary co-regulators. However, for this to happen requires bottom-up changes which would allow the stakeholders that the government seeks to protect, to obtain the power and resources to control the auditors. Instead, governments around the world have allowed auditors to be controlled by corporate directors who can misuse their power and information to abuse those same stakeholders. </w:t>
      </w:r>
    </w:p>
    <w:p w:rsidR="008C3DF7" w:rsidRPr="004B7E2C" w:rsidP="008C3DF7">
      <w:pPr>
        <w:spacing w:after="120"/>
        <w:ind w:right="142"/>
        <w:jc w:val="both"/>
        <w:rPr>
          <w:rFonts w:cstheme="majorHAnsi"/>
        </w:rPr>
      </w:pPr>
      <w:r w:rsidRPr="00C34A8D">
        <w:rPr>
          <w:rFonts w:cstheme="majorHAnsi"/>
        </w:rPr>
        <w:t>This poisonous, unethical and toxic relationship has actually been promoted by UK governance codes. The “</w:t>
      </w:r>
      <w:r w:rsidRPr="00C34A8D">
        <w:rPr>
          <w:rFonts w:cstheme="majorHAnsi"/>
          <w:i/>
          <w:iCs/>
        </w:rPr>
        <w:t>terrible mistakes</w:t>
      </w:r>
      <w:r w:rsidRPr="00C34A8D">
        <w:rPr>
          <w:rFonts w:cstheme="majorHAnsi"/>
        </w:rPr>
        <w:t>” made by the first code in 1992 are described in my article “</w:t>
      </w:r>
      <w:r>
        <w:fldChar w:fldCharType="begin"/>
      </w:r>
      <w:r>
        <w:instrText xml:space="preserve"> HYPERLINK "https://www.grfcg.in/images/2021/CGI2020_31Dec.pdf" </w:instrText>
      </w:r>
      <w:r>
        <w:fldChar w:fldCharType="separate"/>
      </w:r>
      <w:r w:rsidRPr="00C34A8D">
        <w:rPr>
          <w:rStyle w:val="Hyperlink"/>
          <w:rFonts w:cstheme="majorHAnsi"/>
          <w:i/>
          <w:iCs/>
        </w:rPr>
        <w:t>The Need For Radical Reform Of Corporate Governance</w:t>
      </w:r>
      <w:r>
        <w:fldChar w:fldCharType="end"/>
      </w:r>
      <w:r w:rsidRPr="00C34A8D">
        <w:rPr>
          <w:rFonts w:cstheme="majorHAnsi"/>
          <w:i/>
          <w:iCs/>
        </w:rPr>
        <w:t xml:space="preserve"> – </w:t>
      </w:r>
      <w:r>
        <w:fldChar w:fldCharType="begin"/>
      </w:r>
      <w:r>
        <w:instrText xml:space="preserve"> HYPERLINK "https://www.youtube.com/watch?v=xWve9MJyRXA" \l "action=share" </w:instrText>
      </w:r>
      <w:r>
        <w:fldChar w:fldCharType="separate"/>
      </w:r>
      <w:r w:rsidRPr="00C34A8D">
        <w:rPr>
          <w:rStyle w:val="Hyperlink"/>
          <w:rFonts w:cstheme="majorHAnsi"/>
          <w:i/>
          <w:iCs/>
        </w:rPr>
        <w:t>A Narration</w:t>
      </w:r>
      <w:r>
        <w:fldChar w:fldCharType="end"/>
      </w:r>
      <w:r w:rsidRPr="00C34A8D">
        <w:rPr>
          <w:rFonts w:cstheme="majorHAnsi"/>
        </w:rPr>
        <w:t>”</w:t>
      </w:r>
      <w:r w:rsidRPr="00C34A8D">
        <w:rPr>
          <w:rStyle w:val="FootnoteReference"/>
          <w:rFonts w:cstheme="majorHAnsi"/>
        </w:rPr>
        <w:t xml:space="preserve"> </w:t>
      </w:r>
      <w:r>
        <w:rPr>
          <w:rStyle w:val="FootnoteReference"/>
          <w:rFonts w:cstheme="majorHAnsi"/>
        </w:rPr>
        <w:footnoteReference w:id="23"/>
      </w:r>
      <w:r w:rsidRPr="00C34A8D">
        <w:rPr>
          <w:rFonts w:cstheme="majorHAnsi"/>
        </w:rPr>
        <w:t xml:space="preserve">. Highly respected and good people created the code in order to illustrate how good people can do </w:t>
      </w:r>
      <w:r>
        <w:fldChar w:fldCharType="begin"/>
      </w:r>
      <w:r>
        <w:instrText xml:space="preserve"> HYPERLINK "https://www.europeanfinancialreview.com/how-shareholders-corporations-and-directors-can-become-ethical/" </w:instrText>
      </w:r>
      <w:r>
        <w:fldChar w:fldCharType="separate"/>
      </w:r>
      <w:r w:rsidRPr="00C34A8D">
        <w:rPr>
          <w:rStyle w:val="Hyperlink"/>
          <w:rFonts w:cstheme="majorHAnsi"/>
        </w:rPr>
        <w:t>bad things</w:t>
      </w:r>
      <w:r>
        <w:fldChar w:fldCharType="end"/>
      </w:r>
      <w:r>
        <w:rPr>
          <w:rStyle w:val="FootnoteReference"/>
          <w:rFonts w:cstheme="majorHAnsi"/>
        </w:rPr>
        <w:footnoteReference w:id="24"/>
      </w:r>
      <w:r w:rsidRPr="00C34A8D">
        <w:rPr>
          <w:rFonts w:cstheme="majorHAnsi"/>
        </w:rPr>
        <w:t xml:space="preserve">. </w:t>
      </w:r>
    </w:p>
    <w:p w:rsidR="008C3DF7" w:rsidRPr="00C108CB" w:rsidP="008C3DF7">
      <w:pPr>
        <w:spacing w:after="120"/>
        <w:ind w:right="142"/>
        <w:jc w:val="both"/>
        <w:rPr>
          <w:rFonts w:cstheme="majorHAnsi"/>
        </w:rPr>
      </w:pPr>
      <w:r w:rsidRPr="00C34A8D">
        <w:rPr>
          <w:rFonts w:cstheme="majorHAnsi"/>
        </w:rPr>
        <w:t>Their views were so influential, that they created a powerful global “</w:t>
      </w:r>
      <w:r w:rsidRPr="00C34A8D">
        <w:rPr>
          <w:rFonts w:cstheme="majorHAnsi"/>
          <w:i/>
          <w:iCs/>
        </w:rPr>
        <w:t>group think</w:t>
      </w:r>
      <w:r w:rsidRPr="00C34A8D">
        <w:rPr>
          <w:rFonts w:cstheme="majorHAnsi"/>
        </w:rPr>
        <w:t>”, even among regulators</w:t>
      </w:r>
      <w:r>
        <w:rPr>
          <w:rStyle w:val="FootnoteReference"/>
          <w:rFonts w:cstheme="majorHAnsi"/>
        </w:rPr>
        <w:footnoteReference w:id="25"/>
      </w:r>
      <w:r w:rsidRPr="00C34A8D">
        <w:rPr>
          <w:rFonts w:cstheme="majorHAnsi"/>
        </w:rPr>
        <w:t xml:space="preserve"> and ethicists. The result is a business culture where some executives can no longer tell the difference between what is right or wrong. A point made by Australian Royal Commissioners reporting on a financial failure in 2003 and misconduct in 2019.</w:t>
      </w:r>
      <w:r>
        <w:rPr>
          <w:rFonts w:cstheme="majorHAnsi"/>
        </w:rPr>
        <w:t xml:space="preserve"> </w:t>
      </w:r>
    </w:p>
    <w:p w:rsidR="008C3DF7" w:rsidRPr="008C3DF7" w:rsidP="008C3DF7">
      <w:pPr>
        <w:spacing w:after="120"/>
        <w:ind w:right="142"/>
        <w:jc w:val="both"/>
        <w:rPr>
          <w:rFonts w:cstheme="majorHAnsi"/>
          <w:bCs/>
          <w:szCs w:val="28"/>
          <w:u w:val="single"/>
        </w:rPr>
      </w:pPr>
      <w:r w:rsidRPr="008C3DF7">
        <w:rPr>
          <w:rFonts w:cstheme="majorHAnsi"/>
          <w:bCs/>
          <w:szCs w:val="28"/>
          <w:u w:val="single"/>
        </w:rPr>
        <w:t>2.3 Stakeholder Empowerment</w:t>
      </w:r>
    </w:p>
    <w:p w:rsidR="008C3DF7" w:rsidRPr="004B7E2C" w:rsidP="008C3DF7">
      <w:pPr>
        <w:spacing w:after="120"/>
        <w:ind w:right="142"/>
        <w:jc w:val="both"/>
        <w:rPr>
          <w:rFonts w:cstheme="majorHAnsi"/>
        </w:rPr>
      </w:pPr>
      <w:r w:rsidRPr="00C34A8D">
        <w:rPr>
          <w:rFonts w:cstheme="majorHAnsi"/>
        </w:rPr>
        <w:t xml:space="preserve">The empowerment of shareholders and other stakeholders to have the ability to </w:t>
      </w:r>
      <w:r w:rsidRPr="00C34A8D">
        <w:rPr>
          <w:rFonts w:cstheme="majorHAnsi"/>
          <w:iCs/>
        </w:rPr>
        <w:t xml:space="preserve">democratically </w:t>
      </w:r>
      <w:r w:rsidRPr="00C34A8D">
        <w:rPr>
          <w:rFonts w:cstheme="majorHAnsi"/>
        </w:rPr>
        <w:t>select, appoint and control qualified stakeholder advoca</w:t>
      </w:r>
      <w:r>
        <w:rPr>
          <w:rFonts w:cstheme="majorHAnsi"/>
        </w:rPr>
        <w:t xml:space="preserve">tes - </w:t>
      </w:r>
      <w:r w:rsidRPr="00C34A8D">
        <w:rPr>
          <w:rFonts w:cstheme="majorHAnsi"/>
        </w:rPr>
        <w:t>independently of corporate directors</w:t>
      </w:r>
      <w:r>
        <w:rPr>
          <w:rFonts w:cstheme="majorHAnsi"/>
        </w:rPr>
        <w:t xml:space="preserve"> and their managers -</w:t>
      </w:r>
      <w:r w:rsidRPr="00C34A8D">
        <w:rPr>
          <w:rFonts w:cstheme="majorHAnsi"/>
        </w:rPr>
        <w:t xml:space="preserve"> becomes essential to reliably protect citizens against abuse.  </w:t>
      </w:r>
      <w:r w:rsidRPr="00C34A8D">
        <w:rPr>
          <w:rFonts w:cstheme="majorHAnsi"/>
        </w:rPr>
        <w:t>Using this approach, a multiplicity of advocates become</w:t>
      </w:r>
      <w:r>
        <w:rPr>
          <w:rFonts w:cstheme="majorHAnsi"/>
        </w:rPr>
        <w:t>s</w:t>
      </w:r>
      <w:r w:rsidRPr="00C34A8D">
        <w:rPr>
          <w:rFonts w:cstheme="majorHAnsi"/>
        </w:rPr>
        <w:t xml:space="preserve"> responsible for the integrity of self-regulation on a bottom-up and firm-specific basis. </w:t>
      </w:r>
    </w:p>
    <w:p w:rsidR="008C3DF7" w:rsidRPr="004B7E2C" w:rsidP="008C3DF7">
      <w:pPr>
        <w:spacing w:after="120"/>
        <w:ind w:right="142"/>
        <w:jc w:val="both"/>
        <w:rPr>
          <w:rFonts w:cstheme="majorHAnsi"/>
        </w:rPr>
      </w:pPr>
      <w:r w:rsidRPr="00C34A8D">
        <w:rPr>
          <w:rFonts w:cstheme="majorHAnsi"/>
        </w:rPr>
        <w:t>Unlike regulators embedded in corporations, stakeholder advocates can become management mentors, helping to improve competitiveness as well as stakeholder benefits. Stakeholder governance both enriches and spreads democracy by systemically providing the citizen with both a voice and influence in the social institutions that affect their wellbeing.</w:t>
      </w:r>
    </w:p>
    <w:p w:rsidR="008C3DF7" w:rsidRPr="004B7E2C" w:rsidP="008C3DF7">
      <w:pPr>
        <w:spacing w:after="120"/>
        <w:ind w:right="142"/>
        <w:jc w:val="both"/>
        <w:rPr>
          <w:rFonts w:cstheme="majorHAnsi"/>
        </w:rPr>
      </w:pPr>
      <w:r w:rsidRPr="00C34A8D">
        <w:rPr>
          <w:rFonts w:cstheme="majorHAnsi"/>
        </w:rPr>
        <w:t>Numerous examples of stakeholder, bottom-up, self-governing organizations exist around the world particularly in sporting and civic organizations. Your author was involved in the incorporation of the Australian controlling body for skiing in 1974. The body federated the self-gov</w:t>
      </w:r>
      <w:r>
        <w:rPr>
          <w:rFonts w:cstheme="majorHAnsi"/>
        </w:rPr>
        <w:t>erning State controlling bodies</w:t>
      </w:r>
      <w:r w:rsidRPr="00C34A8D">
        <w:rPr>
          <w:rFonts w:cstheme="majorHAnsi"/>
        </w:rPr>
        <w:t xml:space="preserve"> that in turn had been formed by federating their self-governing ski clubs. The self-governing national body of skiing represented the Australian States who competed against each other in competitions but cooperated to represent the country internationally.</w:t>
      </w:r>
    </w:p>
    <w:p w:rsidR="008C3DF7" w:rsidRPr="004B7E2C" w:rsidP="008C3DF7">
      <w:pPr>
        <w:spacing w:after="120"/>
        <w:ind w:right="142"/>
        <w:jc w:val="both"/>
        <w:rPr>
          <w:rFonts w:cstheme="majorHAnsi"/>
        </w:rPr>
      </w:pPr>
      <w:r w:rsidRPr="00C34A8D">
        <w:rPr>
          <w:rFonts w:cstheme="majorHAnsi"/>
        </w:rPr>
        <w:t>I describe this as ecological governance because as it creates the same type of distributed decision-making as found in our brains</w:t>
      </w:r>
      <w:r>
        <w:rPr>
          <w:rStyle w:val="FootnoteReference"/>
          <w:rFonts w:cstheme="majorHAnsi"/>
        </w:rPr>
        <w:footnoteReference w:id="26"/>
      </w:r>
      <w:r w:rsidRPr="00C34A8D">
        <w:rPr>
          <w:rFonts w:cstheme="majorHAnsi"/>
        </w:rPr>
        <w:t>. Elinor Ostrom, a political scientist, used the term “</w:t>
      </w:r>
      <w:r w:rsidRPr="00C34A8D">
        <w:rPr>
          <w:rFonts w:cstheme="majorHAnsi"/>
          <w:i/>
          <w:iCs/>
        </w:rPr>
        <w:t>polycentric governance</w:t>
      </w:r>
      <w:r w:rsidRPr="00C34A8D">
        <w:rPr>
          <w:rFonts w:cstheme="majorHAnsi"/>
        </w:rPr>
        <w:t xml:space="preserve">” to describe distributed decision-making in her 2009 Nobel </w:t>
      </w:r>
      <w:r>
        <w:fldChar w:fldCharType="begin"/>
      </w:r>
      <w:r>
        <w:instrText xml:space="preserve"> HYPERLINK "https://www.nobelprize.org/prizes/economic-sciences/2009/ostrom/lecture/" </w:instrText>
      </w:r>
      <w:r>
        <w:fldChar w:fldCharType="separate"/>
      </w:r>
      <w:r w:rsidRPr="00C34A8D">
        <w:rPr>
          <w:rStyle w:val="Hyperlink"/>
          <w:rFonts w:cstheme="majorHAnsi"/>
        </w:rPr>
        <w:t>Prize speech</w:t>
      </w:r>
      <w:r>
        <w:fldChar w:fldCharType="end"/>
      </w:r>
      <w:r>
        <w:rPr>
          <w:rStyle w:val="FootnoteReference"/>
          <w:rFonts w:cstheme="majorHAnsi"/>
        </w:rPr>
        <w:footnoteReference w:id="27"/>
      </w:r>
      <w:r w:rsidRPr="00C34A8D">
        <w:rPr>
          <w:rFonts w:cstheme="majorHAnsi"/>
        </w:rPr>
        <w:t>.</w:t>
      </w:r>
    </w:p>
    <w:p w:rsidR="008C3DF7" w:rsidRPr="004B7E2C" w:rsidP="008C3DF7">
      <w:pPr>
        <w:spacing w:after="120"/>
        <w:ind w:right="142"/>
        <w:jc w:val="both"/>
        <w:rPr>
          <w:rFonts w:cstheme="majorHAnsi"/>
        </w:rPr>
      </w:pPr>
      <w:r w:rsidRPr="00C34A8D">
        <w:rPr>
          <w:rFonts w:cstheme="majorHAnsi"/>
        </w:rPr>
        <w:t xml:space="preserve">Our brains operate similarly, with different parts of our brains making different types of decisions competing for dominance according to our internal needs and external risks and opportunities with the different parts also cooperating. </w:t>
      </w:r>
    </w:p>
    <w:p w:rsidR="008C3DF7" w:rsidRPr="004B7E2C" w:rsidP="008C3DF7">
      <w:pPr>
        <w:spacing w:after="120"/>
        <w:ind w:right="142"/>
        <w:jc w:val="both"/>
        <w:rPr>
          <w:rFonts w:cstheme="majorHAnsi"/>
        </w:rPr>
      </w:pPr>
      <w:r w:rsidRPr="00C34A8D">
        <w:rPr>
          <w:rFonts w:cstheme="majorHAnsi"/>
        </w:rPr>
        <w:t xml:space="preserve">A take-home message is that risk and opportunity management needs to be continually subjected to challenge. Contesting decision-making in centralized command and control hierarchies is commonly denied, resisted, and even punished. This denies reliable risk governance in </w:t>
      </w:r>
      <w:r>
        <w:rPr>
          <w:rFonts w:cstheme="majorHAnsi"/>
        </w:rPr>
        <w:t>hierarchies</w:t>
      </w:r>
      <w:r w:rsidRPr="00C34A8D">
        <w:rPr>
          <w:rFonts w:cstheme="majorHAnsi"/>
        </w:rPr>
        <w:t xml:space="preserve"> a fact neglected by risk managers, regulators, and governance codes. Simple hierarchies expose organizations to existential risks and failure without warnings as is frequently reported. Twenty sources of failure are noted in Table 1 with how they are can be avoided by introducing ecological governance as shown in Figure 1.</w:t>
      </w:r>
    </w:p>
    <w:p w:rsidR="0082247D" w:rsidP="008C3DF7">
      <w:pPr>
        <w:spacing w:after="120"/>
        <w:ind w:right="142"/>
        <w:jc w:val="both"/>
        <w:rPr>
          <w:rFonts w:cstheme="majorHAnsi"/>
        </w:rPr>
      </w:pPr>
      <w:r w:rsidRPr="00C34A8D">
        <w:rPr>
          <w:rFonts w:cstheme="majorHAnsi"/>
        </w:rPr>
        <w:t>The idea of any organization being able to survive and thrive in complex environments without a central controller is incomprehensible to many people, including social scientists and policy advisers. However, neurologists understand how our brains operate without any “</w:t>
      </w:r>
      <w:r w:rsidRPr="00C34A8D">
        <w:rPr>
          <w:rFonts w:cstheme="majorHAnsi"/>
          <w:i/>
          <w:iCs/>
        </w:rPr>
        <w:t>Chief Executive Officer</w:t>
      </w:r>
      <w:r w:rsidRPr="00C34A8D">
        <w:rPr>
          <w:rFonts w:cstheme="majorHAnsi"/>
        </w:rPr>
        <w:t>” neuron</w:t>
      </w:r>
      <w:r>
        <w:rPr>
          <w:rStyle w:val="FootnoteReference"/>
          <w:rFonts w:cstheme="majorHAnsi"/>
        </w:rPr>
        <w:footnoteReference w:id="28"/>
      </w:r>
      <w:r w:rsidRPr="00C34A8D">
        <w:rPr>
          <w:rFonts w:cstheme="majorHAnsi"/>
        </w:rPr>
        <w:t xml:space="preserve">. </w:t>
      </w:r>
    </w:p>
    <w:p w:rsidR="008C3DF7" w:rsidRPr="004B7E2C" w:rsidP="008C3DF7">
      <w:pPr>
        <w:spacing w:after="120"/>
        <w:ind w:right="142"/>
        <w:jc w:val="both"/>
        <w:rPr>
          <w:rFonts w:cstheme="majorHAnsi"/>
        </w:rPr>
      </w:pPr>
      <w:r w:rsidRPr="00C34A8D">
        <w:rPr>
          <w:rFonts w:cstheme="majorHAnsi"/>
        </w:rPr>
        <w:t>Sporting bodies provides an example of how self-governance can be achieved globally without markets or state. The Australian national controlling body of skiing was in turn a self-governing unit of the International self-governing global body for skiing. This was in turn was a unit of the self-governing Olympic organization, to illustrate how democracy can be spread and enriched from the bottom up.</w:t>
      </w:r>
    </w:p>
    <w:p w:rsidR="000662BB">
      <w:pPr>
        <w:rPr>
          <w:rFonts w:cstheme="majorHAnsi"/>
          <w:b/>
        </w:rPr>
      </w:pPr>
      <w:r>
        <w:rPr>
          <w:rFonts w:cstheme="majorHAnsi"/>
          <w:b/>
        </w:rPr>
        <w:br w:type="page"/>
      </w:r>
    </w:p>
    <w:p w:rsidR="008C3DF7" w:rsidRPr="004B7E2C" w:rsidP="0082247D">
      <w:pPr>
        <w:spacing w:after="120"/>
        <w:ind w:right="142"/>
        <w:jc w:val="center"/>
        <w:rPr>
          <w:rFonts w:cstheme="majorHAnsi"/>
        </w:rPr>
      </w:pPr>
      <w:r w:rsidRPr="00C34A8D">
        <w:rPr>
          <w:rFonts w:cstheme="majorHAnsi"/>
          <w:b/>
        </w:rPr>
        <w:t>Table 1</w:t>
      </w:r>
      <w:r w:rsidRPr="00C34A8D">
        <w:rPr>
          <w:rFonts w:cstheme="majorHAnsi"/>
          <w:b/>
          <w:sz w:val="28"/>
        </w:rPr>
        <w:t xml:space="preserve">. </w:t>
      </w:r>
      <w:r w:rsidRPr="00C34A8D">
        <w:rPr>
          <w:rFonts w:cstheme="majorHAnsi"/>
          <w:b/>
        </w:rPr>
        <w:t xml:space="preserve">Systemic Problems Of Hierarchies </w:t>
      </w:r>
      <w:r w:rsidRPr="00C34A8D">
        <w:rPr>
          <w:rFonts w:cstheme="majorHAnsi"/>
        </w:rPr>
        <w:t>(See also Figure 1)</w:t>
      </w:r>
    </w:p>
    <w:tbl>
      <w:tblPr>
        <w:tblW w:w="9795" w:type="dxa"/>
        <w:jc w:val="center"/>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A0"/>
      </w:tblPr>
      <w:tblGrid>
        <w:gridCol w:w="440"/>
        <w:gridCol w:w="4436"/>
        <w:gridCol w:w="4919"/>
      </w:tblGrid>
      <w:tr w:rsidTr="006855A7">
        <w:tblPrEx>
          <w:tblW w:w="9795" w:type="dxa"/>
          <w:jc w:val="center"/>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A0"/>
        </w:tblPrEx>
        <w:trPr>
          <w:trHeight w:val="312"/>
          <w:jc w:val="center"/>
        </w:trPr>
        <w:tc>
          <w:tcPr>
            <w:tcW w:w="440" w:type="dxa"/>
          </w:tcPr>
          <w:p w:rsidR="008C3DF7" w:rsidRPr="004B7E2C" w:rsidP="008C3DF7">
            <w:pPr>
              <w:spacing w:after="0"/>
              <w:rPr>
                <w:rFonts w:cstheme="majorHAnsi"/>
              </w:rPr>
            </w:pPr>
          </w:p>
        </w:tc>
        <w:tc>
          <w:tcPr>
            <w:tcW w:w="4436" w:type="dxa"/>
            <w:tcBorders>
              <w:bottom w:val="single" w:sz="4" w:space="0" w:color="C0504D" w:themeColor="accent2"/>
            </w:tcBorders>
          </w:tcPr>
          <w:p w:rsidR="008C3DF7" w:rsidRPr="004B7E2C" w:rsidP="008C3DF7">
            <w:pPr>
              <w:spacing w:after="0"/>
              <w:jc w:val="center"/>
              <w:rPr>
                <w:rFonts w:cstheme="majorHAnsi"/>
              </w:rPr>
            </w:pPr>
            <w:r w:rsidRPr="00C34A8D">
              <w:rPr>
                <w:rFonts w:cstheme="majorHAnsi"/>
              </w:rPr>
              <w:t>Toxic problems of hierarchies</w:t>
            </w:r>
          </w:p>
        </w:tc>
        <w:tc>
          <w:tcPr>
            <w:tcW w:w="4919" w:type="dxa"/>
            <w:tcBorders>
              <w:bottom w:val="single" w:sz="4" w:space="0" w:color="C0504D" w:themeColor="accent2"/>
              <w:right w:val="nil"/>
            </w:tcBorders>
          </w:tcPr>
          <w:p w:rsidR="008C3DF7" w:rsidRPr="004B7E2C" w:rsidP="008C3DF7">
            <w:pPr>
              <w:spacing w:after="0"/>
              <w:jc w:val="center"/>
              <w:rPr>
                <w:rFonts w:cstheme="majorHAnsi"/>
              </w:rPr>
            </w:pPr>
            <w:r w:rsidRPr="00C34A8D">
              <w:rPr>
                <w:rFonts w:cstheme="majorHAnsi"/>
              </w:rPr>
              <w:t>Mitigation by mimicking nature</w:t>
            </w:r>
          </w:p>
        </w:tc>
      </w:tr>
      <w:tr w:rsidTr="006855A7">
        <w:tblPrEx>
          <w:tblW w:w="9795" w:type="dxa"/>
          <w:jc w:val="center"/>
          <w:tblLook w:val="04A0"/>
        </w:tblPrEx>
        <w:trPr>
          <w:trHeight w:val="276"/>
          <w:jc w:val="center"/>
        </w:trPr>
        <w:tc>
          <w:tcPr>
            <w:tcW w:w="440" w:type="dxa"/>
          </w:tcPr>
          <w:p w:rsidR="008C3DF7" w:rsidRPr="004B7E2C" w:rsidP="008C3DF7">
            <w:pPr>
              <w:spacing w:after="0"/>
              <w:rPr>
                <w:rFonts w:cstheme="majorHAnsi"/>
                <w:sz w:val="20"/>
                <w:szCs w:val="20"/>
              </w:rPr>
            </w:pPr>
            <w:r w:rsidRPr="00C34A8D">
              <w:rPr>
                <w:rFonts w:cstheme="majorHAnsi"/>
                <w:sz w:val="20"/>
                <w:szCs w:val="20"/>
              </w:rPr>
              <w:t>1</w:t>
            </w:r>
          </w:p>
        </w:tc>
        <w:tc>
          <w:tcPr>
            <w:tcW w:w="4436" w:type="dxa"/>
          </w:tcPr>
          <w:p w:rsidR="008C3DF7" w:rsidRPr="004B7E2C" w:rsidP="008C3DF7">
            <w:pPr>
              <w:spacing w:after="0"/>
              <w:rPr>
                <w:rFonts w:cstheme="majorHAnsi"/>
                <w:sz w:val="20"/>
                <w:szCs w:val="20"/>
              </w:rPr>
            </w:pPr>
            <w:r w:rsidRPr="00C34A8D">
              <w:rPr>
                <w:rFonts w:cstheme="majorHAnsi"/>
                <w:sz w:val="20"/>
                <w:szCs w:val="20"/>
              </w:rPr>
              <w:t>Society assumes top-down control is natural</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Nature uses bottom/up control &amp; top/down guiding</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2</w:t>
            </w:r>
          </w:p>
        </w:tc>
        <w:tc>
          <w:tcPr>
            <w:tcW w:w="4436" w:type="dxa"/>
          </w:tcPr>
          <w:p w:rsidR="008C3DF7" w:rsidRPr="004B7E2C" w:rsidP="008C3DF7">
            <w:pPr>
              <w:spacing w:after="0"/>
              <w:rPr>
                <w:rFonts w:cstheme="majorHAnsi"/>
                <w:sz w:val="20"/>
                <w:szCs w:val="20"/>
              </w:rPr>
            </w:pPr>
            <w:r w:rsidRPr="00C34A8D">
              <w:rPr>
                <w:rFonts w:cstheme="majorHAnsi"/>
                <w:sz w:val="20"/>
                <w:szCs w:val="20"/>
              </w:rPr>
              <w:t>So no education about ecological governance with distributed control to simplify complexity</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Complexity simplified with almost self-governing sub-systems dependent upon contrary guiding</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3</w:t>
            </w:r>
          </w:p>
        </w:tc>
        <w:tc>
          <w:tcPr>
            <w:tcW w:w="4436" w:type="dxa"/>
          </w:tcPr>
          <w:p w:rsidR="008C3DF7" w:rsidRPr="004B7E2C" w:rsidP="008C3DF7">
            <w:pPr>
              <w:spacing w:after="0"/>
              <w:rPr>
                <w:rFonts w:cstheme="majorHAnsi"/>
                <w:sz w:val="20"/>
                <w:szCs w:val="20"/>
              </w:rPr>
            </w:pPr>
            <w:r w:rsidRPr="00C34A8D">
              <w:rPr>
                <w:rFonts w:cstheme="majorHAnsi"/>
                <w:sz w:val="20"/>
                <w:szCs w:val="20"/>
              </w:rPr>
              <w:t>Unitary boards obtain absolute power to identify and manage their own conflicts of interest to allow absolute corruption of directors, the business and society</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 xml:space="preserve">Shareholders appoint one board to manage the business and another board to become integrity guardians to govern the corporation and represent all stakeholders &amp; community views </w:t>
            </w:r>
            <w:r w:rsidRPr="00C34A8D">
              <w:rPr>
                <w:rFonts w:cstheme="majorHAnsi"/>
                <w:sz w:val="20"/>
                <w:szCs w:val="20"/>
                <w:u w:val="single"/>
              </w:rPr>
              <w:t>for investors</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4</w:t>
            </w:r>
          </w:p>
        </w:tc>
        <w:tc>
          <w:tcPr>
            <w:tcW w:w="4436" w:type="dxa"/>
          </w:tcPr>
          <w:p w:rsidR="008C3DF7" w:rsidRPr="004B7E2C" w:rsidP="008C3DF7">
            <w:pPr>
              <w:spacing w:after="0"/>
              <w:rPr>
                <w:rFonts w:cstheme="majorHAnsi"/>
                <w:sz w:val="20"/>
                <w:szCs w:val="20"/>
              </w:rPr>
            </w:pPr>
            <w:r w:rsidRPr="00C34A8D">
              <w:rPr>
                <w:rFonts w:cstheme="majorHAnsi"/>
                <w:sz w:val="20"/>
                <w:szCs w:val="20"/>
              </w:rPr>
              <w:t>Group think arises from directors captured by CEO to hide risks, misconduct &amp; malfeasance</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Guardians of stakeholder voices obtain contested “</w:t>
            </w:r>
            <w:r w:rsidRPr="00C34A8D">
              <w:rPr>
                <w:rFonts w:cstheme="majorHAnsi"/>
                <w:i/>
                <w:iCs/>
                <w:sz w:val="20"/>
                <w:szCs w:val="20"/>
              </w:rPr>
              <w:t>requisite variety</w:t>
            </w:r>
            <w:r w:rsidRPr="00C34A8D">
              <w:rPr>
                <w:rFonts w:cstheme="majorHAnsi"/>
                <w:sz w:val="20"/>
                <w:szCs w:val="20"/>
              </w:rPr>
              <w:t>” of data for checks and balances</w:t>
            </w:r>
          </w:p>
        </w:tc>
      </w:tr>
      <w:tr w:rsidTr="006855A7">
        <w:tblPrEx>
          <w:tblW w:w="9795" w:type="dxa"/>
          <w:jc w:val="center"/>
          <w:tblLook w:val="04A0"/>
        </w:tblPrEx>
        <w:trPr>
          <w:jc w:val="center"/>
        </w:trPr>
        <w:tc>
          <w:tcPr>
            <w:tcW w:w="440" w:type="dxa"/>
            <w:tcBorders>
              <w:bottom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5</w:t>
            </w:r>
          </w:p>
        </w:tc>
        <w:tc>
          <w:tcPr>
            <w:tcW w:w="4436" w:type="dxa"/>
            <w:tcBorders>
              <w:bottom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Corporations can lie and/or mislead themselves about director independence</w:t>
            </w:r>
          </w:p>
        </w:tc>
        <w:tc>
          <w:tcPr>
            <w:tcW w:w="4919" w:type="dxa"/>
            <w:tcBorders>
              <w:bottom w:val="single" w:sz="4" w:space="0" w:color="C0504D" w:themeColor="accent2"/>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Directors independence becomes irrelevant except for their relationship with Guardians</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6</w:t>
            </w:r>
          </w:p>
        </w:tc>
        <w:tc>
          <w:tcPr>
            <w:tcW w:w="4436" w:type="dxa"/>
          </w:tcPr>
          <w:p w:rsidR="008C3DF7" w:rsidRPr="004B7E2C" w:rsidP="008C3DF7">
            <w:pPr>
              <w:spacing w:after="0"/>
              <w:rPr>
                <w:rFonts w:cstheme="majorHAnsi"/>
                <w:sz w:val="20"/>
                <w:szCs w:val="20"/>
              </w:rPr>
            </w:pPr>
            <w:r w:rsidRPr="00C34A8D">
              <w:rPr>
                <w:rFonts w:cstheme="majorHAnsi"/>
                <w:sz w:val="20"/>
                <w:szCs w:val="20"/>
              </w:rPr>
              <w:t>Directors capture auditors who judge their A/c</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Guardians control auditors who judge directors A/c</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7</w:t>
            </w:r>
          </w:p>
        </w:tc>
        <w:tc>
          <w:tcPr>
            <w:tcW w:w="4436" w:type="dxa"/>
          </w:tcPr>
          <w:p w:rsidR="008C3DF7" w:rsidRPr="004B7E2C" w:rsidP="008C3DF7">
            <w:pPr>
              <w:spacing w:after="0"/>
              <w:rPr>
                <w:rFonts w:cstheme="majorHAnsi"/>
                <w:sz w:val="20"/>
                <w:szCs w:val="20"/>
              </w:rPr>
            </w:pPr>
            <w:r w:rsidRPr="00C34A8D">
              <w:rPr>
                <w:rFonts w:cstheme="majorHAnsi"/>
                <w:sz w:val="20"/>
                <w:szCs w:val="20"/>
              </w:rPr>
              <w:t>Auditors lie that they are independent</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Auditors kept independent by Guardians</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8</w:t>
            </w:r>
          </w:p>
        </w:tc>
        <w:tc>
          <w:tcPr>
            <w:tcW w:w="4436" w:type="dxa"/>
          </w:tcPr>
          <w:p w:rsidR="008C3DF7" w:rsidRPr="004B7E2C" w:rsidP="008C3DF7">
            <w:pPr>
              <w:spacing w:after="0"/>
              <w:rPr>
                <w:rFonts w:cstheme="majorHAnsi"/>
                <w:sz w:val="20"/>
                <w:szCs w:val="20"/>
              </w:rPr>
            </w:pPr>
            <w:r w:rsidRPr="00C34A8D">
              <w:rPr>
                <w:rFonts w:cstheme="majorHAnsi"/>
                <w:sz w:val="20"/>
                <w:szCs w:val="20"/>
              </w:rPr>
              <w:t>Accounting doctrines hide how investors get overpaid beyond their investment time horizons with surplus profits creating hidden sources of inequality and stakeholder exploitation</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Ownership of surplus profits distributed by corporations issuing shares to citizen stakeholders that democratizes wealth and power. Reduces the need for corporate taxes and welfare programs</w:t>
            </w:r>
          </w:p>
        </w:tc>
      </w:tr>
      <w:tr w:rsidTr="006855A7">
        <w:tblPrEx>
          <w:tblW w:w="9795" w:type="dxa"/>
          <w:jc w:val="center"/>
          <w:tblLook w:val="04A0"/>
        </w:tblPrEx>
        <w:trPr>
          <w:jc w:val="center"/>
        </w:trPr>
        <w:tc>
          <w:tcPr>
            <w:tcW w:w="440" w:type="dxa"/>
            <w:tcBorders>
              <w:bottom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9</w:t>
            </w:r>
          </w:p>
        </w:tc>
        <w:tc>
          <w:tcPr>
            <w:tcW w:w="4436" w:type="dxa"/>
            <w:tcBorders>
              <w:bottom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Directors control advisors to shareholders</w:t>
            </w:r>
          </w:p>
        </w:tc>
        <w:tc>
          <w:tcPr>
            <w:tcW w:w="4919" w:type="dxa"/>
            <w:tcBorders>
              <w:bottom w:val="single" w:sz="4" w:space="0" w:color="C0504D" w:themeColor="accent2"/>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Shareholder advisors controlled by Guardians</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10</w:t>
            </w:r>
          </w:p>
        </w:tc>
        <w:tc>
          <w:tcPr>
            <w:tcW w:w="4436" w:type="dxa"/>
          </w:tcPr>
          <w:p w:rsidR="008C3DF7" w:rsidRPr="004B7E2C" w:rsidP="008C3DF7">
            <w:pPr>
              <w:spacing w:after="0"/>
              <w:rPr>
                <w:rFonts w:cstheme="majorHAnsi"/>
                <w:sz w:val="20"/>
                <w:szCs w:val="20"/>
              </w:rPr>
            </w:pPr>
            <w:r w:rsidRPr="00C34A8D">
              <w:rPr>
                <w:rFonts w:cstheme="majorHAnsi"/>
                <w:sz w:val="20"/>
                <w:szCs w:val="20"/>
              </w:rPr>
              <w:t>Directors nominating themselves for election</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Director nomination by shareholders &amp; Guardians</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11</w:t>
            </w:r>
          </w:p>
        </w:tc>
        <w:tc>
          <w:tcPr>
            <w:tcW w:w="4436" w:type="dxa"/>
          </w:tcPr>
          <w:p w:rsidR="008C3DF7" w:rsidRPr="004B7E2C" w:rsidP="008C3DF7">
            <w:pPr>
              <w:spacing w:after="0"/>
              <w:rPr>
                <w:rFonts w:cstheme="majorHAnsi"/>
                <w:sz w:val="20"/>
                <w:szCs w:val="20"/>
              </w:rPr>
            </w:pPr>
            <w:r w:rsidRPr="00C34A8D">
              <w:rPr>
                <w:rFonts w:cstheme="majorHAnsi"/>
                <w:sz w:val="20"/>
                <w:szCs w:val="20"/>
              </w:rPr>
              <w:t>Directors control their own pay after setting and marking their own “exam papers” aka KPIs</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Guardians determine director pay from Stakeholder Key Performance Indicators (KPIs)</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12</w:t>
            </w:r>
          </w:p>
        </w:tc>
        <w:tc>
          <w:tcPr>
            <w:tcW w:w="4436" w:type="dxa"/>
          </w:tcPr>
          <w:p w:rsidR="008C3DF7" w:rsidRPr="004B7E2C" w:rsidP="008C3DF7">
            <w:pPr>
              <w:spacing w:after="0"/>
              <w:rPr>
                <w:rFonts w:cstheme="majorHAnsi"/>
                <w:sz w:val="20"/>
                <w:szCs w:val="20"/>
              </w:rPr>
            </w:pPr>
            <w:r w:rsidRPr="00C34A8D">
              <w:rPr>
                <w:rFonts w:cstheme="majorHAnsi"/>
                <w:sz w:val="20"/>
                <w:szCs w:val="20"/>
              </w:rPr>
              <w:t>Directors control reports about corporate impact on the environment, stakeholders and community welfare and their own governance</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Stakeholders provide guardians with reports for shareholders on Guardians pay, corporate impacts on stakeholders, the environment and society.</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13</w:t>
            </w:r>
          </w:p>
        </w:tc>
        <w:tc>
          <w:tcPr>
            <w:tcW w:w="4436" w:type="dxa"/>
          </w:tcPr>
          <w:p w:rsidR="008C3DF7" w:rsidRPr="004B7E2C" w:rsidP="008C3DF7">
            <w:pPr>
              <w:spacing w:after="0"/>
              <w:rPr>
                <w:rFonts w:cstheme="majorHAnsi"/>
                <w:sz w:val="20"/>
                <w:szCs w:val="20"/>
              </w:rPr>
            </w:pPr>
            <w:r w:rsidRPr="00C34A8D">
              <w:rPr>
                <w:rFonts w:cstheme="majorHAnsi"/>
                <w:sz w:val="20"/>
                <w:szCs w:val="20"/>
              </w:rPr>
              <w:t>Directors control how they are held accountable to shareholders at AGMs and control the voting processes on own election and remuneration.</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Stakeholder nominee controls conduct of AGMs. Guardians determine AGM agenda, location, acceptance of proxy votes, vote counting, etc.</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14</w:t>
            </w:r>
          </w:p>
        </w:tc>
        <w:tc>
          <w:tcPr>
            <w:tcW w:w="4436" w:type="dxa"/>
          </w:tcPr>
          <w:p w:rsidR="008C3DF7" w:rsidRPr="004B7E2C" w:rsidP="008C3DF7">
            <w:pPr>
              <w:spacing w:after="0"/>
              <w:rPr>
                <w:rFonts w:cstheme="majorHAnsi"/>
                <w:sz w:val="20"/>
                <w:szCs w:val="20"/>
              </w:rPr>
            </w:pPr>
            <w:r w:rsidRPr="00C34A8D">
              <w:rPr>
                <w:rFonts w:cstheme="majorHAnsi"/>
                <w:sz w:val="20"/>
                <w:szCs w:val="20"/>
              </w:rPr>
              <w:t>Directors ignorant of shareholder identities, etc.</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All ultimate owners and/or controller made public</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15</w:t>
            </w:r>
          </w:p>
        </w:tc>
        <w:tc>
          <w:tcPr>
            <w:tcW w:w="4436" w:type="dxa"/>
          </w:tcPr>
          <w:p w:rsidR="008C3DF7" w:rsidRPr="004B7E2C" w:rsidP="008C3DF7">
            <w:pPr>
              <w:spacing w:after="0"/>
              <w:ind w:left="-10" w:hanging="142"/>
              <w:rPr>
                <w:rFonts w:cstheme="majorHAnsi"/>
                <w:sz w:val="20"/>
                <w:szCs w:val="20"/>
              </w:rPr>
            </w:pPr>
            <w:r w:rsidRPr="00C34A8D">
              <w:rPr>
                <w:rFonts w:cstheme="majorHAnsi"/>
                <w:sz w:val="20"/>
                <w:szCs w:val="20"/>
              </w:rPr>
              <w:t xml:space="preserve">   Share trading relationships and price manipulation hidden from directors and public</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No shares traded without prior disclosure of any related derivatives and identity of counter parties</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16</w:t>
            </w:r>
          </w:p>
        </w:tc>
        <w:tc>
          <w:tcPr>
            <w:tcW w:w="4436" w:type="dxa"/>
          </w:tcPr>
          <w:p w:rsidR="008C3DF7" w:rsidRPr="004B7E2C" w:rsidP="008C3DF7">
            <w:pPr>
              <w:spacing w:after="0"/>
              <w:ind w:left="-152"/>
              <w:rPr>
                <w:rFonts w:cstheme="majorHAnsi"/>
                <w:sz w:val="20"/>
                <w:szCs w:val="20"/>
              </w:rPr>
            </w:pPr>
            <w:r w:rsidRPr="00C34A8D">
              <w:rPr>
                <w:rFonts w:cstheme="majorHAnsi"/>
                <w:sz w:val="20"/>
                <w:szCs w:val="20"/>
              </w:rPr>
              <w:t xml:space="preserve">   Shares traded covertly by third party exchanges</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Corporations directly execute all share transfers</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17</w:t>
            </w:r>
          </w:p>
        </w:tc>
        <w:tc>
          <w:tcPr>
            <w:tcW w:w="4436" w:type="dxa"/>
          </w:tcPr>
          <w:p w:rsidR="008C3DF7" w:rsidRPr="004B7E2C" w:rsidP="008C3DF7">
            <w:pPr>
              <w:spacing w:after="0"/>
              <w:rPr>
                <w:rFonts w:cstheme="majorHAnsi"/>
                <w:sz w:val="20"/>
                <w:szCs w:val="20"/>
              </w:rPr>
            </w:pPr>
            <w:r w:rsidRPr="00C34A8D">
              <w:rPr>
                <w:rFonts w:cstheme="majorHAnsi"/>
                <w:sz w:val="20"/>
                <w:szCs w:val="20"/>
              </w:rPr>
              <w:t>Directors not held to account by various stakeholder groups who may have conflicting interest but on who directors rely upon to improve the quality, reliability, and efficacy of continuous operational improvements</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Each common interest stakeholder group obtains rights to form their own non-profit associations to appoint advocates/supplementary regulators/ management mentors that avoid directors and shareholders being kept in a cocoon of ignorance</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18</w:t>
            </w:r>
          </w:p>
        </w:tc>
        <w:tc>
          <w:tcPr>
            <w:tcW w:w="4436" w:type="dxa"/>
          </w:tcPr>
          <w:p w:rsidR="008C3DF7" w:rsidRPr="004B7E2C" w:rsidP="008C3DF7">
            <w:pPr>
              <w:spacing w:after="0"/>
              <w:rPr>
                <w:rFonts w:cstheme="majorHAnsi"/>
                <w:sz w:val="20"/>
                <w:szCs w:val="20"/>
              </w:rPr>
            </w:pPr>
            <w:r w:rsidRPr="00C34A8D">
              <w:rPr>
                <w:rFonts w:cstheme="majorHAnsi"/>
                <w:sz w:val="20"/>
                <w:szCs w:val="20"/>
              </w:rPr>
              <w:t>Directors of simple command and control hierarchies lack systemic process to cross check management actions and misreporting</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Directors obtain stakeholder communication and control channels independent of managers to cross check integrity of operations and outcome reports.</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19</w:t>
            </w:r>
          </w:p>
        </w:tc>
        <w:tc>
          <w:tcPr>
            <w:tcW w:w="4436" w:type="dxa"/>
          </w:tcPr>
          <w:p w:rsidR="008C3DF7" w:rsidRPr="004B7E2C" w:rsidP="008C3DF7">
            <w:pPr>
              <w:spacing w:after="0"/>
              <w:rPr>
                <w:rFonts w:cstheme="majorHAnsi"/>
                <w:sz w:val="20"/>
                <w:szCs w:val="20"/>
              </w:rPr>
            </w:pPr>
            <w:r w:rsidRPr="00C34A8D">
              <w:rPr>
                <w:rFonts w:cstheme="majorHAnsi"/>
                <w:sz w:val="20"/>
                <w:szCs w:val="20"/>
              </w:rPr>
              <w:t>Impossibility of controlling complexity directly</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Complexity controlled indirectly by stakeholders</w:t>
            </w:r>
          </w:p>
        </w:tc>
      </w:tr>
      <w:tr w:rsidTr="006855A7">
        <w:tblPrEx>
          <w:tblW w:w="9795" w:type="dxa"/>
          <w:jc w:val="center"/>
          <w:tblLook w:val="04A0"/>
        </w:tblPrEx>
        <w:trPr>
          <w:jc w:val="center"/>
        </w:trPr>
        <w:tc>
          <w:tcPr>
            <w:tcW w:w="440" w:type="dxa"/>
          </w:tcPr>
          <w:p w:rsidR="008C3DF7" w:rsidRPr="004B7E2C" w:rsidP="008C3DF7">
            <w:pPr>
              <w:spacing w:after="0"/>
              <w:rPr>
                <w:rFonts w:cstheme="majorHAnsi"/>
                <w:sz w:val="20"/>
                <w:szCs w:val="20"/>
              </w:rPr>
            </w:pPr>
            <w:r w:rsidRPr="00C34A8D">
              <w:rPr>
                <w:rFonts w:cstheme="majorHAnsi"/>
                <w:sz w:val="20"/>
                <w:szCs w:val="20"/>
              </w:rPr>
              <w:t>20</w:t>
            </w:r>
          </w:p>
        </w:tc>
        <w:tc>
          <w:tcPr>
            <w:tcW w:w="4436" w:type="dxa"/>
          </w:tcPr>
          <w:p w:rsidR="008C3DF7" w:rsidRPr="004B7E2C" w:rsidP="008C3DF7">
            <w:pPr>
              <w:spacing w:after="0"/>
              <w:rPr>
                <w:rFonts w:cstheme="majorHAnsi"/>
                <w:sz w:val="20"/>
                <w:szCs w:val="20"/>
              </w:rPr>
            </w:pPr>
            <w:r w:rsidRPr="00C34A8D">
              <w:rPr>
                <w:rFonts w:cstheme="majorHAnsi"/>
                <w:sz w:val="20"/>
                <w:szCs w:val="20"/>
              </w:rPr>
              <w:t>Self-regulation/governance is impossible</w:t>
            </w:r>
          </w:p>
        </w:tc>
        <w:tc>
          <w:tcPr>
            <w:tcW w:w="4919" w:type="dxa"/>
            <w:tcBorders>
              <w:right w:val="single" w:sz="4" w:space="0" w:color="C0504D" w:themeColor="accent2"/>
            </w:tcBorders>
          </w:tcPr>
          <w:p w:rsidR="008C3DF7" w:rsidRPr="004B7E2C" w:rsidP="008C3DF7">
            <w:pPr>
              <w:spacing w:after="0"/>
              <w:rPr>
                <w:rFonts w:cstheme="majorHAnsi"/>
                <w:sz w:val="20"/>
                <w:szCs w:val="20"/>
              </w:rPr>
            </w:pPr>
            <w:r w:rsidRPr="00C34A8D">
              <w:rPr>
                <w:rFonts w:cstheme="majorHAnsi"/>
                <w:sz w:val="20"/>
                <w:szCs w:val="20"/>
              </w:rPr>
              <w:t>Self-governance shrinks costs &amp; size of government</w:t>
            </w:r>
          </w:p>
        </w:tc>
      </w:tr>
    </w:tbl>
    <w:p w:rsidR="008C3DF7" w:rsidRPr="004B7E2C" w:rsidP="008C3DF7">
      <w:pPr>
        <w:spacing w:after="120"/>
        <w:rPr>
          <w:rFonts w:cstheme="majorHAnsi"/>
          <w:color w:val="333333"/>
          <w:sz w:val="4"/>
          <w:szCs w:val="2"/>
          <w:lang w:val="en-AU"/>
        </w:rPr>
      </w:pPr>
    </w:p>
    <w:p w:rsidR="0082247D" w:rsidP="0082247D">
      <w:pPr>
        <w:spacing w:after="120"/>
        <w:jc w:val="right"/>
        <w:rPr>
          <w:rFonts w:cstheme="majorHAnsi"/>
          <w:i/>
          <w:iCs/>
          <w:color w:val="0000FF"/>
          <w:sz w:val="20"/>
          <w:szCs w:val="20"/>
          <w:u w:val="single"/>
        </w:rPr>
      </w:pPr>
      <w:r w:rsidRPr="00C34A8D">
        <w:rPr>
          <w:rFonts w:cstheme="majorHAnsi"/>
          <w:i/>
          <w:iCs/>
          <w:color w:val="333333"/>
          <w:sz w:val="20"/>
          <w:szCs w:val="18"/>
          <w:lang w:val="en-AU"/>
        </w:rPr>
        <w:t xml:space="preserve">Also presented in Turnbull, S. 2020. </w:t>
      </w:r>
      <w:r w:rsidRPr="00C34A8D">
        <w:rPr>
          <w:rFonts w:cstheme="majorHAnsi"/>
          <w:b/>
          <w:i/>
          <w:iCs/>
          <w:color w:val="000000"/>
          <w:sz w:val="20"/>
          <w:szCs w:val="14"/>
        </w:rPr>
        <w:t>Do we need “A new model of corporate governance?”</w:t>
      </w:r>
      <w:r w:rsidRPr="00C34A8D">
        <w:rPr>
          <w:rFonts w:cstheme="majorHAnsi"/>
          <w:i/>
          <w:iCs/>
          <w:sz w:val="20"/>
          <w:szCs w:val="20"/>
        </w:rPr>
        <w:t xml:space="preserve"> </w:t>
      </w:r>
      <w:r>
        <w:fldChar w:fldCharType="begin"/>
      </w:r>
      <w:r>
        <w:instrText xml:space="preserve"> HYPERLINK "https://papers.ssrn.com/sol3/papers.cfm?abstract_id=3735205" </w:instrText>
      </w:r>
      <w:r>
        <w:fldChar w:fldCharType="separate"/>
      </w:r>
      <w:r w:rsidRPr="00C34A8D">
        <w:rPr>
          <w:rStyle w:val="Hyperlink"/>
          <w:rFonts w:cstheme="majorHAnsi"/>
          <w:i/>
          <w:iCs/>
          <w:sz w:val="20"/>
          <w:szCs w:val="20"/>
        </w:rPr>
        <w:t>https://papers.ssrn.com/sol3/papers.cfm?abstract_id=3735205</w:t>
      </w:r>
      <w:r>
        <w:fldChar w:fldCharType="end"/>
      </w:r>
      <w:r w:rsidRPr="00C34A8D">
        <w:rPr>
          <w:rFonts w:cstheme="majorHAnsi"/>
          <w:i/>
          <w:iCs/>
          <w:color w:val="0000FF"/>
          <w:sz w:val="20"/>
          <w:szCs w:val="20"/>
          <w:u w:val="single"/>
        </w:rPr>
        <w:t xml:space="preserve"> </w:t>
      </w:r>
    </w:p>
    <w:p w:rsidR="000662BB" w:rsidRPr="0082247D" w:rsidP="0082247D">
      <w:pPr>
        <w:spacing w:after="120"/>
        <w:jc w:val="right"/>
        <w:rPr>
          <w:rFonts w:cstheme="majorHAnsi"/>
          <w:i/>
          <w:iCs/>
          <w:color w:val="0000FF"/>
          <w:sz w:val="20"/>
          <w:szCs w:val="20"/>
          <w:u w:val="single"/>
        </w:rPr>
      </w:pPr>
    </w:p>
    <w:p w:rsidR="008C3DF7" w:rsidRPr="009A198B" w:rsidP="0082247D">
      <w:pPr>
        <w:spacing w:after="120"/>
        <w:ind w:right="142"/>
        <w:jc w:val="both"/>
        <w:rPr>
          <w:rFonts w:cstheme="majorHAnsi"/>
        </w:rPr>
      </w:pPr>
      <w:r w:rsidRPr="00C34A8D">
        <w:rPr>
          <w:rFonts w:cstheme="majorHAnsi"/>
        </w:rPr>
        <w:t xml:space="preserve">In 1978 your author revised the constitution of </w:t>
      </w:r>
      <w:r w:rsidRPr="00C34A8D">
        <w:rPr>
          <w:rFonts w:cstheme="majorHAnsi"/>
          <w:i/>
          <w:iCs/>
        </w:rPr>
        <w:t>The Company Directors Association of Australia</w:t>
      </w:r>
      <w:r w:rsidRPr="00C34A8D">
        <w:rPr>
          <w:rFonts w:cstheme="majorHAnsi"/>
        </w:rPr>
        <w:t xml:space="preserve">, to introduce self-governing state chapters. The Association merged with another organization in 1990 to become </w:t>
      </w:r>
      <w:r w:rsidRPr="00C34A8D">
        <w:rPr>
          <w:rFonts w:cstheme="majorHAnsi"/>
          <w:i/>
          <w:iCs/>
        </w:rPr>
        <w:t>The Australian Institute of Company Directors</w:t>
      </w:r>
      <w:r w:rsidRPr="00C34A8D">
        <w:rPr>
          <w:rFonts w:cstheme="majorHAnsi"/>
        </w:rPr>
        <w:t xml:space="preserve">. The election of State Committees was maintained to facilitate self-governance to locally engage with members. While Australia has only a fraction of the population of either the US or the UK, the membership of AICD is now about twice that of either the centrally controlled </w:t>
      </w:r>
      <w:r w:rsidRPr="00C34A8D">
        <w:rPr>
          <w:rFonts w:cstheme="majorHAnsi"/>
          <w:i/>
          <w:iCs/>
        </w:rPr>
        <w:t>National Association of Corporate Directors</w:t>
      </w:r>
      <w:r w:rsidRPr="00C34A8D">
        <w:rPr>
          <w:rFonts w:cstheme="majorHAnsi"/>
        </w:rPr>
        <w:t xml:space="preserve"> in the US or </w:t>
      </w:r>
      <w:r w:rsidRPr="00C34A8D">
        <w:rPr>
          <w:rFonts w:cstheme="majorHAnsi"/>
          <w:i/>
          <w:iCs/>
        </w:rPr>
        <w:t>the Institute of Directors</w:t>
      </w:r>
      <w:r w:rsidRPr="00C34A8D">
        <w:rPr>
          <w:rFonts w:cstheme="majorHAnsi"/>
        </w:rPr>
        <w:t xml:space="preserve"> in the UK. Empowering local citizens with the information, power, resources, and incentive to act </w:t>
      </w:r>
      <w:r w:rsidRPr="00C34A8D">
        <w:rPr>
          <w:rFonts w:cstheme="majorHAnsi"/>
        </w:rPr>
        <w:t>enriches democracy at a systemic bottom-up basis. While this introduces complexity it need not involve governments as discussed above. Ostrom provided evidence that these structures have existed sinc</w:t>
      </w:r>
      <w:r>
        <w:rPr>
          <w:rFonts w:cstheme="majorHAnsi"/>
        </w:rPr>
        <w:t>e pre-modern times, well before</w:t>
      </w:r>
      <w:r w:rsidRPr="00C34A8D">
        <w:rPr>
          <w:rFonts w:cstheme="majorHAnsi"/>
        </w:rPr>
        <w:t xml:space="preserve"> states or markets existed. She described how groups competing for shared life-sustaining resources could become self-regulating. This avoided what is described as the “</w:t>
      </w:r>
      <w:r w:rsidRPr="00C34A8D">
        <w:rPr>
          <w:rFonts w:cstheme="majorHAnsi"/>
          <w:i/>
          <w:iCs/>
        </w:rPr>
        <w:t>Tragedy Of The Commons</w:t>
      </w:r>
      <w:r w:rsidRPr="00C34A8D">
        <w:rPr>
          <w:rFonts w:cstheme="majorHAnsi"/>
        </w:rPr>
        <w:t>” when competing self-interests results in excess exploitation to deny the resource for everyone. The same situation exists with shareholders competing with other stakeholders for the resources of a corporation.</w:t>
      </w:r>
    </w:p>
    <w:p w:rsidR="008C3DF7" w:rsidRPr="009A198B" w:rsidP="008C3DF7">
      <w:pPr>
        <w:spacing w:after="120"/>
        <w:ind w:right="142"/>
        <w:jc w:val="both"/>
        <w:rPr>
          <w:rFonts w:cstheme="majorHAnsi"/>
          <w:bCs/>
          <w:szCs w:val="28"/>
          <w:u w:val="single"/>
        </w:rPr>
      </w:pPr>
      <w:r w:rsidRPr="009A198B">
        <w:rPr>
          <w:rFonts w:cstheme="majorHAnsi"/>
          <w:bCs/>
          <w:szCs w:val="28"/>
          <w:u w:val="single"/>
        </w:rPr>
        <w:t>2.4 Polycentric Governance</w:t>
      </w:r>
    </w:p>
    <w:p w:rsidR="008C3DF7" w:rsidRPr="004B7E2C" w:rsidP="008C3DF7">
      <w:pPr>
        <w:spacing w:after="120"/>
        <w:ind w:right="142"/>
        <w:jc w:val="both"/>
        <w:rPr>
          <w:rFonts w:cstheme="majorHAnsi"/>
        </w:rPr>
      </w:pPr>
      <w:r w:rsidRPr="00C34A8D">
        <w:rPr>
          <w:rFonts w:cstheme="majorHAnsi"/>
        </w:rPr>
        <w:t>A generic, simplistic illustration of how existing public corporations could transition to an ecological, “</w:t>
      </w:r>
      <w:r w:rsidRPr="00C34A8D">
        <w:rPr>
          <w:rFonts w:cstheme="majorHAnsi"/>
          <w:i/>
          <w:iCs/>
        </w:rPr>
        <w:t>polycentric</w:t>
      </w:r>
      <w:r w:rsidRPr="00C34A8D">
        <w:rPr>
          <w:rFonts w:cstheme="majorHAnsi"/>
        </w:rPr>
        <w:t xml:space="preserve">” self-governing organizational structure that provides benefits for all stakeholders is provided in Figure 1. One vote per share for directors maintains shareholder primacy while one vote per stakeholder introduces democracy. In this way, creative tensions are established to negotiate win-win solutions. </w:t>
      </w:r>
    </w:p>
    <w:p w:rsidR="008C3DF7" w:rsidP="008C3DF7">
      <w:pPr>
        <w:spacing w:after="120"/>
        <w:jc w:val="center"/>
        <w:rPr>
          <w:rFonts w:cstheme="majorHAnsi"/>
          <w:b/>
          <w:bCs/>
          <w:sz w:val="22"/>
          <w:szCs w:val="22"/>
        </w:rPr>
      </w:pPr>
      <w:r w:rsidRPr="00C34A8D">
        <w:rPr>
          <w:rFonts w:cstheme="majorHAnsi"/>
          <w:b/>
          <w:bCs/>
          <w:sz w:val="22"/>
          <w:szCs w:val="22"/>
        </w:rPr>
        <w:t>Figure 1</w:t>
      </w:r>
      <w:r>
        <w:rPr>
          <w:rFonts w:cstheme="majorHAnsi"/>
          <w:b/>
          <w:bCs/>
          <w:sz w:val="22"/>
          <w:szCs w:val="22"/>
        </w:rPr>
        <w:t>,</w:t>
      </w:r>
      <w:r w:rsidRPr="00C34A8D">
        <w:rPr>
          <w:rFonts w:cstheme="majorHAnsi"/>
          <w:b/>
          <w:bCs/>
          <w:sz w:val="22"/>
          <w:szCs w:val="22"/>
        </w:rPr>
        <w:t xml:space="preserve"> How Mimicking Nature Can Mitigate </w:t>
      </w:r>
      <w:r>
        <w:rPr>
          <w:rFonts w:cstheme="majorHAnsi"/>
          <w:b/>
          <w:bCs/>
          <w:sz w:val="22"/>
          <w:szCs w:val="22"/>
        </w:rPr>
        <w:t>Systemic Problems Of Hierarchies</w:t>
      </w:r>
    </w:p>
    <w:p w:rsidR="008C3DF7" w:rsidRPr="00C108CB" w:rsidP="008C3DF7">
      <w:pPr>
        <w:spacing w:after="120"/>
        <w:jc w:val="center"/>
        <w:rPr>
          <w:rFonts w:cstheme="majorHAnsi"/>
          <w:b/>
          <w:bCs/>
          <w:sz w:val="22"/>
          <w:szCs w:val="22"/>
        </w:rPr>
      </w:pPr>
      <w:r>
        <w:rPr>
          <w:noProof/>
        </w:rPr>
        <w:drawing>
          <wp:inline distT="0" distB="0" distL="0" distR="0">
            <wp:extent cx="5755640" cy="32746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5"/>
                    <a:stretch>
                      <a:fillRect/>
                    </a:stretch>
                  </pic:blipFill>
                  <pic:spPr>
                    <a:xfrm>
                      <a:off x="0" y="0"/>
                      <a:ext cx="5755640" cy="3274695"/>
                    </a:xfrm>
                    <a:prstGeom prst="rect">
                      <a:avLst/>
                    </a:prstGeom>
                  </pic:spPr>
                </pic:pic>
              </a:graphicData>
            </a:graphic>
          </wp:inline>
        </w:drawing>
      </w:r>
    </w:p>
    <w:p w:rsidR="008C3DF7" w:rsidRPr="004B7E2C" w:rsidP="008C3DF7">
      <w:pPr>
        <w:spacing w:after="120"/>
        <w:ind w:right="142"/>
        <w:jc w:val="both"/>
        <w:rPr>
          <w:rFonts w:cstheme="majorHAnsi"/>
        </w:rPr>
      </w:pPr>
      <w:r w:rsidRPr="00C34A8D">
        <w:rPr>
          <w:rFonts w:cstheme="majorHAnsi"/>
        </w:rPr>
        <w:t xml:space="preserve">Crucially, the separation of the power to manage the business from the power to govern the corporation guarantees stakeholder voices are heard to protect and further their interests. Each self-governing stakeholder constituency can both contest and/or support any one or more other constituencies, including shareholders accountable to society for benefiting citizen stakeholders. In this way, regulation becomes integrated into democracy rather than hollowing it out with poorly accountable State officials. </w:t>
      </w:r>
    </w:p>
    <w:p w:rsidR="008C3DF7" w:rsidRPr="004B7E2C" w:rsidP="008C3DF7">
      <w:pPr>
        <w:spacing w:after="120"/>
        <w:ind w:right="142"/>
        <w:jc w:val="both"/>
        <w:rPr>
          <w:rFonts w:cstheme="majorHAnsi"/>
        </w:rPr>
      </w:pPr>
      <w:r w:rsidRPr="00C34A8D">
        <w:rPr>
          <w:rFonts w:cstheme="majorHAnsi"/>
        </w:rPr>
        <w:t>Enriching democracy and regulation becomes dependent on establishing “</w:t>
      </w:r>
      <w:r w:rsidRPr="00C34A8D">
        <w:rPr>
          <w:rFonts w:cstheme="majorHAnsi"/>
          <w:i/>
          <w:iCs/>
        </w:rPr>
        <w:t>a community of stakeholders</w:t>
      </w:r>
      <w:r w:rsidRPr="00C34A8D">
        <w:rPr>
          <w:rFonts w:cstheme="majorHAnsi"/>
        </w:rPr>
        <w:t xml:space="preserve">” as noted by </w:t>
      </w:r>
      <w:r>
        <w:fldChar w:fldCharType="begin"/>
      </w:r>
      <w:r>
        <w:instrText xml:space="preserve"> HYPERLINK "https://www.zyen.com/media/documents/BSICISILF_Backing_Market_Forces_November2013.pdf" </w:instrText>
      </w:r>
      <w:r>
        <w:fldChar w:fldCharType="separate"/>
      </w:r>
      <w:r w:rsidRPr="00C34A8D">
        <w:rPr>
          <w:rStyle w:val="Hyperlink"/>
          <w:rFonts w:cstheme="majorHAnsi"/>
        </w:rPr>
        <w:t>Mainelli &amp; Gunten</w:t>
      </w:r>
      <w:r>
        <w:fldChar w:fldCharType="end"/>
      </w:r>
      <w:r>
        <w:rPr>
          <w:rStyle w:val="FootnoteReference"/>
          <w:rFonts w:cstheme="majorHAnsi"/>
        </w:rPr>
        <w:footnoteReference w:id="29"/>
      </w:r>
      <w:r w:rsidRPr="00C34A8D">
        <w:rPr>
          <w:rFonts w:cstheme="majorHAnsi"/>
        </w:rPr>
        <w:t xml:space="preserve">.  This allows the private sector to continuously define acceptable standards for both firms and stakeholders while facilitating innovations to increase economy, efficiency, and effectiveness. The professionally qualified and paid </w:t>
      </w:r>
      <w:r w:rsidRPr="00C34A8D">
        <w:rPr>
          <w:rFonts w:cstheme="majorHAnsi"/>
        </w:rPr>
        <w:t xml:space="preserve">stakeholder advocates/management mentors would replace the need for either government or corporate ombudspersons.  </w:t>
      </w:r>
    </w:p>
    <w:p w:rsidR="008C3DF7" w:rsidRPr="004B7E2C" w:rsidP="008C3DF7">
      <w:pPr>
        <w:spacing w:after="120"/>
        <w:ind w:right="142"/>
        <w:jc w:val="both"/>
        <w:rPr>
          <w:rFonts w:cstheme="majorHAnsi"/>
        </w:rPr>
      </w:pPr>
      <w:r w:rsidRPr="00C34A8D">
        <w:rPr>
          <w:rFonts w:cstheme="majorHAnsi"/>
        </w:rPr>
        <w:t xml:space="preserve">Ideally, each stakeholder constituency would be established by corporate constitutions. Alternatively, each stakeholder constituency for each firm could be incorporated separately as a non-profit civic organization as mandated by the regulator. The regulator would grant corporations discretionary self-governing powers in exchange for them funding stakeholder constituencies to independently and competitively selecting and controlling their advocates. The advocates would also become co-regulators with their qualifications and pay determined by the regulator. </w:t>
      </w:r>
    </w:p>
    <w:p w:rsidR="008C3DF7" w:rsidRPr="004B7E2C" w:rsidP="008C3DF7">
      <w:pPr>
        <w:spacing w:after="120"/>
        <w:ind w:right="142"/>
        <w:jc w:val="both"/>
        <w:rPr>
          <w:rFonts w:cstheme="majorHAnsi"/>
        </w:rPr>
      </w:pPr>
      <w:r w:rsidRPr="00C34A8D">
        <w:rPr>
          <w:rFonts w:cstheme="majorHAnsi"/>
        </w:rPr>
        <w:t>The Key Performance Indicators used by governments to evaluate and remunerate their regulators would be determined by an association of stakeholder elected advocates. As a result, the “</w:t>
      </w:r>
      <w:r w:rsidRPr="00C34A8D">
        <w:rPr>
          <w:rFonts w:cstheme="majorHAnsi"/>
          <w:i/>
          <w:iCs/>
        </w:rPr>
        <w:t>governance structure is accountable to its stakeholders</w:t>
      </w:r>
      <w:r w:rsidRPr="00C34A8D">
        <w:rPr>
          <w:rFonts w:cstheme="majorHAnsi"/>
        </w:rPr>
        <w:t xml:space="preserve">” as proposed by </w:t>
      </w:r>
      <w:r>
        <w:fldChar w:fldCharType="begin"/>
      </w:r>
      <w:r>
        <w:instrText xml:space="preserve"> HYPERLINK "https://www.zyen.com/publications/public-reports/responsibility-without-power-the-governance-of-mutual-distributed-ledgers-aka-blockchains/" </w:instrText>
      </w:r>
      <w:r>
        <w:fldChar w:fldCharType="separate"/>
      </w:r>
      <w:r w:rsidRPr="00C34A8D">
        <w:rPr>
          <w:rStyle w:val="Hyperlink"/>
          <w:rFonts w:cstheme="majorHAnsi"/>
        </w:rPr>
        <w:t>Mills and McDowall</w:t>
      </w:r>
      <w:r>
        <w:fldChar w:fldCharType="end"/>
      </w:r>
      <w:r>
        <w:rPr>
          <w:rStyle w:val="FootnoteReference"/>
          <w:rFonts w:cstheme="majorHAnsi"/>
        </w:rPr>
        <w:footnoteReference w:id="30"/>
      </w:r>
      <w:r w:rsidRPr="00C34A8D">
        <w:rPr>
          <w:rFonts w:cstheme="majorHAnsi"/>
        </w:rPr>
        <w:t>. This is another way of enriching democracy.</w:t>
      </w:r>
    </w:p>
    <w:p w:rsidR="008C3DF7" w:rsidRPr="004B7E2C" w:rsidP="008C3DF7">
      <w:pPr>
        <w:spacing w:after="120"/>
        <w:ind w:right="142"/>
        <w:jc w:val="both"/>
        <w:rPr>
          <w:rFonts w:cstheme="majorHAnsi"/>
        </w:rPr>
      </w:pPr>
      <w:r w:rsidRPr="00C34A8D">
        <w:rPr>
          <w:rFonts w:cstheme="majorHAnsi"/>
        </w:rPr>
        <w:t>These suggestions are also encouraged by the various US initiatives introduced by Ralph Nader half a century ago. One initiative was the formation of Citizen Utility Boards (</w:t>
      </w:r>
      <w:r>
        <w:fldChar w:fldCharType="begin"/>
      </w:r>
      <w:r>
        <w:instrText xml:space="preserve"> HYPERLINK "http://www.cpil.org/download/CUB_Report.pdf" </w:instrText>
      </w:r>
      <w:r>
        <w:fldChar w:fldCharType="separate"/>
      </w:r>
      <w:r w:rsidRPr="00C34A8D">
        <w:rPr>
          <w:rStyle w:val="Hyperlink"/>
          <w:rFonts w:cstheme="majorHAnsi"/>
        </w:rPr>
        <w:t>CUBs</w:t>
      </w:r>
      <w:r>
        <w:fldChar w:fldCharType="end"/>
      </w:r>
      <w:r w:rsidRPr="00C34A8D">
        <w:rPr>
          <w:rFonts w:cstheme="majorHAnsi"/>
        </w:rPr>
        <w:t>)</w:t>
      </w:r>
      <w:r>
        <w:rPr>
          <w:rStyle w:val="FootnoteReference"/>
          <w:rFonts w:cstheme="majorHAnsi"/>
        </w:rPr>
        <w:footnoteReference w:id="31"/>
      </w:r>
      <w:r w:rsidRPr="00C34A8D">
        <w:rPr>
          <w:rFonts w:cstheme="majorHAnsi"/>
        </w:rPr>
        <w:t>. These empowered and informed stakeholders to act as watchdogs, whistleblowers, and counter corporate directors capturing government regulators. Your author acted in this way for 13 years as an unpaid director of the non-profit Australian Shareholders Association.</w:t>
      </w:r>
    </w:p>
    <w:p w:rsidR="008C3DF7" w:rsidRPr="004B7E2C" w:rsidP="008C3DF7">
      <w:pPr>
        <w:spacing w:after="120"/>
        <w:ind w:right="142"/>
        <w:jc w:val="both"/>
        <w:rPr>
          <w:rFonts w:cstheme="majorHAnsi"/>
        </w:rPr>
      </w:pPr>
      <w:r w:rsidRPr="00C34A8D">
        <w:rPr>
          <w:rFonts w:cstheme="majorHAnsi"/>
        </w:rPr>
        <w:t xml:space="preserve">Ostrom identified design rules for introducing self-regulation of natural resources. Your author has </w:t>
      </w:r>
      <w:r>
        <w:fldChar w:fldCharType="begin"/>
      </w:r>
      <w:r>
        <w:instrText xml:space="preserve"> HYPERLINK "https://papers.ssrn.com/abstract_id=3735205" </w:instrText>
      </w:r>
      <w:r>
        <w:fldChar w:fldCharType="separate"/>
      </w:r>
      <w:r w:rsidRPr="00C34A8D">
        <w:rPr>
          <w:rStyle w:val="Hyperlink"/>
          <w:rFonts w:cstheme="majorHAnsi"/>
        </w:rPr>
        <w:t>reformatted these rules</w:t>
      </w:r>
      <w:r>
        <w:fldChar w:fldCharType="end"/>
      </w:r>
      <w:r>
        <w:rPr>
          <w:rStyle w:val="FootnoteReference"/>
          <w:rFonts w:cstheme="majorHAnsi"/>
        </w:rPr>
        <w:footnoteReference w:id="32"/>
      </w:r>
      <w:r w:rsidRPr="00C34A8D">
        <w:rPr>
          <w:rFonts w:cstheme="majorHAnsi"/>
        </w:rPr>
        <w:t xml:space="preserve"> to apply to corporations and their stakeholders. They create </w:t>
      </w:r>
      <w:r w:rsidRPr="00C34A8D">
        <w:rPr>
          <w:rFonts w:cstheme="majorHAnsi"/>
          <w:i/>
          <w:iCs/>
        </w:rPr>
        <w:t>“A new model for corporate governance</w:t>
      </w:r>
      <w:r w:rsidRPr="00C34A8D">
        <w:rPr>
          <w:rFonts w:cstheme="majorHAnsi"/>
        </w:rPr>
        <w:t xml:space="preserve">”. This is wanted by </w:t>
      </w:r>
      <w:r>
        <w:fldChar w:fldCharType="begin"/>
      </w:r>
      <w:r>
        <w:instrText xml:space="preserve"> HYPERLINK "https://www.blackrock.com/corporate/investor-relations/2018-larry-fink-ceo-letter" </w:instrText>
      </w:r>
      <w:r>
        <w:fldChar w:fldCharType="separate"/>
      </w:r>
      <w:r w:rsidRPr="00C34A8D">
        <w:rPr>
          <w:rStyle w:val="Hyperlink"/>
          <w:rFonts w:cstheme="majorHAnsi"/>
        </w:rPr>
        <w:t>Larry Fink</w:t>
      </w:r>
      <w:r>
        <w:fldChar w:fldCharType="end"/>
      </w:r>
      <w:r>
        <w:rPr>
          <w:rStyle w:val="FootnoteReference"/>
          <w:rFonts w:cstheme="majorHAnsi"/>
        </w:rPr>
        <w:footnoteReference w:id="33"/>
      </w:r>
      <w:r w:rsidRPr="00C34A8D">
        <w:rPr>
          <w:rFonts w:cstheme="majorHAnsi"/>
        </w:rPr>
        <w:t>, the CEO of the biggest asset manager in the world to “</w:t>
      </w:r>
      <w:r w:rsidRPr="00C34A8D">
        <w:rPr>
          <w:rFonts w:cstheme="majorHAnsi"/>
          <w:i/>
          <w:iCs/>
        </w:rPr>
        <w:t>provide benefits for all stakeholders</w:t>
      </w:r>
      <w:r w:rsidRPr="00C34A8D">
        <w:rPr>
          <w:rFonts w:cstheme="majorHAnsi"/>
        </w:rPr>
        <w:t>.” An objective supported in 2019 by 180 of Fink’s CEO colleagues from the US Business Round Table who also had Fink as a shareholder.</w:t>
      </w:r>
    </w:p>
    <w:p w:rsidR="008C3DF7" w:rsidRPr="004B7E2C" w:rsidP="008C3DF7">
      <w:pPr>
        <w:spacing w:after="120"/>
        <w:ind w:right="142"/>
        <w:jc w:val="both"/>
        <w:rPr>
          <w:rFonts w:cstheme="majorHAnsi"/>
        </w:rPr>
      </w:pPr>
      <w:r w:rsidRPr="00C34A8D">
        <w:rPr>
          <w:rFonts w:cstheme="majorHAnsi"/>
        </w:rPr>
        <w:t>The “</w:t>
      </w:r>
      <w:r>
        <w:fldChar w:fldCharType="begin"/>
      </w:r>
      <w:r>
        <w:instrText xml:space="preserve"> HYPERLINK "https://papers.ssrn.com/sol3/papers.cfm?abstract_id=319867" </w:instrText>
      </w:r>
      <w:r>
        <w:fldChar w:fldCharType="separate"/>
      </w:r>
      <w:r w:rsidRPr="00C34A8D">
        <w:rPr>
          <w:rStyle w:val="Hyperlink"/>
          <w:rFonts w:cstheme="majorHAnsi"/>
        </w:rPr>
        <w:t>new way to govern</w:t>
      </w:r>
      <w:r>
        <w:fldChar w:fldCharType="end"/>
      </w:r>
      <w:r>
        <w:rPr>
          <w:rStyle w:val="FootnoteReference"/>
          <w:rFonts w:cstheme="majorHAnsi"/>
        </w:rPr>
        <w:footnoteReference w:id="34"/>
      </w:r>
      <w:r w:rsidRPr="00C34A8D">
        <w:rPr>
          <w:rFonts w:cstheme="majorHAnsi"/>
        </w:rPr>
        <w:t xml:space="preserve">” would not require any changes in the Law, only perhaps changes in corporate constitutions and/or how regulators regulate.   The changes would introduce stakeholder self-regulation. The enduring competitive advantages and resiliency of bottom-up governance being introduced with top-down controls are illustrated in many stakeholder-governed businesses around the world. Examples that have existed for half a century or more are </w:t>
      </w:r>
      <w:r w:rsidRPr="00C34A8D">
        <w:rPr>
          <w:rFonts w:cstheme="majorHAnsi"/>
          <w:i/>
          <w:iCs/>
        </w:rPr>
        <w:t>VISA International</w:t>
      </w:r>
      <w:r w:rsidRPr="00C34A8D">
        <w:rPr>
          <w:rFonts w:cstheme="majorHAnsi"/>
        </w:rPr>
        <w:t xml:space="preserve"> in the US, </w:t>
      </w:r>
      <w:r w:rsidRPr="00C34A8D">
        <w:rPr>
          <w:rFonts w:cstheme="majorHAnsi"/>
          <w:i/>
          <w:iCs/>
        </w:rPr>
        <w:t>The John Lewis Partnership</w:t>
      </w:r>
      <w:r w:rsidRPr="00C34A8D">
        <w:rPr>
          <w:rFonts w:cstheme="majorHAnsi"/>
        </w:rPr>
        <w:t xml:space="preserve"> in the UK, and the </w:t>
      </w:r>
      <w:r w:rsidRPr="00C34A8D">
        <w:rPr>
          <w:rFonts w:cstheme="majorHAnsi"/>
          <w:i/>
          <w:iCs/>
        </w:rPr>
        <w:t>Mondragon Cooperatives</w:t>
      </w:r>
      <w:r w:rsidRPr="00C34A8D">
        <w:rPr>
          <w:rFonts w:cstheme="majorHAnsi"/>
        </w:rPr>
        <w:t xml:space="preserve"> in Europe. </w:t>
      </w:r>
    </w:p>
    <w:p w:rsidR="008C3DF7" w:rsidRPr="004B7E2C" w:rsidP="008C3DF7">
      <w:pPr>
        <w:spacing w:after="120"/>
        <w:ind w:right="142"/>
        <w:jc w:val="both"/>
        <w:rPr>
          <w:rFonts w:cstheme="majorHAnsi"/>
        </w:rPr>
      </w:pPr>
      <w:r w:rsidRPr="00C34A8D">
        <w:rPr>
          <w:rFonts w:cstheme="majorHAnsi"/>
        </w:rPr>
        <w:t xml:space="preserve">Self-financing tax incentives could be used to obtain shareholder agreement to change corporate constitutions to introduce elements of bottom-up self-regulation and self-governance. The tax incentives would introduce bigger profits quicker with less risk to provide institutional investors with a fiduciary duty to agree to change corporate constitutions.  </w:t>
      </w:r>
      <w:r w:rsidRPr="00C34A8D">
        <w:rPr>
          <w:rFonts w:cstheme="majorHAnsi"/>
        </w:rPr>
        <w:t xml:space="preserve">The cost-benefit metrics of this proposal are provided in my </w:t>
      </w:r>
      <w:r>
        <w:fldChar w:fldCharType="begin"/>
      </w:r>
      <w:r>
        <w:instrText xml:space="preserve"> HYPERLINK "mailto:http://papers.ssrn.com/sol3/paper.taf%3FABSTRACT_ID=11355" </w:instrText>
      </w:r>
      <w:r>
        <w:fldChar w:fldCharType="separate"/>
      </w:r>
      <w:r w:rsidRPr="00C34A8D">
        <w:rPr>
          <w:rStyle w:val="Hyperlink"/>
          <w:rFonts w:cstheme="majorHAnsi"/>
        </w:rPr>
        <w:t>academic articles</w:t>
      </w:r>
      <w:r>
        <w:fldChar w:fldCharType="end"/>
      </w:r>
      <w:r>
        <w:rPr>
          <w:rStyle w:val="FootnoteReference"/>
          <w:rFonts w:cstheme="majorHAnsi"/>
        </w:rPr>
        <w:footnoteReference w:id="35"/>
      </w:r>
      <w:r w:rsidRPr="00C34A8D">
        <w:rPr>
          <w:rFonts w:cstheme="majorHAnsi"/>
        </w:rPr>
        <w:t xml:space="preserve"> and the Appendix of my 1975 book </w:t>
      </w:r>
      <w:r>
        <w:fldChar w:fldCharType="begin"/>
      </w:r>
      <w:r>
        <w:instrText xml:space="preserve"> HYPERLINK "https://papers.ssrn.com/abstract_id=1146062" </w:instrText>
      </w:r>
      <w:r>
        <w:fldChar w:fldCharType="separate"/>
      </w:r>
      <w:r w:rsidRPr="00C34A8D">
        <w:rPr>
          <w:rStyle w:val="Hyperlink"/>
          <w:rFonts w:cstheme="majorHAnsi"/>
          <w:i/>
        </w:rPr>
        <w:t>Democratising the wealth of nations</w:t>
      </w:r>
      <w:r>
        <w:fldChar w:fldCharType="end"/>
      </w:r>
      <w:r>
        <w:rPr>
          <w:rStyle w:val="FootnoteReference"/>
          <w:rFonts w:cstheme="majorHAnsi"/>
          <w:i/>
        </w:rPr>
        <w:footnoteReference w:id="36"/>
      </w:r>
      <w:r w:rsidRPr="00C34A8D">
        <w:rPr>
          <w:rFonts w:cstheme="majorHAnsi"/>
        </w:rPr>
        <w:t>.</w:t>
      </w:r>
    </w:p>
    <w:p w:rsidR="008C3DF7" w:rsidRPr="004B7E2C" w:rsidP="008C3DF7">
      <w:pPr>
        <w:spacing w:after="120"/>
        <w:ind w:right="142"/>
        <w:jc w:val="both"/>
        <w:rPr>
          <w:rFonts w:cstheme="majorHAnsi"/>
        </w:rPr>
      </w:pPr>
      <w:r w:rsidRPr="00C34A8D">
        <w:rPr>
          <w:rFonts w:cstheme="majorHAnsi"/>
        </w:rPr>
        <w:t>The tax incentives become self-financing because the tax base moves from corporations that are typically taxed at a lower rate to individual stakeholders who become beneficiaries of corporate benefits. The stakeholder benefits also generate a universal well-being income to privatize welfare as well as regulation. The cost, size, and intrusiveness of government are reduced to further enrich democracy.</w:t>
      </w:r>
    </w:p>
    <w:p w:rsidR="008C3DF7" w:rsidRPr="009A198B" w:rsidP="008C3DF7">
      <w:pPr>
        <w:spacing w:after="120"/>
        <w:ind w:right="142"/>
        <w:jc w:val="both"/>
        <w:rPr>
          <w:rFonts w:cstheme="majorHAnsi"/>
          <w:bCs/>
          <w:szCs w:val="28"/>
          <w:u w:val="single"/>
        </w:rPr>
      </w:pPr>
      <w:r w:rsidRPr="009A198B">
        <w:rPr>
          <w:rFonts w:cstheme="majorHAnsi"/>
          <w:bCs/>
          <w:szCs w:val="28"/>
          <w:u w:val="single"/>
        </w:rPr>
        <w:t>2.5 Conclusion</w:t>
      </w:r>
    </w:p>
    <w:p w:rsidR="008C3DF7" w:rsidRPr="004B7E2C" w:rsidP="008C3DF7">
      <w:pPr>
        <w:spacing w:after="120"/>
        <w:ind w:right="142"/>
        <w:jc w:val="both"/>
        <w:rPr>
          <w:rFonts w:cstheme="majorHAnsi"/>
        </w:rPr>
      </w:pPr>
      <w:r w:rsidRPr="00C34A8D">
        <w:rPr>
          <w:rFonts w:cstheme="majorHAnsi"/>
        </w:rPr>
        <w:t>The Ministerial Foreword of the UK 2020 consultation paper noted: “</w:t>
      </w:r>
      <w:r w:rsidRPr="00C34A8D">
        <w:rPr>
          <w:rFonts w:cstheme="majorHAnsi"/>
          <w:i/>
          <w:iCs/>
        </w:rPr>
        <w:t>The importance of the UK as a financial centre and the role it plays in the global financial system, mean that the success or failure of our regulatory approach can have important consequences far beyond our shores</w:t>
      </w:r>
      <w:r w:rsidRPr="00C34A8D">
        <w:rPr>
          <w:rFonts w:cstheme="majorHAnsi"/>
        </w:rPr>
        <w:t xml:space="preserve">.” In the past, these consequences have poisoned the business cultures in its former </w:t>
      </w:r>
      <w:r>
        <w:fldChar w:fldCharType="begin"/>
      </w:r>
      <w:r>
        <w:instrText xml:space="preserve"> HYPERLINK "https://www.grfcg.in/images/2021/CGI2020_31Dec.pdf" </w:instrText>
      </w:r>
      <w:r>
        <w:fldChar w:fldCharType="separate"/>
      </w:r>
      <w:r w:rsidRPr="00C34A8D">
        <w:rPr>
          <w:rStyle w:val="Hyperlink"/>
          <w:rFonts w:cstheme="majorHAnsi"/>
        </w:rPr>
        <w:t>colonies</w:t>
      </w:r>
      <w:r>
        <w:fldChar w:fldCharType="end"/>
      </w:r>
      <w:r>
        <w:rPr>
          <w:rStyle w:val="FootnoteReference"/>
          <w:rFonts w:cstheme="majorHAnsi"/>
        </w:rPr>
        <w:footnoteReference w:id="37"/>
      </w:r>
      <w:r w:rsidRPr="00C34A8D">
        <w:rPr>
          <w:rFonts w:cstheme="majorHAnsi"/>
        </w:rPr>
        <w:t>.</w:t>
      </w:r>
    </w:p>
    <w:p w:rsidR="00BE157F" w:rsidRPr="009A198B" w:rsidP="009A198B">
      <w:pPr>
        <w:spacing w:after="120"/>
        <w:ind w:right="142"/>
        <w:jc w:val="both"/>
        <w:rPr>
          <w:rFonts w:cstheme="majorHAnsi"/>
        </w:rPr>
      </w:pPr>
      <w:r w:rsidRPr="00C34A8D">
        <w:rPr>
          <w:rFonts w:cstheme="majorHAnsi"/>
        </w:rPr>
        <w:t xml:space="preserve">However, corporations providing benefits for all stakeholders become a common good. Global corporations then became agents for promoting common benefits globally like countering pollution, loss of biodiversity, and many other sources of risks and harms to the environment and humanity.  In this way, </w:t>
      </w:r>
      <w:bookmarkStart w:id="0" w:name="_Hlk63162973"/>
      <w:r w:rsidRPr="00C34A8D">
        <w:rPr>
          <w:rFonts w:cstheme="majorHAnsi"/>
        </w:rPr>
        <w:t>the UK could become a positive role model for the world</w:t>
      </w:r>
      <w:bookmarkEnd w:id="0"/>
      <w:r w:rsidRPr="00C34A8D">
        <w:rPr>
          <w:rFonts w:cstheme="majorHAnsi"/>
        </w:rPr>
        <w:t xml:space="preserve">. A possibility facilitated by the Treasury Minister possessing responsibility for both taxation and regulation. </w:t>
      </w:r>
    </w:p>
    <w:p w:rsidR="00051AA8" w:rsidP="00051AA8">
      <w:pPr>
        <w:pStyle w:val="ListParagraph"/>
        <w:numPr>
          <w:ilvl w:val="0"/>
          <w:numId w:val="5"/>
        </w:numPr>
        <w:ind w:left="0" w:firstLine="0"/>
        <w:rPr>
          <w:rFonts w:cstheme="majorHAnsi"/>
          <w:b/>
          <w:color w:val="0B0C0C"/>
          <w:szCs w:val="29"/>
          <w:shd w:val="clear" w:color="auto" w:fill="FFFFFF"/>
          <w:lang w:val="en-AU"/>
        </w:rPr>
      </w:pPr>
      <w:r w:rsidRPr="009062EC">
        <w:rPr>
          <w:rFonts w:cstheme="majorHAnsi"/>
          <w:b/>
          <w:color w:val="0B0C0C"/>
          <w:szCs w:val="29"/>
          <w:shd w:val="clear" w:color="auto" w:fill="FFFFFF"/>
          <w:lang w:val="en-AU"/>
        </w:rPr>
        <w:t>Responses to se</w:t>
      </w:r>
      <w:r>
        <w:rPr>
          <w:rFonts w:cstheme="majorHAnsi"/>
          <w:b/>
          <w:color w:val="0B0C0C"/>
          <w:szCs w:val="29"/>
          <w:shd w:val="clear" w:color="auto" w:fill="FFFFFF"/>
          <w:lang w:val="en-AU"/>
        </w:rPr>
        <w:t>venteen questions raised by FFS</w:t>
      </w:r>
    </w:p>
    <w:p w:rsidR="00BF4F7F" w:rsidRPr="00BF4F7F" w:rsidP="00BF4F7F">
      <w:pPr>
        <w:shd w:val="clear" w:color="auto" w:fill="F8F6FC"/>
        <w:spacing w:after="120"/>
        <w:rPr>
          <w:color w:val="4D4D4D"/>
          <w:szCs w:val="25"/>
          <w:lang w:val="en-AU"/>
        </w:rPr>
      </w:pPr>
      <w:r>
        <w:rPr>
          <w:color w:val="4D4D4D"/>
          <w:szCs w:val="25"/>
          <w:lang w:val="en-AU"/>
        </w:rPr>
        <w:t xml:space="preserve">Seventeen questions raised by the UK Parliamentary Treasury Committee are presented in italics in their “Call for Evidence” posted at: </w:t>
      </w:r>
      <w:r>
        <w:fldChar w:fldCharType="begin"/>
      </w:r>
      <w:r>
        <w:instrText xml:space="preserve"> HYPERLINK "https://committees.parliament.uk/call-for-evidence/319/future-of-financial-services/" </w:instrText>
      </w:r>
      <w:r>
        <w:fldChar w:fldCharType="separate"/>
      </w:r>
      <w:r w:rsidRPr="00B734BE">
        <w:rPr>
          <w:rStyle w:val="Hyperlink"/>
          <w:szCs w:val="25"/>
          <w:lang w:val="en-AU"/>
        </w:rPr>
        <w:t>https://committees.parliament.uk/call-for-evidence/319/future-of-financial-services/</w:t>
      </w:r>
      <w:r>
        <w:fldChar w:fldCharType="end"/>
      </w:r>
      <w:r>
        <w:rPr>
          <w:color w:val="4D4D4D"/>
          <w:szCs w:val="25"/>
          <w:lang w:val="en-AU"/>
        </w:rPr>
        <w:t xml:space="preserve">  </w:t>
      </w:r>
    </w:p>
    <w:p w:rsidR="00BF4F7F" w:rsidRPr="00D95874" w:rsidP="00900787">
      <w:pPr>
        <w:shd w:val="clear" w:color="auto" w:fill="F8F6FC"/>
        <w:spacing w:after="120"/>
        <w:ind w:left="567" w:hanging="567"/>
        <w:rPr>
          <w:i/>
          <w:color w:val="4D4D4D"/>
          <w:szCs w:val="25"/>
          <w:lang w:val="en-AU"/>
        </w:rPr>
      </w:pPr>
      <w:r>
        <w:rPr>
          <w:color w:val="4D4D4D"/>
          <w:szCs w:val="25"/>
          <w:lang w:val="en-AU"/>
        </w:rPr>
        <w:t>3.1</w:t>
      </w:r>
      <w:r>
        <w:rPr>
          <w:color w:val="4D4D4D"/>
          <w:szCs w:val="25"/>
          <w:lang w:val="en-AU"/>
        </w:rPr>
        <w:tab/>
      </w:r>
      <w:r w:rsidRPr="00D95874">
        <w:rPr>
          <w:i/>
          <w:color w:val="4D4D4D"/>
          <w:szCs w:val="25"/>
          <w:lang w:val="en-AU"/>
        </w:rPr>
        <w:t>How can the UK financial services sector take advantage of the UK’s new trading environment with the rest of the world?</w:t>
      </w:r>
    </w:p>
    <w:p w:rsidR="00BF4F7F" w:rsidRPr="00151E80" w:rsidP="00C77A93">
      <w:pPr>
        <w:shd w:val="clear" w:color="auto" w:fill="F8F6FC"/>
        <w:spacing w:after="120"/>
        <w:ind w:left="993" w:hanging="426"/>
        <w:rPr>
          <w:color w:val="4D4D4D"/>
          <w:szCs w:val="25"/>
          <w:lang w:val="en-AU"/>
        </w:rPr>
      </w:pPr>
      <w:r>
        <w:rPr>
          <w:color w:val="4D4D4D"/>
          <w:szCs w:val="25"/>
          <w:lang w:val="en-AU"/>
        </w:rPr>
        <w:t xml:space="preserve">(a) </w:t>
      </w:r>
      <w:r>
        <w:rPr>
          <w:color w:val="4D4D4D"/>
          <w:szCs w:val="25"/>
          <w:lang w:val="en-AU"/>
        </w:rPr>
        <w:tab/>
      </w:r>
      <w:r w:rsidRPr="00151E80">
        <w:rPr>
          <w:color w:val="4D4D4D"/>
          <w:szCs w:val="25"/>
          <w:lang w:val="en-AU"/>
        </w:rPr>
        <w:t>Establish a global role model on how to redesign the structure of government to enrich democracy rather than hollowing it out with top down rules and practices not subject to bottom-up feedback, checks, balances and/or bespoke local initiatives that can protect and promote citizen self-governance and individual wellbeing</w:t>
      </w:r>
      <w:r>
        <w:rPr>
          <w:rStyle w:val="FootnoteReference"/>
          <w:color w:val="4D4D4D"/>
          <w:szCs w:val="25"/>
          <w:lang w:val="en-AU"/>
        </w:rPr>
        <w:footnoteReference w:id="38"/>
      </w:r>
      <w:r w:rsidRPr="00151E80">
        <w:rPr>
          <w:color w:val="4D4D4D"/>
          <w:szCs w:val="25"/>
          <w:lang w:val="en-AU"/>
        </w:rPr>
        <w:t xml:space="preserve">. </w:t>
      </w:r>
    </w:p>
    <w:p w:rsidR="00BF4F7F" w:rsidRPr="00151E80" w:rsidP="00C77A93">
      <w:pPr>
        <w:shd w:val="clear" w:color="auto" w:fill="F8F6FC"/>
        <w:spacing w:after="120"/>
        <w:ind w:left="993" w:hanging="426"/>
        <w:rPr>
          <w:color w:val="4D4D4D"/>
          <w:szCs w:val="25"/>
          <w:lang w:val="en-AU"/>
        </w:rPr>
      </w:pPr>
      <w:r>
        <w:rPr>
          <w:color w:val="4D4D4D"/>
          <w:szCs w:val="25"/>
          <w:lang w:val="en-AU"/>
        </w:rPr>
        <w:t xml:space="preserve"> (b) </w:t>
      </w:r>
      <w:r>
        <w:rPr>
          <w:color w:val="4D4D4D"/>
          <w:szCs w:val="25"/>
          <w:lang w:val="en-AU"/>
        </w:rPr>
        <w:tab/>
      </w:r>
      <w:r w:rsidRPr="00151E80">
        <w:rPr>
          <w:color w:val="4D4D4D"/>
          <w:szCs w:val="25"/>
          <w:lang w:val="en-AU"/>
        </w:rPr>
        <w:t>Illustrate to the World how to use the Internet of Things to create a trustworthy and independent stable unit of value for anchoring financial markets while at the same time countering climate change to reduce the need for carbon trading and/or taxing</w:t>
      </w:r>
      <w:r>
        <w:rPr>
          <w:rStyle w:val="FootnoteReference"/>
          <w:color w:val="4D4D4D"/>
          <w:szCs w:val="25"/>
          <w:lang w:val="en-AU"/>
        </w:rPr>
        <w:footnoteReference w:id="39"/>
      </w:r>
    </w:p>
    <w:p w:rsidR="00C77A93" w:rsidP="00777BD1">
      <w:pPr>
        <w:pStyle w:val="ListParagraph"/>
        <w:numPr>
          <w:ilvl w:val="3"/>
          <w:numId w:val="11"/>
        </w:numPr>
        <w:shd w:val="clear" w:color="auto" w:fill="F8F6FC"/>
        <w:spacing w:after="240"/>
        <w:ind w:left="992" w:hanging="425"/>
        <w:rPr>
          <w:color w:val="4D4D4D"/>
          <w:szCs w:val="25"/>
          <w:lang w:val="en-AU"/>
        </w:rPr>
      </w:pPr>
      <w:r w:rsidRPr="00900787">
        <w:rPr>
          <w:color w:val="4D4D4D"/>
          <w:szCs w:val="25"/>
          <w:lang w:val="en-AU"/>
        </w:rPr>
        <w:t>Licence any corporation to trade its own shares on any electronic platform of its choice on condition that the ultimate beneficial owners and/or controllers with any related derivative arrangements are publicly and continuously available</w:t>
      </w:r>
      <w:r>
        <w:rPr>
          <w:rStyle w:val="FootnoteReference"/>
          <w:color w:val="4D4D4D"/>
          <w:szCs w:val="25"/>
          <w:lang w:val="en-AU"/>
        </w:rPr>
        <w:footnoteReference w:id="40"/>
      </w:r>
      <w:r w:rsidRPr="00900787">
        <w:rPr>
          <w:color w:val="4D4D4D"/>
          <w:szCs w:val="25"/>
          <w:lang w:val="en-AU"/>
        </w:rPr>
        <w:t>.</w:t>
      </w:r>
    </w:p>
    <w:p w:rsidR="00BF4F7F" w:rsidRPr="00C77A93" w:rsidP="00C77A93">
      <w:pPr>
        <w:pStyle w:val="ListParagraph"/>
        <w:shd w:val="clear" w:color="auto" w:fill="F8F6FC"/>
        <w:spacing w:after="120"/>
        <w:ind w:left="993"/>
        <w:rPr>
          <w:color w:val="4D4D4D"/>
          <w:szCs w:val="25"/>
          <w:lang w:val="en-AU"/>
        </w:rPr>
      </w:pPr>
    </w:p>
    <w:p w:rsidR="00BF4F7F" w:rsidRPr="00900787" w:rsidP="00C77A93">
      <w:pPr>
        <w:pStyle w:val="ListParagraph"/>
        <w:numPr>
          <w:ilvl w:val="1"/>
          <w:numId w:val="17"/>
        </w:numPr>
        <w:shd w:val="clear" w:color="auto" w:fill="F8F6FC"/>
        <w:spacing w:before="120" w:after="120"/>
        <w:ind w:left="567" w:hanging="567"/>
        <w:rPr>
          <w:i/>
          <w:color w:val="4D4D4D"/>
          <w:szCs w:val="25"/>
          <w:lang w:val="en-AU"/>
        </w:rPr>
      </w:pPr>
      <w:r w:rsidRPr="00900787">
        <w:rPr>
          <w:i/>
          <w:color w:val="4D4D4D"/>
          <w:szCs w:val="25"/>
          <w:lang w:val="en-AU"/>
        </w:rPr>
        <w:t>What changes should be made to the UK’s financial services regulations and regulatory framework once the UK is independent of the European Union?</w:t>
      </w:r>
    </w:p>
    <w:p w:rsidR="00BF4F7F" w:rsidRPr="00BD6F9C" w:rsidP="00C77A93">
      <w:pPr>
        <w:shd w:val="clear" w:color="auto" w:fill="F8F6FC"/>
        <w:spacing w:after="120"/>
        <w:ind w:left="567"/>
        <w:rPr>
          <w:color w:val="4D4D4D"/>
          <w:szCs w:val="25"/>
          <w:lang w:val="en-AU"/>
        </w:rPr>
      </w:pPr>
      <w:r w:rsidRPr="00D95874">
        <w:rPr>
          <w:color w:val="4D4D4D"/>
          <w:szCs w:val="25"/>
          <w:lang w:val="en-AU"/>
        </w:rPr>
        <w:t>Privatise regulation to make UK financial services more competitive, reliable and trustworthy by each firm providing each stakeholder constituency with a stakeholder selected and controlled advocates to become co-regulators and management mentors as described in my 2018 submissions to the Australian Royal Commission</w:t>
      </w:r>
      <w:r>
        <w:rPr>
          <w:rStyle w:val="FootnoteReference"/>
          <w:color w:val="4D4D4D"/>
          <w:szCs w:val="25"/>
          <w:lang w:val="en-AU"/>
        </w:rPr>
        <w:footnoteReference w:id="41"/>
      </w:r>
      <w:r>
        <w:rPr>
          <w:color w:val="4D4D4D"/>
          <w:szCs w:val="25"/>
          <w:lang w:val="en-AU"/>
        </w:rPr>
        <w:t>. A summary of the salient points is presented in Section 3 of this submission.</w:t>
      </w:r>
    </w:p>
    <w:p w:rsidR="00BF4F7F" w:rsidRPr="00D95874" w:rsidP="00FC75E8">
      <w:pPr>
        <w:numPr>
          <w:ilvl w:val="1"/>
          <w:numId w:val="16"/>
        </w:numPr>
        <w:shd w:val="clear" w:color="auto" w:fill="F8F6FC"/>
        <w:spacing w:after="120"/>
        <w:ind w:left="567" w:hanging="567"/>
        <w:rPr>
          <w:i/>
          <w:color w:val="4D4D4D"/>
          <w:szCs w:val="25"/>
          <w:lang w:val="en-AU"/>
        </w:rPr>
      </w:pPr>
      <w:r w:rsidRPr="00D95874">
        <w:rPr>
          <w:i/>
          <w:color w:val="4D4D4D"/>
          <w:szCs w:val="25"/>
          <w:lang w:val="en-AU"/>
        </w:rPr>
        <w:t>What should the Government’s financial services priorities be when it negotiates trade agreements with third countries?</w:t>
      </w:r>
    </w:p>
    <w:p w:rsidR="00BF4F7F" w:rsidRPr="00986577" w:rsidP="00FC75E8">
      <w:pPr>
        <w:shd w:val="clear" w:color="auto" w:fill="F8F6FC"/>
        <w:spacing w:after="120"/>
        <w:ind w:left="567"/>
        <w:rPr>
          <w:color w:val="4D4D4D"/>
          <w:szCs w:val="25"/>
          <w:lang w:val="en-AU"/>
        </w:rPr>
      </w:pPr>
      <w:r w:rsidRPr="00D95874">
        <w:rPr>
          <w:color w:val="4D4D4D"/>
          <w:szCs w:val="25"/>
          <w:lang w:val="en-AU"/>
        </w:rPr>
        <w:t>Open access to any alien financial service firm on con</w:t>
      </w:r>
      <w:r>
        <w:rPr>
          <w:color w:val="4D4D4D"/>
          <w:szCs w:val="25"/>
          <w:lang w:val="en-AU"/>
        </w:rPr>
        <w:t xml:space="preserve">dition ownership and control is </w:t>
      </w:r>
      <w:r w:rsidRPr="00D95874">
        <w:rPr>
          <w:color w:val="4D4D4D"/>
          <w:szCs w:val="25"/>
          <w:lang w:val="en-AU"/>
        </w:rPr>
        <w:t>localised over twenty years</w:t>
      </w:r>
      <w:r>
        <w:rPr>
          <w:color w:val="4D4D4D"/>
          <w:szCs w:val="25"/>
          <w:lang w:val="en-AU"/>
        </w:rPr>
        <w:t xml:space="preserve"> as proposed in my book </w:t>
      </w:r>
      <w:r w:rsidRPr="00F93112">
        <w:rPr>
          <w:b/>
          <w:i/>
          <w:color w:val="4D4D4D"/>
          <w:szCs w:val="25"/>
          <w:lang w:val="en-AU"/>
        </w:rPr>
        <w:t>Democratising the wealth of nations</w:t>
      </w:r>
      <w:r>
        <w:rPr>
          <w:color w:val="4D4D4D"/>
          <w:szCs w:val="25"/>
          <w:lang w:val="en-AU"/>
        </w:rPr>
        <w:t xml:space="preserve"> and in other articles</w:t>
      </w:r>
      <w:r>
        <w:rPr>
          <w:rStyle w:val="FootnoteReference"/>
          <w:color w:val="4D4D4D"/>
          <w:szCs w:val="25"/>
          <w:lang w:val="en-AU"/>
        </w:rPr>
        <w:footnoteReference w:id="42"/>
      </w:r>
      <w:r w:rsidRPr="00D95874">
        <w:rPr>
          <w:color w:val="4D4D4D"/>
          <w:szCs w:val="25"/>
          <w:lang w:val="en-AU"/>
        </w:rPr>
        <w:t xml:space="preserve">. </w:t>
      </w:r>
    </w:p>
    <w:p w:rsidR="00BF4F7F" w:rsidRPr="00517657" w:rsidP="00FC75E8">
      <w:pPr>
        <w:numPr>
          <w:ilvl w:val="1"/>
          <w:numId w:val="16"/>
        </w:numPr>
        <w:shd w:val="clear" w:color="auto" w:fill="F8F6FC"/>
        <w:spacing w:after="120"/>
        <w:ind w:left="567" w:hanging="567"/>
        <w:rPr>
          <w:i/>
          <w:color w:val="4D4D4D"/>
          <w:szCs w:val="25"/>
          <w:lang w:val="en-AU"/>
        </w:rPr>
      </w:pPr>
      <w:r w:rsidRPr="00517657">
        <w:rPr>
          <w:i/>
          <w:color w:val="4D4D4D"/>
          <w:szCs w:val="25"/>
          <w:lang w:val="en-AU"/>
        </w:rPr>
        <w:t>Should the UK open its financial services markets to external competition from countries outside of Europe, or should the UK maintain the current regulatory barriers that apply to third countries?</w:t>
      </w:r>
    </w:p>
    <w:p w:rsidR="00BF4F7F" w:rsidRPr="00986577" w:rsidP="00FC75E8">
      <w:pPr>
        <w:shd w:val="clear" w:color="auto" w:fill="F8F6FC"/>
        <w:spacing w:after="120"/>
        <w:ind w:left="567"/>
        <w:rPr>
          <w:color w:val="4D4D4D"/>
          <w:szCs w:val="25"/>
          <w:lang w:val="en-AU"/>
        </w:rPr>
      </w:pPr>
      <w:r>
        <w:rPr>
          <w:color w:val="4D4D4D"/>
          <w:szCs w:val="25"/>
          <w:lang w:val="en-AU"/>
        </w:rPr>
        <w:t xml:space="preserve">Yes, accept open competition but only if market prices are determined by locally defined sustainable units of value as described in my articles </w:t>
      </w:r>
    </w:p>
    <w:p w:rsidR="00BF4F7F" w:rsidRPr="00517657" w:rsidP="00FC75E8">
      <w:pPr>
        <w:numPr>
          <w:ilvl w:val="1"/>
          <w:numId w:val="16"/>
        </w:numPr>
        <w:shd w:val="clear" w:color="auto" w:fill="F8F6FC"/>
        <w:spacing w:after="120"/>
        <w:ind w:left="567" w:hanging="567"/>
        <w:rPr>
          <w:i/>
          <w:color w:val="4D4D4D"/>
          <w:szCs w:val="25"/>
          <w:lang w:val="en-AU"/>
        </w:rPr>
      </w:pPr>
      <w:r w:rsidRPr="00517657">
        <w:rPr>
          <w:i/>
          <w:color w:val="4D4D4D"/>
          <w:szCs w:val="25"/>
          <w:lang w:val="en-AU"/>
        </w:rPr>
        <w:t>What skills and immigration policy will the UK financial services sector need once the UK has left the European Union?</w:t>
      </w:r>
    </w:p>
    <w:p w:rsidR="00BF4F7F" w:rsidRPr="00BD6F9C" w:rsidP="00FC75E8">
      <w:pPr>
        <w:shd w:val="clear" w:color="auto" w:fill="F8F6FC"/>
        <w:spacing w:after="120"/>
        <w:ind w:left="567"/>
        <w:rPr>
          <w:i/>
          <w:color w:val="4D4D4D"/>
          <w:szCs w:val="25"/>
          <w:lang w:val="en-AU"/>
        </w:rPr>
      </w:pPr>
      <w:r>
        <w:rPr>
          <w:color w:val="4D4D4D"/>
          <w:szCs w:val="25"/>
          <w:lang w:val="en-AU"/>
        </w:rPr>
        <w:t>Those who challenge the group think that self-regulation and bottom-up self-governance of private or public institutions that become essential in establishing a circular economy to sustain the wellbeing of the environment and humanity.</w:t>
      </w:r>
    </w:p>
    <w:p w:rsidR="00BF4F7F" w:rsidRPr="003B6707"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How can Government policy and the UK regulators facilitate the emergence of FinTech and new competition; develop new areas of growth for the financial services sector; and promote the UK as the best place to incubate new financial technologies and firms?</w:t>
      </w:r>
    </w:p>
    <w:p w:rsidR="00BF4F7F" w:rsidRPr="00986577" w:rsidP="00FC75E8">
      <w:pPr>
        <w:shd w:val="clear" w:color="auto" w:fill="F8F6FC"/>
        <w:spacing w:after="120"/>
        <w:ind w:left="567"/>
        <w:rPr>
          <w:color w:val="4D4D4D"/>
          <w:szCs w:val="25"/>
          <w:lang w:val="en-AU"/>
        </w:rPr>
      </w:pPr>
      <w:r>
        <w:rPr>
          <w:color w:val="4D4D4D"/>
          <w:szCs w:val="25"/>
          <w:lang w:val="en-AU"/>
        </w:rPr>
        <w:t>This question is not appropriate for establishing a circular economy that needs to minimise energy and materials for the wellbeing of the environment and society. Ostrom has provided evidence that neither markets nor States are required to introduce self-regulation and self-governance on a sustainable basis.</w:t>
      </w:r>
    </w:p>
    <w:p w:rsidR="00BF4F7F"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Through what legislative mechanism should new financial regulations be made?</w:t>
      </w:r>
    </w:p>
    <w:p w:rsidR="00BF4F7F" w:rsidRPr="00986577" w:rsidP="00FC75E8">
      <w:pPr>
        <w:shd w:val="clear" w:color="auto" w:fill="F8F6FC"/>
        <w:spacing w:after="120"/>
        <w:ind w:left="567"/>
        <w:rPr>
          <w:color w:val="4D4D4D"/>
          <w:szCs w:val="25"/>
          <w:lang w:val="en-AU"/>
        </w:rPr>
      </w:pPr>
      <w:r>
        <w:rPr>
          <w:color w:val="4D4D4D"/>
          <w:szCs w:val="25"/>
          <w:lang w:val="en-AU"/>
        </w:rPr>
        <w:t>No legislation may be required if regulators use their existing powers to introduce privatised self-regulation and/or tax incentives promote self-regulation and self-governance to private and public sector organisations.</w:t>
      </w:r>
    </w:p>
    <w:p w:rsidR="00BF4F7F" w:rsidRPr="003B6707"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What role does Parliament have to play in influencing new financial services regulations?</w:t>
      </w:r>
    </w:p>
    <w:p w:rsidR="00BF4F7F" w:rsidRPr="00986577" w:rsidP="00FC75E8">
      <w:pPr>
        <w:shd w:val="clear" w:color="auto" w:fill="F8F6FC"/>
        <w:spacing w:after="120"/>
        <w:ind w:left="567"/>
        <w:rPr>
          <w:color w:val="4D4D4D"/>
          <w:szCs w:val="25"/>
          <w:lang w:val="en-AU"/>
        </w:rPr>
      </w:pPr>
      <w:r>
        <w:rPr>
          <w:color w:val="4D4D4D"/>
          <w:szCs w:val="25"/>
          <w:lang w:val="en-AU"/>
        </w:rPr>
        <w:t>Determining the tax incentives for introducing self-regulation and self-governance and in guiding Ministers using stakeholder feedback to determine the appointment and remuneration of government employed regulators</w:t>
      </w:r>
    </w:p>
    <w:p w:rsidR="00BF4F7F" w:rsidRPr="003B6707"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How should new UK financial regulations be scrutinised?</w:t>
      </w:r>
    </w:p>
    <w:p w:rsidR="00BF4F7F" w:rsidRPr="00986577" w:rsidP="00FC75E8">
      <w:pPr>
        <w:shd w:val="clear" w:color="auto" w:fill="F8F6FC"/>
        <w:spacing w:after="120"/>
        <w:ind w:left="567"/>
        <w:rPr>
          <w:color w:val="4D4D4D"/>
          <w:szCs w:val="25"/>
          <w:lang w:val="en-AU"/>
        </w:rPr>
      </w:pPr>
      <w:r>
        <w:rPr>
          <w:color w:val="4D4D4D"/>
          <w:szCs w:val="25"/>
          <w:lang w:val="en-AU"/>
        </w:rPr>
        <w:t>By empowering the citizens and stakeholders, the government wishes to protect, with the resources to protect and further their own interests</w:t>
      </w:r>
    </w:p>
    <w:p w:rsidR="00BF4F7F"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What progress has the Government and regulators made in facilitating key financial services equivalence agreements with third countries; and would an alternative mechanism serve the interests of the UK market better?</w:t>
      </w:r>
    </w:p>
    <w:p w:rsidR="00BF4F7F" w:rsidRPr="00BD6F9C" w:rsidP="00FC75E8">
      <w:pPr>
        <w:shd w:val="clear" w:color="auto" w:fill="F8F6FC"/>
        <w:spacing w:after="120"/>
        <w:ind w:left="567"/>
        <w:rPr>
          <w:color w:val="4D4D4D"/>
          <w:szCs w:val="25"/>
          <w:lang w:val="en-AU"/>
        </w:rPr>
      </w:pPr>
      <w:r w:rsidRPr="00956646">
        <w:rPr>
          <w:color w:val="4D4D4D"/>
          <w:szCs w:val="25"/>
          <w:lang w:val="en-AU"/>
        </w:rPr>
        <w:t>No comment</w:t>
      </w:r>
    </w:p>
    <w:p w:rsidR="00BF4F7F" w:rsidRPr="003B6707"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How should financial services regulators be funded?</w:t>
      </w:r>
    </w:p>
    <w:p w:rsidR="00BF4F7F" w:rsidRPr="0063367C" w:rsidP="00FC75E8">
      <w:pPr>
        <w:shd w:val="clear" w:color="auto" w:fill="F8F6FC"/>
        <w:spacing w:after="120"/>
        <w:ind w:left="567"/>
        <w:rPr>
          <w:color w:val="4D4D4D"/>
          <w:szCs w:val="25"/>
          <w:lang w:val="en-AU"/>
        </w:rPr>
      </w:pPr>
      <w:r>
        <w:rPr>
          <w:color w:val="4D4D4D"/>
          <w:szCs w:val="25"/>
          <w:lang w:val="en-AU"/>
        </w:rPr>
        <w:t>Directly by the organisations that are not self-regulating and self-governing to meet community expectations</w:t>
      </w:r>
    </w:p>
    <w:p w:rsidR="00BF4F7F"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Should the mandate and statutory objectives of the financial services regulators change to include wider public policy issues?</w:t>
      </w:r>
    </w:p>
    <w:p w:rsidR="00BF4F7F" w:rsidRPr="00986577" w:rsidP="00FC75E8">
      <w:pPr>
        <w:shd w:val="clear" w:color="auto" w:fill="F8F6FC"/>
        <w:spacing w:after="120"/>
        <w:ind w:left="567"/>
        <w:rPr>
          <w:color w:val="4D4D4D"/>
          <w:szCs w:val="25"/>
          <w:lang w:val="en-AU"/>
        </w:rPr>
      </w:pPr>
      <w:r>
        <w:rPr>
          <w:color w:val="4D4D4D"/>
          <w:szCs w:val="25"/>
          <w:lang w:val="en-AU"/>
        </w:rPr>
        <w:t>Yes, as determined by the stakeholders of financial service organisations in the public, private and/or non-profit sectors.</w:t>
      </w:r>
    </w:p>
    <w:p w:rsidR="00BF4F7F"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How important is the independence of regulators and how might this best be protected?</w:t>
      </w:r>
    </w:p>
    <w:p w:rsidR="00BF4F7F" w:rsidRPr="00986577" w:rsidP="00FC75E8">
      <w:pPr>
        <w:shd w:val="clear" w:color="auto" w:fill="F8F6FC"/>
        <w:spacing w:after="120"/>
        <w:ind w:left="567"/>
        <w:rPr>
          <w:color w:val="4D4D4D"/>
          <w:szCs w:val="25"/>
          <w:lang w:val="en-AU"/>
        </w:rPr>
      </w:pPr>
      <w:r>
        <w:rPr>
          <w:color w:val="4D4D4D"/>
          <w:szCs w:val="25"/>
          <w:lang w:val="en-AU"/>
        </w:rPr>
        <w:t>Regulators should be dependent upon the stakeholders they have been established to protect and further their interests. The framing of this question illustrates the current global group think problem that is based on upside down thinking.</w:t>
      </w:r>
    </w:p>
    <w:p w:rsidR="00BF4F7F" w:rsidRPr="003B6707"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How can the balance between lighter touch regulation and prudential safeguards be best secured?</w:t>
      </w:r>
    </w:p>
    <w:p w:rsidR="00BF4F7F" w:rsidRPr="00986577" w:rsidP="00FC75E8">
      <w:pPr>
        <w:shd w:val="clear" w:color="auto" w:fill="F8F6FC"/>
        <w:spacing w:after="120"/>
        <w:ind w:left="567"/>
        <w:rPr>
          <w:color w:val="4D4D4D"/>
          <w:szCs w:val="25"/>
          <w:lang w:val="en-AU"/>
        </w:rPr>
      </w:pPr>
      <w:r>
        <w:rPr>
          <w:color w:val="4D4D4D"/>
          <w:szCs w:val="25"/>
          <w:lang w:val="en-AU"/>
        </w:rPr>
        <w:t>Prudential approaches require resiliency and this requires decentralisation to in decision-making as occurs in our brains so when one part fails another part can learn to take over. The “light touch” language again illustrates the current top down command and control global group thinking that is upside down. Regulators require a strong touch upwards!</w:t>
      </w:r>
    </w:p>
    <w:p w:rsidR="00BF4F7F" w:rsidRPr="003B6707"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How should consumer interests be taken into account when considering potential regulatory changes?</w:t>
      </w:r>
    </w:p>
    <w:p w:rsidR="00BF4F7F" w:rsidRPr="00986577" w:rsidP="00FC75E8">
      <w:pPr>
        <w:shd w:val="clear" w:color="auto" w:fill="F8F6FC"/>
        <w:spacing w:after="120"/>
        <w:ind w:left="567"/>
        <w:rPr>
          <w:color w:val="4D4D4D"/>
          <w:szCs w:val="25"/>
          <w:lang w:val="en-AU"/>
        </w:rPr>
      </w:pPr>
      <w:r>
        <w:rPr>
          <w:color w:val="4D4D4D"/>
          <w:szCs w:val="25"/>
          <w:lang w:val="en-AU"/>
        </w:rPr>
        <w:t>This question again illustrates the upside down thinking where consumers are denied the voice, incentive, power and information to protect themselves.</w:t>
      </w:r>
    </w:p>
    <w:p w:rsidR="00BF4F7F" w:rsidRPr="003B6707"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What are the strengths and weaknesses of the European Union model of scrutinising financial services legislation?</w:t>
      </w:r>
    </w:p>
    <w:p w:rsidR="00BF4F7F" w:rsidRPr="00986577" w:rsidP="00FC75E8">
      <w:pPr>
        <w:shd w:val="clear" w:color="auto" w:fill="F8F6FC"/>
        <w:spacing w:after="120"/>
        <w:ind w:left="567"/>
        <w:rPr>
          <w:color w:val="4D4D4D"/>
          <w:szCs w:val="25"/>
          <w:lang w:val="en-AU"/>
        </w:rPr>
      </w:pPr>
      <w:r>
        <w:rPr>
          <w:color w:val="4D4D4D"/>
          <w:szCs w:val="25"/>
          <w:lang w:val="en-AU"/>
        </w:rPr>
        <w:t xml:space="preserve">The </w:t>
      </w:r>
      <w:r>
        <w:fldChar w:fldCharType="begin"/>
      </w:r>
      <w:r>
        <w:instrText xml:space="preserve"> HYPERLINK "https://parliamentlive.tv/event/index/d6da4270-6d41-4652-ba8c-7fdfdb602de8" </w:instrText>
      </w:r>
      <w:r>
        <w:fldChar w:fldCharType="separate"/>
      </w:r>
      <w:r w:rsidRPr="00E71359">
        <w:rPr>
          <w:rStyle w:val="Hyperlink"/>
          <w:szCs w:val="25"/>
          <w:lang w:val="en-AU"/>
        </w:rPr>
        <w:t>evidence</w:t>
      </w:r>
      <w:r>
        <w:fldChar w:fldCharType="end"/>
      </w:r>
      <w:r>
        <w:rPr>
          <w:rStyle w:val="FootnoteReference"/>
          <w:color w:val="4D4D4D"/>
          <w:szCs w:val="25"/>
          <w:lang w:val="en-AU"/>
        </w:rPr>
        <w:footnoteReference w:id="43"/>
      </w:r>
      <w:r>
        <w:rPr>
          <w:color w:val="4D4D4D"/>
          <w:szCs w:val="25"/>
          <w:lang w:val="en-AU"/>
        </w:rPr>
        <w:t xml:space="preserve"> provided to the Treasury Committee on January 27</w:t>
      </w:r>
      <w:r w:rsidRPr="00E71359">
        <w:rPr>
          <w:color w:val="4D4D4D"/>
          <w:szCs w:val="25"/>
          <w:vertAlign w:val="superscript"/>
          <w:lang w:val="en-AU"/>
        </w:rPr>
        <w:t>th</w:t>
      </w:r>
      <w:r>
        <w:rPr>
          <w:color w:val="4D4D4D"/>
          <w:szCs w:val="25"/>
          <w:lang w:val="en-AU"/>
        </w:rPr>
        <w:t xml:space="preserve"> by three UK citizens who were involved in the European Model reveal it was superior because or its systemic variety of viewpoints, and systemic processes for them to be challenged. This introduces the information and incentive to negotiate more informed win-win outcomes.</w:t>
      </w:r>
    </w:p>
    <w:p w:rsidR="00BF4F7F" w:rsidRPr="003B6707" w:rsidP="00FC75E8">
      <w:pPr>
        <w:numPr>
          <w:ilvl w:val="1"/>
          <w:numId w:val="16"/>
        </w:numPr>
        <w:shd w:val="clear" w:color="auto" w:fill="F8F6FC"/>
        <w:spacing w:after="120"/>
        <w:ind w:left="567" w:hanging="567"/>
        <w:rPr>
          <w:i/>
          <w:color w:val="4D4D4D"/>
          <w:szCs w:val="25"/>
          <w:lang w:val="en-AU"/>
        </w:rPr>
      </w:pPr>
      <w:r w:rsidRPr="003B6707">
        <w:rPr>
          <w:i/>
          <w:color w:val="4D4D4D"/>
          <w:szCs w:val="25"/>
          <w:lang w:val="en-AU"/>
        </w:rPr>
        <w:t>Should the UK seek to replicate the EU’s model for drafting and scrutinising financial services regulation?</w:t>
      </w:r>
    </w:p>
    <w:p w:rsidR="00BE157F" w:rsidRPr="00FC75E8" w:rsidP="00FC75E8">
      <w:pPr>
        <w:spacing w:after="120"/>
        <w:ind w:left="567" w:hanging="567"/>
      </w:pPr>
      <w:r>
        <w:t xml:space="preserve"> </w:t>
      </w:r>
      <w:r>
        <w:tab/>
        <w:t>Definitely no. It is still top down power of decision makers. This submission is made on recommending bottom up informed decision-making</w:t>
      </w:r>
    </w:p>
    <w:p w:rsidR="00051AA8" w:rsidP="00151E80">
      <w:pPr>
        <w:pStyle w:val="ListParagraph"/>
        <w:numPr>
          <w:ilvl w:val="0"/>
          <w:numId w:val="16"/>
        </w:numPr>
        <w:ind w:left="851" w:hanging="851"/>
        <w:rPr>
          <w:rFonts w:cstheme="majorHAnsi"/>
          <w:b/>
          <w:color w:val="0B0C0C"/>
          <w:szCs w:val="29"/>
          <w:shd w:val="clear" w:color="auto" w:fill="FFFFFF"/>
          <w:lang w:val="en-AU"/>
        </w:rPr>
      </w:pPr>
      <w:r w:rsidRPr="009062EC">
        <w:rPr>
          <w:rFonts w:cstheme="majorHAnsi"/>
          <w:b/>
          <w:color w:val="0B0C0C"/>
          <w:szCs w:val="29"/>
          <w:shd w:val="clear" w:color="auto" w:fill="FFFFFF"/>
          <w:lang w:val="en-AU"/>
        </w:rPr>
        <w:t>Wider implications to government and existential risks and opportunities</w:t>
      </w:r>
    </w:p>
    <w:p w:rsidR="00051AA8" w:rsidP="00151E80">
      <w:pPr>
        <w:ind w:left="851" w:hanging="851"/>
        <w:rPr>
          <w:rFonts w:cstheme="majorHAnsi"/>
          <w:b/>
          <w:color w:val="0B0C0C"/>
          <w:szCs w:val="29"/>
          <w:shd w:val="clear" w:color="auto" w:fill="FFFFFF"/>
          <w:lang w:val="en-AU"/>
        </w:rPr>
      </w:pPr>
    </w:p>
    <w:p w:rsidR="00E97522" w:rsidRPr="00E97522" w:rsidP="00151E80">
      <w:pPr>
        <w:pStyle w:val="ListParagraph"/>
        <w:numPr>
          <w:ilvl w:val="0"/>
          <w:numId w:val="16"/>
        </w:numPr>
        <w:spacing w:after="240"/>
        <w:ind w:left="851" w:hanging="851"/>
        <w:rPr>
          <w:rFonts w:cstheme="majorHAnsi"/>
          <w:b/>
          <w:color w:val="0B0C0C"/>
          <w:szCs w:val="29"/>
          <w:shd w:val="clear" w:color="auto" w:fill="FFFFFF"/>
          <w:lang w:val="en-AU"/>
        </w:rPr>
      </w:pPr>
      <w:r w:rsidRPr="00E97522">
        <w:rPr>
          <w:rFonts w:cstheme="majorHAnsi"/>
          <w:b/>
          <w:color w:val="0B0C0C"/>
          <w:szCs w:val="29"/>
          <w:shd w:val="clear" w:color="auto" w:fill="FFFFFF"/>
          <w:lang w:val="en-AU"/>
        </w:rPr>
        <w:t>Appendix</w:t>
      </w:r>
    </w:p>
    <w:p w:rsidR="00E97522" w:rsidP="00151E80">
      <w:pPr>
        <w:pStyle w:val="ListParagraph"/>
        <w:numPr>
          <w:ilvl w:val="0"/>
          <w:numId w:val="12"/>
        </w:numPr>
        <w:spacing w:after="120"/>
        <w:ind w:left="851" w:hanging="851"/>
      </w:pPr>
      <w:r>
        <w:t>‘</w:t>
      </w:r>
      <w:r w:rsidRPr="00CA02FB">
        <w:t>Without a stable unit of value a CBDC becomes flawed</w:t>
      </w:r>
      <w:r>
        <w:t>’ – 12</w:t>
      </w:r>
      <w:r w:rsidRPr="00D20C64">
        <w:rPr>
          <w:vertAlign w:val="superscript"/>
        </w:rPr>
        <w:t>th</w:t>
      </w:r>
      <w:r>
        <w:t xml:space="preserve"> June 2020 Response by Dr Shann Turnbull to Bank of England’s Discussion Paper on “Central Bank Digital Currencies Opportunities, challenges and design”.</w:t>
      </w:r>
    </w:p>
    <w:p w:rsidR="00E97522" w:rsidP="00151E80">
      <w:pPr>
        <w:pStyle w:val="ListParagraph"/>
        <w:numPr>
          <w:ilvl w:val="0"/>
          <w:numId w:val="12"/>
        </w:numPr>
        <w:spacing w:after="120"/>
        <w:ind w:left="851" w:hanging="851"/>
      </w:pPr>
      <w:r w:rsidRPr="00E97522">
        <w:rPr>
          <w:rFonts w:cstheme="majorHAnsi"/>
          <w:color w:val="0B0C0C"/>
          <w:szCs w:val="29"/>
          <w:shd w:val="clear" w:color="auto" w:fill="FFFFFF"/>
          <w:lang w:val="en-AU"/>
        </w:rPr>
        <w:t xml:space="preserve">Three submission by Dr Shann Turnbull to the Australian </w:t>
      </w:r>
      <w:r w:rsidRPr="0040781D">
        <w:t xml:space="preserve">Royal Commission into misconduct in the Banking, Superannuation and Financial Service Industry </w:t>
      </w:r>
      <w:r>
        <w:t>led by Commissioner Kenneth Hayne Q.C.</w:t>
      </w:r>
    </w:p>
    <w:p w:rsidR="00E97522" w:rsidP="00151E80">
      <w:pPr>
        <w:pStyle w:val="ListParagraph"/>
        <w:numPr>
          <w:ilvl w:val="1"/>
          <w:numId w:val="12"/>
        </w:numPr>
        <w:spacing w:after="120"/>
        <w:ind w:left="851" w:hanging="851"/>
      </w:pPr>
      <w:r w:rsidRPr="0040781D">
        <w:t>“Regulators poisoning corporate culture and performance”, 28 May 2018, reference number PWF.0001.0001.7989.</w:t>
      </w:r>
    </w:p>
    <w:p w:rsidR="00E97522" w:rsidP="00151E80">
      <w:pPr>
        <w:pStyle w:val="ListParagraph"/>
        <w:numPr>
          <w:ilvl w:val="1"/>
          <w:numId w:val="12"/>
        </w:numPr>
        <w:spacing w:after="120"/>
        <w:ind w:left="851" w:hanging="851"/>
      </w:pPr>
      <w:r w:rsidRPr="0040781D">
        <w:t>“Causes and solutions for misconduct in the financial services industry”, 21 September 2018 reference number POL.0001.2000.0003.</w:t>
      </w:r>
    </w:p>
    <w:p w:rsidR="00E97522" w:rsidP="00151E80">
      <w:pPr>
        <w:pStyle w:val="ListParagraph"/>
        <w:numPr>
          <w:ilvl w:val="1"/>
          <w:numId w:val="12"/>
        </w:numPr>
        <w:spacing w:after="120"/>
        <w:ind w:left="851" w:hanging="851"/>
      </w:pPr>
      <w:r w:rsidRPr="0040781D">
        <w:t>“Regulating Financial Misconduct: Should the existing law be administered</w:t>
      </w:r>
      <w:r>
        <w:t>,</w:t>
      </w:r>
      <w:r w:rsidRPr="0040781D">
        <w:t xml:space="preserve"> or enforced differently?” October 26, </w:t>
      </w:r>
      <w:r>
        <w:t xml:space="preserve">2018, </w:t>
      </w:r>
      <w:r w:rsidRPr="0040781D">
        <w:t>reference number:</w:t>
      </w:r>
      <w:r w:rsidRPr="00E97522">
        <w:rPr>
          <w:color w:val="000000"/>
        </w:rPr>
        <w:t xml:space="preserve"> </w:t>
      </w:r>
      <w:r w:rsidRPr="00E97522">
        <w:rPr>
          <w:color w:val="000000"/>
          <w:szCs w:val="19"/>
        </w:rPr>
        <w:t>POL.1000.0001.0917,</w:t>
      </w:r>
      <w:r w:rsidRPr="00E97522">
        <w:rPr>
          <w:color w:val="000000"/>
        </w:rPr>
        <w:t> </w:t>
      </w:r>
      <w:r>
        <w:fldChar w:fldCharType="begin"/>
      </w:r>
      <w:r>
        <w:instrText xml:space="preserve"> HYPERLINK "https://financialservices.royalcommission.gov.au/Submissions/Documents/interim-report-submissions/POL.9100.0001.0917.pdf" </w:instrText>
      </w:r>
      <w:r>
        <w:fldChar w:fldCharType="separate"/>
      </w:r>
      <w:r w:rsidRPr="00E97522">
        <w:rPr>
          <w:rStyle w:val="Hyperlink"/>
          <w:szCs w:val="19"/>
        </w:rPr>
        <w:t>https://financialservices.royalcommission.gov.au/Submissions/Documents/interim-report-submissions/POL.9100.0001.0917.pdf</w:t>
      </w:r>
      <w:r>
        <w:fldChar w:fldCharType="end"/>
      </w:r>
    </w:p>
    <w:p w:rsidR="00E97522" w:rsidP="00151E80">
      <w:pPr>
        <w:pStyle w:val="ListParagraph"/>
        <w:numPr>
          <w:ilvl w:val="0"/>
          <w:numId w:val="12"/>
        </w:numPr>
        <w:spacing w:after="120"/>
        <w:ind w:left="851" w:hanging="851"/>
      </w:pPr>
      <w:r w:rsidRPr="00E97522">
        <w:rPr>
          <w:rFonts w:cs="Helvetica Neue"/>
          <w:color w:val="000000"/>
        </w:rPr>
        <w:t xml:space="preserve">Turnbull, S. 2020, ‘Who will build a new business by saving the planet?’ </w:t>
      </w:r>
      <w:r w:rsidRPr="00E97522">
        <w:rPr>
          <w:rFonts w:cs="Helvetica Neue"/>
          <w:i/>
          <w:color w:val="000000"/>
        </w:rPr>
        <w:t>The European Financial Review</w:t>
      </w:r>
      <w:r w:rsidRPr="00E97522">
        <w:rPr>
          <w:rFonts w:cs="Helvetica Neue"/>
          <w:color w:val="000000"/>
        </w:rPr>
        <w:t xml:space="preserve">, 14 July, </w:t>
      </w:r>
      <w:r>
        <w:fldChar w:fldCharType="begin"/>
      </w:r>
      <w:r>
        <w:instrText xml:space="preserve"> HYPERLINK "https://www.europeanfinancialreview.com/who-will-build-a-new-business-by-saving-the-planet/" </w:instrText>
      </w:r>
      <w:r>
        <w:fldChar w:fldCharType="separate"/>
      </w:r>
      <w:r>
        <w:rPr>
          <w:rStyle w:val="Hyperlink"/>
        </w:rPr>
        <w:t>https://www.europeanfinancialreview.com/who-will-build-a-new-business-by-saving-the-planet/</w:t>
      </w:r>
      <w:r>
        <w:fldChar w:fldCharType="end"/>
      </w:r>
    </w:p>
    <w:p w:rsidR="00E97522" w:rsidP="00151E80">
      <w:pPr>
        <w:pStyle w:val="ListParagraph"/>
        <w:numPr>
          <w:ilvl w:val="1"/>
          <w:numId w:val="1"/>
        </w:numPr>
        <w:spacing w:after="120"/>
        <w:ind w:left="851" w:hanging="851"/>
      </w:pPr>
      <w:r>
        <w:t>Abstracts of three Turnbull videos on countering climate change hosted by:</w:t>
      </w:r>
    </w:p>
    <w:p w:rsidR="00E97522" w:rsidP="00151E80">
      <w:pPr>
        <w:pStyle w:val="ListParagraph"/>
        <w:spacing w:after="120"/>
        <w:ind w:left="851" w:hanging="851"/>
      </w:pPr>
      <w:r>
        <w:t>a. American Society of Cybernetics;</w:t>
      </w:r>
    </w:p>
    <w:p w:rsidR="00E97522" w:rsidP="00151E80">
      <w:pPr>
        <w:pStyle w:val="ListParagraph"/>
        <w:spacing w:after="120"/>
        <w:ind w:left="851" w:hanging="851"/>
        <w:jc w:val="both"/>
      </w:pPr>
      <w:r>
        <w:t>b. World Organisation for Systems and Cybernetics;</w:t>
      </w:r>
    </w:p>
    <w:p w:rsidR="00E97522" w:rsidP="00151E80">
      <w:pPr>
        <w:pStyle w:val="ListParagraph"/>
        <w:spacing w:after="120"/>
        <w:ind w:left="851" w:hanging="851"/>
        <w:jc w:val="both"/>
      </w:pPr>
      <w:r>
        <w:t>c. Global Research Foundation for Corporate Governance.</w:t>
      </w:r>
    </w:p>
    <w:p w:rsidR="00E97522" w:rsidP="00E97522">
      <w:pPr>
        <w:spacing w:after="120"/>
      </w:pPr>
    </w:p>
    <w:p w:rsidR="00E97522" w:rsidP="00E97522">
      <w:pPr>
        <w:pStyle w:val="ListParagraph"/>
        <w:spacing w:after="120"/>
        <w:ind w:left="1440"/>
      </w:pPr>
    </w:p>
    <w:p w:rsidR="00DD44DD" w:rsidRPr="00E97522" w:rsidP="00E97522">
      <w:pPr>
        <w:pStyle w:val="ListParagraph"/>
        <w:rPr>
          <w:rFonts w:cstheme="majorHAnsi"/>
          <w:b/>
          <w:color w:val="0B0C0C"/>
          <w:szCs w:val="29"/>
          <w:shd w:val="clear" w:color="auto" w:fill="FFFFFF"/>
          <w:lang w:val="en-AU"/>
        </w:rPr>
      </w:pPr>
    </w:p>
    <w:p w:rsidR="00DD44DD" w:rsidP="00DD44DD">
      <w:pPr>
        <w:spacing w:after="120"/>
        <w:jc w:val="both"/>
        <w:rPr>
          <w:b/>
          <w:color w:val="000000" w:themeColor="text1"/>
          <w:szCs w:val="20"/>
        </w:rPr>
      </w:pPr>
    </w:p>
    <w:p w:rsidR="00F81FB2" w:rsidRPr="00DD44DD" w:rsidP="00DD44DD">
      <w:pPr>
        <w:spacing w:after="120"/>
        <w:jc w:val="both"/>
        <w:rPr>
          <w:b/>
          <w:color w:val="000000" w:themeColor="text1"/>
          <w:szCs w:val="20"/>
        </w:rPr>
      </w:pPr>
    </w:p>
    <w:p w:rsidR="00B97B2F" w:rsidP="0057072B">
      <w:pPr>
        <w:spacing w:after="120"/>
        <w:jc w:val="both"/>
        <w:rPr>
          <w:szCs w:val="20"/>
          <w:lang w:val="en-AU"/>
        </w:rPr>
      </w:pPr>
    </w:p>
    <w:p w:rsidR="00D269A8" w:rsidP="0057072B">
      <w:pPr>
        <w:spacing w:after="120"/>
        <w:jc w:val="both"/>
      </w:pPr>
    </w:p>
    <w:p w:rsidR="00660C40" w:rsidRPr="00D269A8" w:rsidP="00D269A8">
      <w:pPr>
        <w:rPr>
          <w:rFonts w:cstheme="majorHAnsi"/>
          <w:color w:val="0B0C0C"/>
          <w:szCs w:val="29"/>
          <w:shd w:val="clear" w:color="auto" w:fill="FFFFFF"/>
          <w:lang w:val="en-AU"/>
        </w:rPr>
      </w:pPr>
    </w:p>
    <w:p w:rsidR="00660C40" w:rsidP="00660C40">
      <w:pPr>
        <w:pStyle w:val="ListParagraph"/>
        <w:ind w:left="1440"/>
        <w:rPr>
          <w:rFonts w:cstheme="majorHAnsi"/>
          <w:color w:val="0B0C0C"/>
          <w:szCs w:val="29"/>
          <w:shd w:val="clear" w:color="auto" w:fill="FFFFFF"/>
          <w:lang w:val="en-AU"/>
        </w:rPr>
      </w:pPr>
    </w:p>
    <w:p w:rsidR="00D639ED" w:rsidP="00660C40">
      <w:pPr>
        <w:pStyle w:val="ListParagraph"/>
        <w:ind w:left="1440"/>
        <w:rPr>
          <w:rFonts w:cstheme="majorHAnsi"/>
          <w:color w:val="0B0C0C"/>
          <w:szCs w:val="29"/>
          <w:shd w:val="clear" w:color="auto" w:fill="FFFFFF"/>
          <w:lang w:val="en-AU"/>
        </w:rPr>
      </w:pPr>
    </w:p>
    <w:p w:rsidR="00C22938">
      <w:pPr>
        <w:rPr>
          <w:rFonts w:ascii="Times" w:hAnsi="Times"/>
          <w:sz w:val="20"/>
          <w:szCs w:val="20"/>
          <w:lang w:val="en-AU"/>
        </w:rPr>
      </w:pPr>
      <w:r w:rsidRPr="00A25C1C">
        <w:rPr>
          <w:rFonts w:ascii="Times" w:hAnsi="Times"/>
          <w:sz w:val="20"/>
          <w:szCs w:val="20"/>
          <w:lang w:val="en-AU"/>
        </w:rPr>
        <w:t>The Economist. (January 23, 2014). The Big-Mac index: Currencies to go. Retrieved from http://www.economist.com/content/big-mac-index (</w:t>
      </w:r>
    </w:p>
    <w:p w:rsidR="00C22938">
      <w:pPr>
        <w:rPr>
          <w:rFonts w:ascii="Times" w:hAnsi="Times"/>
          <w:sz w:val="20"/>
          <w:szCs w:val="20"/>
          <w:lang w:val="en-AU"/>
        </w:rPr>
      </w:pPr>
    </w:p>
    <w:p w:rsidR="00C22938" w:rsidRPr="00407E95" w:rsidP="00C22938">
      <w:pPr>
        <w:spacing w:after="0"/>
        <w:rPr>
          <w:sz w:val="20"/>
        </w:rPr>
      </w:pPr>
      <w:r w:rsidRPr="00407E95">
        <w:rPr>
          <w:sz w:val="20"/>
        </w:rPr>
        <w:t xml:space="preserve">Ostrom is applying the “Law of Requisite Variety” described by Ross Ashby on page 207 of his 1957 book </w:t>
      </w:r>
      <w:r>
        <w:fldChar w:fldCharType="begin"/>
      </w:r>
      <w:r>
        <w:instrText xml:space="preserve"> HYPERLINK "http://pespmc1.vub.ac.be/books/IntroCyb.pdf" </w:instrText>
      </w:r>
      <w:r>
        <w:fldChar w:fldCharType="separate"/>
      </w:r>
      <w:r w:rsidRPr="00407E95">
        <w:rPr>
          <w:rStyle w:val="Hyperlink"/>
          <w:i/>
          <w:sz w:val="20"/>
        </w:rPr>
        <w:t>An Introduction to cybernetics</w:t>
      </w:r>
      <w:r>
        <w:fldChar w:fldCharType="end"/>
      </w:r>
      <w:r w:rsidRPr="00407E95">
        <w:rPr>
          <w:sz w:val="20"/>
        </w:rPr>
        <w:t>. Ashby states: “only variety can destroy variety”</w:t>
      </w:r>
    </w:p>
    <w:p w:rsidR="00C22938" w:rsidP="00C22938">
      <w:r>
        <w:t xml:space="preserve">, </w:t>
      </w:r>
    </w:p>
    <w:p w:rsidR="00C22938" w:rsidP="00C22938">
      <w:r w:rsidRPr="0016376B">
        <w:rPr>
          <w:i/>
        </w:rPr>
        <w:t>Avoiding extinction requires System Science</w:t>
      </w:r>
      <w:r w:rsidRPr="0016376B">
        <w:t xml:space="preserve">, </w:t>
      </w:r>
      <w:r>
        <w:t xml:space="preserve">hosted by American Society of Cybernetics, September, </w:t>
      </w:r>
      <w:r>
        <w:fldChar w:fldCharType="begin"/>
      </w:r>
      <w:r>
        <w:instrText xml:space="preserve"> HYPERLINK "https://youtu.be/gnOiBsnRPAY" </w:instrText>
      </w:r>
      <w:r>
        <w:fldChar w:fldCharType="separate"/>
      </w:r>
      <w:r w:rsidRPr="0016376B">
        <w:rPr>
          <w:u w:val="single"/>
        </w:rPr>
        <w:t>https://youtu.be/gnOiBsnRPAY</w:t>
      </w:r>
      <w:r>
        <w:fldChar w:fldCharType="end"/>
      </w:r>
      <w:r>
        <w:t xml:space="preserve"> </w:t>
      </w:r>
    </w:p>
    <w:p w:rsidR="00C22938" w:rsidP="00C22938">
      <w:r w:rsidRPr="0007284A">
        <w:rPr>
          <w:i/>
          <w:szCs w:val="20"/>
        </w:rPr>
        <w:t>Managing the complexity of climate change</w:t>
      </w:r>
      <w:r>
        <w:rPr>
          <w:szCs w:val="20"/>
        </w:rPr>
        <w:t xml:space="preserve">, hosted by World Organisation for Systems and Cybernetics, September, </w:t>
      </w:r>
      <w:r>
        <w:fldChar w:fldCharType="begin"/>
      </w:r>
      <w:r>
        <w:instrText xml:space="preserve"> HYPERLINK "https://youtu.be/Gx0BeipqMdg" </w:instrText>
      </w:r>
      <w:r>
        <w:fldChar w:fldCharType="separate"/>
      </w:r>
      <w:r w:rsidRPr="00994525">
        <w:rPr>
          <w:rStyle w:val="Hyperlink"/>
          <w:szCs w:val="17"/>
        </w:rPr>
        <w:t>https://youtu.be/Gx0BeipqMdg</w:t>
      </w:r>
      <w:r>
        <w:fldChar w:fldCharType="end"/>
      </w:r>
    </w:p>
    <w:p w:rsidR="00C22938" w:rsidP="00C22938">
      <w:pPr>
        <w:rPr>
          <w:szCs w:val="20"/>
        </w:rPr>
      </w:pPr>
      <w:r w:rsidRPr="0007284A">
        <w:rPr>
          <w:i/>
        </w:rPr>
        <w:t>The case for radical corporate governance reform</w:t>
      </w:r>
      <w:r>
        <w:t xml:space="preserve">, hosted by the Global Research Foundation for Corporate Governance, July, </w:t>
      </w:r>
      <w:r>
        <w:fldChar w:fldCharType="begin"/>
      </w:r>
      <w:r>
        <w:instrText xml:space="preserve"> HYPERLINK "https://www.youtube.com/watch?v=xWve9MJyRXA" \l "action=share" </w:instrText>
      </w:r>
      <w:r>
        <w:fldChar w:fldCharType="separate"/>
      </w:r>
      <w:r w:rsidRPr="00021F7C">
        <w:rPr>
          <w:color w:val="0000FF"/>
          <w:szCs w:val="20"/>
          <w:u w:val="single"/>
        </w:rPr>
        <w:t>https://www.youtube.com/watch?v=xWve9MJyRXA#action=share</w:t>
      </w:r>
      <w:r>
        <w:fldChar w:fldCharType="end"/>
      </w:r>
    </w:p>
    <w:p w:rsidR="00990F26">
      <w:pPr>
        <w:rPr>
          <w:rFonts w:ascii="Times" w:hAnsi="Times"/>
          <w:sz w:val="20"/>
          <w:szCs w:val="20"/>
          <w:lang w:val="en-AU"/>
        </w:rPr>
      </w:pPr>
    </w:p>
    <w:p w:rsidR="007A1456" w:rsidRPr="007A1456">
      <w:pPr>
        <w:rPr>
          <w:rFonts w:ascii="Times" w:hAnsi="Times"/>
          <w:i/>
          <w:iCs/>
          <w:sz w:val="20"/>
          <w:szCs w:val="20"/>
          <w:lang w:val="en-AU"/>
        </w:rPr>
      </w:pPr>
      <w:r>
        <w:rPr>
          <w:rFonts w:ascii="Times" w:hAnsi="Times"/>
          <w:i/>
          <w:iCs/>
          <w:sz w:val="20"/>
          <w:szCs w:val="20"/>
          <w:lang w:val="en-AU"/>
        </w:rPr>
        <w:t>February 2021</w:t>
      </w:r>
    </w:p>
    <w:sectPr w:rsidSect="00FE5FE7">
      <w:headerReference w:type="even" r:id="rId6"/>
      <w:headerReference w:type="default" r:id="rId7"/>
      <w:footerReference w:type="even" r:id="rId8"/>
      <w:footerReference w:type="default" r:id="rId9"/>
      <w:headerReference w:type="first" r:id="rId10"/>
      <w:footerReference w:type="first" r:id="rId11"/>
      <w:pgSz w:w="11900" w:h="16840"/>
      <w:pgMar w:top="1440" w:right="1418" w:bottom="1418" w:left="1418"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424B" w:rsidP="00BE15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42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424B" w:rsidP="00BE15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72424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4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63E2A">
      <w:pPr>
        <w:spacing w:after="0"/>
      </w:pPr>
      <w:r>
        <w:separator/>
      </w:r>
    </w:p>
  </w:footnote>
  <w:footnote w:type="continuationSeparator" w:id="1">
    <w:p w:rsidR="00663E2A">
      <w:pPr>
        <w:spacing w:after="0"/>
      </w:pPr>
      <w:r>
        <w:continuationSeparator/>
      </w:r>
    </w:p>
  </w:footnote>
  <w:footnote w:id="2">
    <w:p w:rsidR="0072424B" w:rsidRPr="007454E4" w:rsidP="00D72B61">
      <w:pPr>
        <w:spacing w:after="0"/>
        <w:rPr>
          <w:sz w:val="20"/>
        </w:rPr>
      </w:pPr>
      <w:r w:rsidRPr="007454E4">
        <w:rPr>
          <w:rStyle w:val="FootnoteReference"/>
          <w:sz w:val="20"/>
        </w:rPr>
        <w:footnoteRef/>
      </w:r>
      <w:r w:rsidRPr="007454E4">
        <w:rPr>
          <w:sz w:val="20"/>
        </w:rPr>
        <w:t xml:space="preserve"> </w:t>
      </w:r>
      <w:r>
        <w:fldChar w:fldCharType="begin"/>
      </w:r>
      <w:r>
        <w:instrText xml:space="preserve"> HYPERLINK "https://cdn.ymaws.com/www.export.org.uk/resource/resmgr/media/news/key-facts-about-the-uk-as-an.pdf" </w:instrText>
      </w:r>
      <w:r>
        <w:fldChar w:fldCharType="separate"/>
      </w:r>
      <w:r w:rsidRPr="007454E4">
        <w:rPr>
          <w:rStyle w:val="Hyperlink"/>
          <w:sz w:val="20"/>
        </w:rPr>
        <w:t>https://cdn.ymaws.com/www.export.org.uk/resource/resmgr/media/news/key-facts-about-the-uk-as-an.pdf</w:t>
      </w:r>
      <w:r>
        <w:fldChar w:fldCharType="end"/>
      </w:r>
    </w:p>
  </w:footnote>
  <w:footnote w:id="3">
    <w:p w:rsidR="0072424B" w:rsidRPr="007454E4">
      <w:pPr>
        <w:pStyle w:val="FootnoteText"/>
        <w:rPr>
          <w:sz w:val="20"/>
        </w:rPr>
      </w:pPr>
      <w:r w:rsidRPr="007454E4">
        <w:rPr>
          <w:rStyle w:val="FootnoteReference"/>
          <w:sz w:val="20"/>
        </w:rPr>
        <w:footnoteRef/>
      </w:r>
      <w:r w:rsidRPr="007454E4">
        <w:rPr>
          <w:sz w:val="20"/>
        </w:rPr>
        <w:t xml:space="preserve"> </w:t>
      </w:r>
      <w:r>
        <w:fldChar w:fldCharType="begin"/>
      </w:r>
      <w:r>
        <w:instrText xml:space="preserve"> HYPERLINK "https://upload.wikimedia.org/wikipedia/en/d/d9/TheAdministrativeState.jpg" </w:instrText>
      </w:r>
      <w:r>
        <w:fldChar w:fldCharType="separate"/>
      </w:r>
      <w:r w:rsidRPr="00B734BE">
        <w:rPr>
          <w:rStyle w:val="Hyperlink"/>
          <w:sz w:val="20"/>
        </w:rPr>
        <w:t>https://upload.wikimedia.org/wikipedia/en/d/d9/TheAdministrativeState.jpg</w:t>
      </w:r>
      <w:r>
        <w:fldChar w:fldCharType="end"/>
      </w:r>
      <w:r>
        <w:rPr>
          <w:sz w:val="20"/>
        </w:rPr>
        <w:t xml:space="preserve"> </w:t>
      </w:r>
    </w:p>
  </w:footnote>
  <w:footnote w:id="4">
    <w:p w:rsidR="0072424B">
      <w:pPr>
        <w:pStyle w:val="FootnoteText"/>
      </w:pPr>
      <w:r w:rsidRPr="007454E4">
        <w:rPr>
          <w:rStyle w:val="FootnoteReference"/>
          <w:sz w:val="20"/>
        </w:rPr>
        <w:footnoteRef/>
      </w:r>
      <w:r w:rsidRPr="007454E4">
        <w:rPr>
          <w:sz w:val="20"/>
        </w:rPr>
        <w:t xml:space="preserve"> </w:t>
      </w:r>
      <w:r>
        <w:fldChar w:fldCharType="begin"/>
      </w:r>
      <w:r>
        <w:instrText xml:space="preserve"> HYPERLINK "https://www.gov.uk/government/consultations/future-regulatory-framework-frf-review-consultation" \l "history" </w:instrText>
      </w:r>
      <w:r>
        <w:fldChar w:fldCharType="separate"/>
      </w:r>
      <w:r w:rsidRPr="007454E4">
        <w:rPr>
          <w:rStyle w:val="Hyperlink"/>
          <w:sz w:val="20"/>
        </w:rPr>
        <w:t>https://www.gov.uk/government/consultations/future-regulatory-framework-frf-review-consultation#history</w:t>
      </w:r>
      <w:r>
        <w:fldChar w:fldCharType="end"/>
      </w:r>
      <w:r>
        <w:t xml:space="preserve"> </w:t>
      </w:r>
    </w:p>
  </w:footnote>
  <w:footnote w:id="5">
    <w:p w:rsidR="0072424B">
      <w:pPr>
        <w:pStyle w:val="FootnoteText"/>
      </w:pPr>
      <w:r>
        <w:rPr>
          <w:rStyle w:val="FootnoteReference"/>
        </w:rPr>
        <w:footnoteRef/>
      </w:r>
      <w:r>
        <w:t xml:space="preserve"> </w:t>
      </w:r>
    </w:p>
  </w:footnote>
  <w:footnote w:id="6">
    <w:p w:rsidR="0072424B" w:rsidP="00FC42E9">
      <w:pPr>
        <w:spacing w:after="0"/>
      </w:pPr>
      <w:r>
        <w:rPr>
          <w:rStyle w:val="FootnoteReference"/>
        </w:rPr>
        <w:footnoteRef/>
      </w:r>
      <w:r>
        <w:t xml:space="preserve"> Stern, N. 2006, </w:t>
      </w:r>
      <w:r w:rsidRPr="003E27D3">
        <w:rPr>
          <w:i/>
        </w:rPr>
        <w:t>The Economics of Climate Change: The Stern Review</w:t>
      </w:r>
      <w:r>
        <w:t>, Cabinet Office, HM</w:t>
      </w:r>
    </w:p>
    <w:p w:rsidR="0072424B" w:rsidRPr="001535B3" w:rsidP="00FC42E9">
      <w:pPr>
        <w:spacing w:after="120"/>
      </w:pPr>
      <w:r>
        <w:t xml:space="preserve">Treasury: London, </w:t>
      </w:r>
      <w:r>
        <w:fldChar w:fldCharType="begin"/>
      </w:r>
      <w:r>
        <w:instrText xml:space="preserve"> HYPERLINK "http://www.sternreview.org.uk" </w:instrText>
      </w:r>
      <w:r>
        <w:fldChar w:fldCharType="separate"/>
      </w:r>
      <w:r w:rsidRPr="00603F56">
        <w:rPr>
          <w:rStyle w:val="Hyperlink"/>
        </w:rPr>
        <w:t>http://www.sternreview.org.uk</w:t>
      </w:r>
      <w:r>
        <w:fldChar w:fldCharType="end"/>
      </w:r>
      <w:r>
        <w:t>.</w:t>
      </w:r>
    </w:p>
    <w:p w:rsidR="0072424B">
      <w:pPr>
        <w:pStyle w:val="FootnoteText"/>
      </w:pPr>
    </w:p>
  </w:footnote>
  <w:footnote w:id="7">
    <w:p w:rsidR="0072424B" w:rsidRPr="00571F26" w:rsidP="00A451E4">
      <w:pPr>
        <w:spacing w:after="0"/>
        <w:rPr>
          <w:sz w:val="20"/>
        </w:rPr>
      </w:pPr>
      <w:r w:rsidRPr="00571F26">
        <w:rPr>
          <w:rStyle w:val="FootnoteReference"/>
          <w:sz w:val="20"/>
        </w:rPr>
        <w:footnoteRef/>
      </w:r>
      <w:r w:rsidRPr="00571F26">
        <w:rPr>
          <w:sz w:val="20"/>
        </w:rPr>
        <w:t xml:space="preserve"> King, M. 1999, ‘Challenges for Monetary Policy: New and Old’, presented to Symposium on "New Challenges for Monetary Policy", p. 47, Jackson Hole, Wyoming, 27 August, </w:t>
      </w:r>
      <w:r>
        <w:fldChar w:fldCharType="begin"/>
      </w:r>
      <w:r>
        <w:instrText xml:space="preserve"> HYPERLINK "http://www.bankofengland.co.uk/speeches/speech51.pdf" </w:instrText>
      </w:r>
      <w:r>
        <w:fldChar w:fldCharType="separate"/>
      </w:r>
      <w:r w:rsidRPr="00571F26">
        <w:rPr>
          <w:rStyle w:val="Hyperlink"/>
          <w:sz w:val="20"/>
        </w:rPr>
        <w:t>http://www.bankofengland.co.uk/speeches/speech51.pdf</w:t>
      </w:r>
      <w:r>
        <w:fldChar w:fldCharType="end"/>
      </w:r>
      <w:r>
        <w:rPr>
          <w:sz w:val="20"/>
        </w:rPr>
        <w:t xml:space="preserve"> .</w:t>
      </w:r>
    </w:p>
  </w:footnote>
  <w:footnote w:id="8">
    <w:p w:rsidR="0072424B" w:rsidP="00571F26">
      <w:pPr>
        <w:spacing w:after="0"/>
        <w:rPr>
          <w:sz w:val="20"/>
        </w:rPr>
      </w:pPr>
      <w:r w:rsidRPr="00571F26">
        <w:rPr>
          <w:rStyle w:val="FootnoteReference"/>
          <w:sz w:val="20"/>
        </w:rPr>
        <w:footnoteRef/>
      </w:r>
      <w:r w:rsidRPr="00571F26">
        <w:rPr>
          <w:sz w:val="20"/>
        </w:rPr>
        <w:t xml:space="preserve"> Turnbull, S. 2019, </w:t>
      </w:r>
      <w:r w:rsidRPr="00571F26">
        <w:rPr>
          <w:color w:val="000000"/>
          <w:sz w:val="20"/>
          <w:szCs w:val="19"/>
        </w:rPr>
        <w:t>‘How might standard units of value be defined?’  </w:t>
      </w:r>
      <w:r w:rsidRPr="00571F26">
        <w:rPr>
          <w:i/>
          <w:color w:val="000000"/>
          <w:sz w:val="20"/>
          <w:szCs w:val="19"/>
        </w:rPr>
        <w:t>Journal of Modern Accounting and Auditing</w:t>
      </w:r>
      <w:r w:rsidRPr="00571F26">
        <w:rPr>
          <w:color w:val="000000"/>
          <w:sz w:val="20"/>
          <w:szCs w:val="19"/>
        </w:rPr>
        <w:t xml:space="preserve">, May, Vol. 15, No. 5, 221-231 doi: 10.17265/1548-6583/2019.05.001 </w:t>
      </w:r>
      <w:r>
        <w:fldChar w:fldCharType="begin"/>
      </w:r>
      <w:r>
        <w:instrText xml:space="preserve"> HYPERLINK "https://ssrn.com/abstract=3429726" </w:instrText>
      </w:r>
      <w:r>
        <w:fldChar w:fldCharType="separate"/>
      </w:r>
      <w:r w:rsidRPr="00571F26">
        <w:rPr>
          <w:rStyle w:val="Hyperlink"/>
          <w:sz w:val="20"/>
          <w:szCs w:val="17"/>
        </w:rPr>
        <w:t>https://ssrn.com/abstract=3429726</w:t>
      </w:r>
      <w:r>
        <w:fldChar w:fldCharType="end"/>
      </w:r>
    </w:p>
    <w:p w:rsidR="0072424B" w:rsidRPr="00CE0C0D" w:rsidP="00571F26">
      <w:pPr>
        <w:spacing w:after="0"/>
        <w:rPr>
          <w:sz w:val="20"/>
        </w:rPr>
      </w:pPr>
      <w:r w:rsidRPr="00CE0C0D">
        <w:rPr>
          <w:sz w:val="20"/>
        </w:rPr>
        <w:t xml:space="preserve">Turnbull, .S. 2018, </w:t>
      </w:r>
      <w:r w:rsidRPr="00CE0C0D">
        <w:rPr>
          <w:color w:val="222222"/>
          <w:sz w:val="20"/>
          <w:szCs w:val="14"/>
          <w:shd w:val="clear" w:color="auto" w:fill="FFFFFF"/>
        </w:rPr>
        <w:t>‘Sustainable Value Money: Why it is needed, how to get it?’</w:t>
      </w:r>
      <w:r w:rsidRPr="00CE0C0D">
        <w:rPr>
          <w:sz w:val="20"/>
        </w:rPr>
        <w:t xml:space="preserve"> In: Boubaker, S. and Nguyen, D. (eds.),</w:t>
      </w:r>
      <w:r w:rsidRPr="00CE0C0D">
        <w:rPr>
          <w:rFonts w:ascii="Arial" w:hAnsi="Arial"/>
          <w:color w:val="222222"/>
          <w:sz w:val="20"/>
        </w:rPr>
        <w:t> </w:t>
      </w:r>
      <w:r w:rsidRPr="00CE0C0D">
        <w:rPr>
          <w:rFonts w:cs="Helvetica Neue"/>
          <w:i/>
          <w:color w:val="000000"/>
          <w:sz w:val="20"/>
        </w:rPr>
        <w:t>Corporate Social Responsibility, Ethics and Sustainable Prosperity</w:t>
      </w:r>
      <w:r w:rsidRPr="00CE0C0D">
        <w:rPr>
          <w:i/>
          <w:sz w:val="20"/>
        </w:rPr>
        <w:t xml:space="preserve">, </w:t>
      </w:r>
      <w:r w:rsidRPr="00CE0C0D">
        <w:rPr>
          <w:sz w:val="20"/>
        </w:rPr>
        <w:t xml:space="preserve">pp. 413-43, </w:t>
      </w:r>
      <w:r w:rsidRPr="00CE0C0D">
        <w:rPr>
          <w:color w:val="222222"/>
          <w:sz w:val="20"/>
          <w:szCs w:val="17"/>
          <w:shd w:val="clear" w:color="auto" w:fill="FFFFFF"/>
        </w:rPr>
        <w:t>World Scientific Publishing</w:t>
      </w:r>
      <w:r>
        <w:rPr>
          <w:color w:val="222222"/>
          <w:sz w:val="20"/>
          <w:szCs w:val="17"/>
          <w:shd w:val="clear" w:color="auto" w:fill="FFFFFF"/>
        </w:rPr>
        <w:t>: Singapore,</w:t>
      </w:r>
      <w:r w:rsidRPr="00CE0C0D">
        <w:rPr>
          <w:color w:val="222222"/>
          <w:sz w:val="20"/>
          <w:szCs w:val="17"/>
          <w:shd w:val="clear" w:color="auto" w:fill="FFFFFF"/>
        </w:rPr>
        <w:t>&lt;</w:t>
      </w:r>
      <w:r>
        <w:fldChar w:fldCharType="begin"/>
      </w:r>
      <w:r>
        <w:instrText xml:space="preserve"> HYPERLINK "https://ssrn.com/abstract=3022277" </w:instrText>
      </w:r>
      <w:r>
        <w:fldChar w:fldCharType="separate"/>
      </w:r>
      <w:r w:rsidRPr="00CE0C0D">
        <w:rPr>
          <w:rStyle w:val="Hyperlink"/>
          <w:sz w:val="20"/>
        </w:rPr>
        <w:t>https://ssrn.com/abstract=3022277</w:t>
      </w:r>
      <w:r>
        <w:fldChar w:fldCharType="end"/>
      </w:r>
    </w:p>
  </w:footnote>
  <w:footnote w:id="9">
    <w:p w:rsidR="0072424B" w:rsidRPr="00571F26" w:rsidP="00571F26">
      <w:pPr>
        <w:spacing w:after="0"/>
        <w:rPr>
          <w:sz w:val="20"/>
        </w:rPr>
      </w:pPr>
      <w:r w:rsidRPr="00571F26">
        <w:rPr>
          <w:rStyle w:val="FootnoteReference"/>
          <w:sz w:val="20"/>
        </w:rPr>
        <w:footnoteRef/>
      </w:r>
      <w:r w:rsidRPr="00571F26">
        <w:rPr>
          <w:sz w:val="20"/>
        </w:rPr>
        <w:t xml:space="preserve"> King, M. 2016a, ‘Lord Mervyn King: Why throwing money at a financial panic will lead to a new crisis’, </w:t>
      </w:r>
      <w:r w:rsidRPr="00571F26">
        <w:rPr>
          <w:i/>
          <w:sz w:val="20"/>
        </w:rPr>
        <w:t>The Telegraph</w:t>
      </w:r>
      <w:r w:rsidRPr="00571F26">
        <w:rPr>
          <w:sz w:val="20"/>
        </w:rPr>
        <w:t xml:space="preserve">, February 27, </w:t>
      </w:r>
      <w:r>
        <w:fldChar w:fldCharType="begin"/>
      </w:r>
      <w:r>
        <w:instrText xml:space="preserve"> HYPERLINK "http://www.telegraph.co.uk/business/2016/02/26/lordmervyn-king-why-throwing-money-at-financial-panic-willlead/?WT.mc_id=tmg_share_em" </w:instrText>
      </w:r>
      <w:r>
        <w:fldChar w:fldCharType="separate"/>
      </w:r>
      <w:r w:rsidRPr="00571F26">
        <w:rPr>
          <w:rStyle w:val="Hyperlink"/>
          <w:sz w:val="20"/>
        </w:rPr>
        <w:t>http://www.telegraph.co.uk/business/2016/02/26/lordmervyn-king-why-throwing-money-at-financial-panic-willlead/?WT.mc_id=tmg_share_em</w:t>
      </w:r>
      <w:r>
        <w:fldChar w:fldCharType="end"/>
      </w:r>
      <w:r w:rsidRPr="00571F26">
        <w:rPr>
          <w:sz w:val="20"/>
        </w:rPr>
        <w:t>.</w:t>
      </w:r>
    </w:p>
    <w:p w:rsidR="0072424B" w:rsidRPr="00571F26" w:rsidP="00571F26">
      <w:pPr>
        <w:spacing w:after="0"/>
        <w:rPr>
          <w:sz w:val="20"/>
        </w:rPr>
      </w:pPr>
      <w:r w:rsidRPr="00571F26">
        <w:rPr>
          <w:sz w:val="20"/>
        </w:rPr>
        <w:t xml:space="preserve">King, M. 2016b, </w:t>
      </w:r>
      <w:r w:rsidRPr="00571F26">
        <w:rPr>
          <w:i/>
          <w:sz w:val="20"/>
        </w:rPr>
        <w:t>The End of Alchemy: Money, Banking, and the Future of the Global Economy</w:t>
      </w:r>
      <w:r w:rsidRPr="00571F26">
        <w:rPr>
          <w:sz w:val="20"/>
        </w:rPr>
        <w:t>, Little Brown: London.</w:t>
      </w:r>
    </w:p>
  </w:footnote>
  <w:footnote w:id="10">
    <w:p w:rsidR="0072424B" w:rsidRPr="00571F26" w:rsidP="00571F26">
      <w:pPr>
        <w:spacing w:after="0"/>
        <w:jc w:val="both"/>
        <w:rPr>
          <w:sz w:val="20"/>
          <w:szCs w:val="20"/>
          <w:lang w:val="en-AU"/>
        </w:rPr>
      </w:pPr>
      <w:r w:rsidRPr="00571F26">
        <w:rPr>
          <w:rStyle w:val="FootnoteReference"/>
          <w:sz w:val="20"/>
        </w:rPr>
        <w:footnoteRef/>
      </w:r>
      <w:r w:rsidRPr="00571F26">
        <w:rPr>
          <w:sz w:val="20"/>
        </w:rPr>
        <w:t xml:space="preserve"> </w:t>
      </w:r>
      <w:r w:rsidRPr="00571F26">
        <w:rPr>
          <w:sz w:val="20"/>
          <w:szCs w:val="20"/>
          <w:lang w:val="en-AU"/>
        </w:rPr>
        <w:t xml:space="preserve">Wolf, M. 2016, ‘Martin Wolf: Will there be another huge financial crisis?’ </w:t>
      </w:r>
      <w:r w:rsidRPr="00571F26">
        <w:rPr>
          <w:i/>
          <w:sz w:val="20"/>
          <w:szCs w:val="20"/>
          <w:lang w:val="en-AU"/>
        </w:rPr>
        <w:t>The Irish Times</w:t>
      </w:r>
      <w:r w:rsidRPr="00571F26">
        <w:rPr>
          <w:sz w:val="20"/>
          <w:szCs w:val="20"/>
          <w:lang w:val="en-AU"/>
        </w:rPr>
        <w:t xml:space="preserve">, June 1, </w:t>
      </w:r>
      <w:r>
        <w:fldChar w:fldCharType="begin"/>
      </w:r>
      <w:r>
        <w:instrText xml:space="preserve"> HYPERLINK "https://www.irishtimes.com/business/economy/martin-wolf-will-there-be-another-hugefinancial-crisis-1.2668834" </w:instrText>
      </w:r>
      <w:r>
        <w:fldChar w:fldCharType="separate"/>
      </w:r>
      <w:r w:rsidRPr="00571F26">
        <w:rPr>
          <w:rStyle w:val="Hyperlink"/>
          <w:sz w:val="20"/>
          <w:szCs w:val="20"/>
          <w:lang w:val="en-AU"/>
        </w:rPr>
        <w:t>https://www.irishtimes.com/business/economy/martin-wolf-will-there-be-another-hugefinancial-crisis-1.2668834</w:t>
      </w:r>
      <w:r>
        <w:fldChar w:fldCharType="end"/>
      </w:r>
      <w:r w:rsidRPr="00571F26">
        <w:rPr>
          <w:sz w:val="20"/>
          <w:szCs w:val="20"/>
          <w:lang w:val="en-AU"/>
        </w:rPr>
        <w:t>.</w:t>
      </w:r>
    </w:p>
  </w:footnote>
  <w:footnote w:id="11">
    <w:p w:rsidR="0072424B" w:rsidRPr="00571F26" w:rsidP="00571F26">
      <w:pPr>
        <w:spacing w:after="0"/>
        <w:rPr>
          <w:sz w:val="20"/>
        </w:rPr>
      </w:pPr>
      <w:r w:rsidRPr="00571F26">
        <w:rPr>
          <w:rStyle w:val="FootnoteReference"/>
          <w:sz w:val="20"/>
        </w:rPr>
        <w:footnoteRef/>
      </w:r>
      <w:r w:rsidRPr="00571F26">
        <w:rPr>
          <w:sz w:val="20"/>
        </w:rPr>
        <w:t xml:space="preserve"> </w:t>
      </w:r>
      <w:r w:rsidRPr="00571F26">
        <w:rPr>
          <w:i/>
          <w:sz w:val="20"/>
          <w:szCs w:val="20"/>
          <w:lang w:val="en-AU"/>
        </w:rPr>
        <w:t>The Economist</w:t>
      </w:r>
      <w:r w:rsidRPr="00571F26">
        <w:rPr>
          <w:sz w:val="20"/>
          <w:szCs w:val="20"/>
          <w:lang w:val="en-AU"/>
        </w:rPr>
        <w:t>, 1990b, ‘Time to tether currencies’, January 6</w:t>
      </w:r>
      <w:r w:rsidRPr="00571F26">
        <w:rPr>
          <w:sz w:val="20"/>
          <w:szCs w:val="20"/>
          <w:vertAlign w:val="superscript"/>
          <w:lang w:val="en-AU"/>
        </w:rPr>
        <w:t>th</w:t>
      </w:r>
      <w:r w:rsidRPr="00571F26">
        <w:rPr>
          <w:sz w:val="20"/>
          <w:szCs w:val="20"/>
          <w:lang w:val="en-AU"/>
        </w:rPr>
        <w:t>,</w:t>
      </w:r>
      <w:r w:rsidRPr="00571F26">
        <w:rPr>
          <w:sz w:val="20"/>
        </w:rPr>
        <w:t xml:space="preserve"> pp. 10-11, </w:t>
      </w:r>
      <w:r>
        <w:fldChar w:fldCharType="begin"/>
      </w:r>
      <w:r>
        <w:instrText xml:space="preserve"> HYPERLINK "https://www.highbeam.com/doc/1G1-8271275.html" </w:instrText>
      </w:r>
      <w:r>
        <w:fldChar w:fldCharType="separate"/>
      </w:r>
      <w:r w:rsidRPr="00571F26">
        <w:rPr>
          <w:rStyle w:val="Hyperlink"/>
          <w:sz w:val="20"/>
        </w:rPr>
        <w:t>https://www.highbeam.com/doc/1G1-8271275.html</w:t>
      </w:r>
      <w:r>
        <w:fldChar w:fldCharType="end"/>
      </w:r>
      <w:r w:rsidRPr="00571F26">
        <w:rPr>
          <w:sz w:val="20"/>
        </w:rPr>
        <w:t>.</w:t>
      </w:r>
    </w:p>
  </w:footnote>
  <w:footnote w:id="12">
    <w:p w:rsidR="0072424B" w:rsidRPr="00926C22">
      <w:pPr>
        <w:pStyle w:val="FootnoteText"/>
        <w:rPr>
          <w:sz w:val="20"/>
        </w:rPr>
      </w:pPr>
      <w:r w:rsidRPr="00926C22">
        <w:rPr>
          <w:rStyle w:val="FootnoteReference"/>
          <w:sz w:val="20"/>
        </w:rPr>
        <w:footnoteRef/>
      </w:r>
      <w:r w:rsidRPr="00926C22">
        <w:rPr>
          <w:sz w:val="20"/>
        </w:rPr>
        <w:t xml:space="preserve"> </w:t>
      </w:r>
      <w:r>
        <w:fldChar w:fldCharType="begin"/>
      </w:r>
      <w:r>
        <w:instrText xml:space="preserve"> HYPERLINK "https://www.economist.com/big-mac-index" </w:instrText>
      </w:r>
      <w:r>
        <w:fldChar w:fldCharType="separate"/>
      </w:r>
      <w:r w:rsidRPr="00926C22">
        <w:rPr>
          <w:rStyle w:val="Hyperlink"/>
          <w:sz w:val="20"/>
        </w:rPr>
        <w:t>https://www.economist.com/big-mac-index</w:t>
      </w:r>
      <w:r>
        <w:fldChar w:fldCharType="end"/>
      </w:r>
      <w:r w:rsidRPr="00926C22">
        <w:rPr>
          <w:sz w:val="20"/>
        </w:rPr>
        <w:t xml:space="preserve"> </w:t>
      </w:r>
    </w:p>
  </w:footnote>
  <w:footnote w:id="13">
    <w:p w:rsidR="0072424B" w:rsidRPr="0013029C" w:rsidP="0013029C">
      <w:pPr>
        <w:spacing w:after="0"/>
        <w:rPr>
          <w:sz w:val="20"/>
        </w:rPr>
      </w:pPr>
      <w:r w:rsidRPr="00571F26">
        <w:rPr>
          <w:rStyle w:val="FootnoteReference"/>
          <w:sz w:val="20"/>
        </w:rPr>
        <w:footnoteRef/>
      </w:r>
      <w:r w:rsidRPr="00571F26">
        <w:rPr>
          <w:sz w:val="20"/>
        </w:rPr>
        <w:t xml:space="preserve"> Carney, M. 2019, ‘The growing challenges for monetary policy in the current international monetary and financial system’, presented to Jackson Hole Symposium, 23 August,  ‘</w:t>
      </w:r>
      <w:r>
        <w:fldChar w:fldCharType="begin"/>
      </w:r>
      <w:r>
        <w:instrText xml:space="preserve"> HYPERLINK "https://www.bankofengland.co.uk/-/media/boe/files/speech/2019/the-growing-challenges-for-monetary-policy-speech-by-mark-carney.pdf" </w:instrText>
      </w:r>
      <w:r>
        <w:fldChar w:fldCharType="separate"/>
      </w:r>
      <w:r w:rsidRPr="00571F26">
        <w:rPr>
          <w:rStyle w:val="Hyperlink"/>
          <w:sz w:val="20"/>
        </w:rPr>
        <w:t>https://www.bankofengland.co.uk/-/media/boe/files/speech/2019/the-growing-challenges-for-monetary-policy-speech-by-mark-carney.pdf</w:t>
      </w:r>
      <w:r>
        <w:fldChar w:fldCharType="end"/>
      </w:r>
    </w:p>
  </w:footnote>
  <w:footnote w:id="14">
    <w:p w:rsidR="0072424B" w:rsidRPr="002A3ACC" w:rsidP="002A3ACC">
      <w:pPr>
        <w:pStyle w:val="FootnoteText"/>
        <w:rPr>
          <w:sz w:val="20"/>
        </w:rPr>
      </w:pPr>
      <w:r w:rsidRPr="002A3ACC">
        <w:rPr>
          <w:rStyle w:val="FootnoteReference"/>
          <w:sz w:val="20"/>
        </w:rPr>
        <w:footnoteRef/>
      </w:r>
      <w:r w:rsidRPr="002A3ACC">
        <w:rPr>
          <w:sz w:val="20"/>
        </w:rPr>
        <w:t xml:space="preserve">  The author met the IASB chair, Hans Hoogervorst after he presented the Ken Spencer Memorial Lecture in Sydney for the</w:t>
      </w:r>
      <w:r>
        <w:rPr>
          <w:sz w:val="20"/>
        </w:rPr>
        <w:t xml:space="preserve"> </w:t>
      </w:r>
      <w:r w:rsidRPr="002A3ACC">
        <w:rPr>
          <w:sz w:val="20"/>
        </w:rPr>
        <w:t>Australian Government Financial Reporting Council on Thursday, 10 April 2014. He met the IA</w:t>
      </w:r>
      <w:r>
        <w:rPr>
          <w:sz w:val="20"/>
        </w:rPr>
        <w:t xml:space="preserve">SB Vice-chair, Ian McIntosh, at </w:t>
      </w:r>
      <w:r w:rsidRPr="002A3ACC">
        <w:rPr>
          <w:sz w:val="20"/>
        </w:rPr>
        <w:t>his home in London, Wednesday, 2 July 2014.</w:t>
      </w:r>
    </w:p>
  </w:footnote>
  <w:footnote w:id="15">
    <w:p w:rsidR="0072424B" w:rsidRPr="00FD5908" w:rsidP="007C41A9">
      <w:pPr>
        <w:spacing w:after="0"/>
        <w:rPr>
          <w:sz w:val="20"/>
        </w:rPr>
      </w:pPr>
      <w:r w:rsidRPr="007C41A9">
        <w:rPr>
          <w:rStyle w:val="FootnoteReference"/>
          <w:sz w:val="20"/>
        </w:rPr>
        <w:footnoteRef/>
      </w:r>
      <w:r>
        <w:rPr>
          <w:sz w:val="20"/>
        </w:rPr>
        <w:t xml:space="preserve"> Keynes, J. M. 1923,</w:t>
      </w:r>
      <w:r w:rsidRPr="007C41A9">
        <w:rPr>
          <w:sz w:val="20"/>
        </w:rPr>
        <w:t xml:space="preserve"> </w:t>
      </w:r>
      <w:r w:rsidRPr="007C41A9">
        <w:rPr>
          <w:i/>
          <w:sz w:val="20"/>
        </w:rPr>
        <w:t>A Tract on Monetary Reform, The Collected Writings of John Maynard Keynes</w:t>
      </w:r>
      <w:r w:rsidRPr="007C41A9">
        <w:rPr>
          <w:sz w:val="20"/>
        </w:rPr>
        <w:t xml:space="preserve"> (1971-1989), Vol. IV, Cambridge: Cambridge University Press.</w:t>
      </w:r>
    </w:p>
  </w:footnote>
  <w:footnote w:id="16">
    <w:p w:rsidR="0072424B" w:rsidRPr="00FD5908">
      <w:pPr>
        <w:pStyle w:val="FootnoteText"/>
        <w:rPr>
          <w:sz w:val="20"/>
        </w:rPr>
      </w:pPr>
      <w:r w:rsidRPr="00FD5908">
        <w:rPr>
          <w:rStyle w:val="FootnoteReference"/>
          <w:sz w:val="20"/>
        </w:rPr>
        <w:footnoteRef/>
      </w:r>
      <w:r w:rsidRPr="00FD5908">
        <w:rPr>
          <w:sz w:val="20"/>
        </w:rPr>
        <w:t xml:space="preserve"> Fisher, I </w:t>
      </w:r>
      <w:r>
        <w:rPr>
          <w:sz w:val="20"/>
        </w:rPr>
        <w:t>.</w:t>
      </w:r>
      <w:r w:rsidRPr="00FD5908">
        <w:rPr>
          <w:sz w:val="20"/>
        </w:rPr>
        <w:t>1933</w:t>
      </w:r>
      <w:r>
        <w:rPr>
          <w:sz w:val="20"/>
        </w:rPr>
        <w:t>, Stamp Scrip, Adelphi Press, New York</w:t>
      </w:r>
    </w:p>
  </w:footnote>
  <w:footnote w:id="17">
    <w:p w:rsidR="0072424B" w:rsidRPr="001E5AF6" w:rsidP="001E5AF6">
      <w:pPr>
        <w:spacing w:after="0"/>
        <w:rPr>
          <w:sz w:val="20"/>
        </w:rPr>
      </w:pPr>
      <w:r w:rsidRPr="001E5AF6">
        <w:rPr>
          <w:rStyle w:val="FootnoteReference"/>
          <w:sz w:val="20"/>
        </w:rPr>
        <w:footnoteRef/>
      </w:r>
      <w:r w:rsidRPr="001E5AF6">
        <w:rPr>
          <w:sz w:val="20"/>
        </w:rPr>
        <w:t xml:space="preserve"> </w:t>
      </w:r>
      <w:r w:rsidRPr="001E5AF6">
        <w:rPr>
          <w:color w:val="333333"/>
          <w:sz w:val="20"/>
          <w:szCs w:val="22"/>
          <w:shd w:val="clear" w:color="auto" w:fill="FFFFFF"/>
        </w:rPr>
        <w:t>Turnbull, S. 2016. ‘Terminating currency options for distressed economies’, </w:t>
      </w:r>
      <w:r w:rsidRPr="001E5AF6">
        <w:rPr>
          <w:i/>
          <w:color w:val="333333"/>
          <w:sz w:val="20"/>
          <w:szCs w:val="22"/>
          <w:shd w:val="clear" w:color="auto" w:fill="FFFFFF"/>
        </w:rPr>
        <w:t>Athens Journal of Social Science,</w:t>
      </w:r>
      <w:r w:rsidRPr="001E5AF6">
        <w:rPr>
          <w:color w:val="333333"/>
          <w:sz w:val="20"/>
          <w:szCs w:val="22"/>
          <w:shd w:val="clear" w:color="auto" w:fill="FFFFFF"/>
        </w:rPr>
        <w:t> 3(3): 205 </w:t>
      </w:r>
      <w:r>
        <w:fldChar w:fldCharType="begin"/>
      </w:r>
      <w:r>
        <w:instrText xml:space="preserve"> HYPERLINK "http://www.athensjournals.gr/social/2016-3-3-3-Turnbull.pdf" \t "_blank" </w:instrText>
      </w:r>
      <w:r>
        <w:fldChar w:fldCharType="separate"/>
      </w:r>
      <w:r w:rsidRPr="001E5AF6">
        <w:rPr>
          <w:rStyle w:val="Hyperlink"/>
          <w:color w:val="A50D24"/>
          <w:sz w:val="20"/>
          <w:szCs w:val="22"/>
          <w:shd w:val="clear" w:color="auto" w:fill="FFFFFF"/>
        </w:rPr>
        <w:t>http://www.athensjournals.gr/social/2016-3-3-3-Turnbull.pdf</w:t>
      </w:r>
      <w:r>
        <w:fldChar w:fldCharType="end"/>
      </w:r>
      <w:r w:rsidRPr="001E5AF6">
        <w:rPr>
          <w:color w:val="333333"/>
          <w:sz w:val="20"/>
          <w:szCs w:val="22"/>
          <w:shd w:val="clear" w:color="auto" w:fill="FFFFFF"/>
        </w:rPr>
        <w:t>.</w:t>
      </w:r>
    </w:p>
  </w:footnote>
  <w:footnote w:id="18">
    <w:p w:rsidR="0072424B" w:rsidRPr="001E5AF6">
      <w:pPr>
        <w:pStyle w:val="FootnoteText"/>
        <w:rPr>
          <w:sz w:val="20"/>
        </w:rPr>
      </w:pPr>
      <w:r w:rsidRPr="001E5AF6">
        <w:rPr>
          <w:rStyle w:val="FootnoteReference"/>
          <w:sz w:val="20"/>
        </w:rPr>
        <w:footnoteRef/>
      </w:r>
      <w:r w:rsidRPr="001E5AF6">
        <w:rPr>
          <w:sz w:val="20"/>
        </w:rPr>
        <w:t xml:space="preserve"> </w:t>
      </w:r>
      <w:r>
        <w:rPr>
          <w:sz w:val="20"/>
        </w:rPr>
        <w:t xml:space="preserve">Turnbull, S. 2013, “Lifeboat money” Community Currencies Conference presentation, </w:t>
      </w:r>
      <w:r>
        <w:fldChar w:fldCharType="begin"/>
      </w:r>
      <w:r>
        <w:instrText xml:space="preserve"> HYPERLINK "https://www.youtube.com/watch?v=ne-EVsXRUKc" </w:instrText>
      </w:r>
      <w:r>
        <w:fldChar w:fldCharType="separate"/>
      </w:r>
      <w:r w:rsidRPr="00B734BE">
        <w:rPr>
          <w:rStyle w:val="Hyperlink"/>
          <w:sz w:val="20"/>
        </w:rPr>
        <w:t>https://www.youtube.com/watch?v=ne-EVsXRUKc</w:t>
      </w:r>
      <w:r>
        <w:fldChar w:fldCharType="end"/>
      </w:r>
      <w:r>
        <w:rPr>
          <w:sz w:val="20"/>
        </w:rPr>
        <w:t xml:space="preserve"> </w:t>
      </w:r>
    </w:p>
  </w:footnote>
  <w:footnote w:id="19">
    <w:p w:rsidR="0072424B" w:rsidRPr="002A01CD">
      <w:pPr>
        <w:pStyle w:val="FootnoteText"/>
        <w:rPr>
          <w:sz w:val="20"/>
        </w:rPr>
      </w:pPr>
      <w:r w:rsidRPr="002A01CD">
        <w:rPr>
          <w:rStyle w:val="FootnoteReference"/>
          <w:sz w:val="20"/>
        </w:rPr>
        <w:footnoteRef/>
      </w:r>
      <w:r w:rsidRPr="002A01CD">
        <w:rPr>
          <w:sz w:val="20"/>
        </w:rPr>
        <w:t xml:space="preserve"> Gelleri,</w:t>
      </w:r>
      <w:r w:rsidRPr="002A01CD">
        <w:rPr>
          <w:spacing w:val="44"/>
          <w:sz w:val="20"/>
        </w:rPr>
        <w:t xml:space="preserve"> </w:t>
      </w:r>
      <w:r>
        <w:rPr>
          <w:sz w:val="20"/>
        </w:rPr>
        <w:t>C. 2009,</w:t>
      </w:r>
      <w:r w:rsidRPr="002A01CD">
        <w:rPr>
          <w:spacing w:val="45"/>
          <w:sz w:val="20"/>
        </w:rPr>
        <w:t xml:space="preserve"> ‘</w:t>
      </w:r>
      <w:r w:rsidRPr="002A01CD">
        <w:rPr>
          <w:sz w:val="20"/>
        </w:rPr>
        <w:t>Chiemgauer</w:t>
      </w:r>
      <w:r w:rsidRPr="002A01CD">
        <w:rPr>
          <w:spacing w:val="45"/>
          <w:sz w:val="20"/>
        </w:rPr>
        <w:t xml:space="preserve"> </w:t>
      </w:r>
      <w:r w:rsidRPr="002A01CD">
        <w:rPr>
          <w:sz w:val="20"/>
        </w:rPr>
        <w:t>Regiomoney:</w:t>
      </w:r>
      <w:r w:rsidRPr="002A01CD">
        <w:rPr>
          <w:spacing w:val="44"/>
          <w:sz w:val="20"/>
        </w:rPr>
        <w:t xml:space="preserve"> </w:t>
      </w:r>
      <w:r w:rsidRPr="002A01CD">
        <w:rPr>
          <w:sz w:val="20"/>
        </w:rPr>
        <w:t>Theory</w:t>
      </w:r>
      <w:r w:rsidRPr="002A01CD">
        <w:rPr>
          <w:spacing w:val="45"/>
          <w:sz w:val="20"/>
        </w:rPr>
        <w:t xml:space="preserve"> </w:t>
      </w:r>
      <w:r w:rsidRPr="002A01CD">
        <w:rPr>
          <w:sz w:val="20"/>
        </w:rPr>
        <w:t>and</w:t>
      </w:r>
      <w:r w:rsidRPr="002A01CD">
        <w:rPr>
          <w:spacing w:val="45"/>
          <w:sz w:val="20"/>
        </w:rPr>
        <w:t xml:space="preserve"> </w:t>
      </w:r>
      <w:r w:rsidRPr="002A01CD">
        <w:rPr>
          <w:sz w:val="20"/>
        </w:rPr>
        <w:t>Practice</w:t>
      </w:r>
      <w:r w:rsidRPr="002A01CD">
        <w:rPr>
          <w:spacing w:val="45"/>
          <w:sz w:val="20"/>
        </w:rPr>
        <w:t xml:space="preserve"> </w:t>
      </w:r>
      <w:r w:rsidRPr="002A01CD">
        <w:rPr>
          <w:sz w:val="20"/>
        </w:rPr>
        <w:t>of</w:t>
      </w:r>
      <w:r w:rsidRPr="002A01CD">
        <w:rPr>
          <w:spacing w:val="45"/>
          <w:sz w:val="20"/>
        </w:rPr>
        <w:t xml:space="preserve"> </w:t>
      </w:r>
      <w:r w:rsidRPr="002A01CD">
        <w:rPr>
          <w:sz w:val="20"/>
        </w:rPr>
        <w:t>a</w:t>
      </w:r>
      <w:r w:rsidRPr="002A01CD">
        <w:rPr>
          <w:spacing w:val="44"/>
          <w:sz w:val="20"/>
        </w:rPr>
        <w:t xml:space="preserve"> </w:t>
      </w:r>
      <w:r w:rsidRPr="002A01CD">
        <w:rPr>
          <w:sz w:val="20"/>
        </w:rPr>
        <w:t>Local</w:t>
      </w:r>
      <w:r w:rsidRPr="002A01CD">
        <w:rPr>
          <w:w w:val="99"/>
          <w:sz w:val="20"/>
        </w:rPr>
        <w:t xml:space="preserve"> </w:t>
      </w:r>
      <w:r w:rsidRPr="002A01CD">
        <w:rPr>
          <w:spacing w:val="-1"/>
          <w:sz w:val="20"/>
        </w:rPr>
        <w:t>Currency’,</w:t>
      </w:r>
      <w:r w:rsidRPr="002A01CD">
        <w:rPr>
          <w:spacing w:val="-2"/>
          <w:sz w:val="20"/>
        </w:rPr>
        <w:t xml:space="preserve"> </w:t>
      </w:r>
      <w:r w:rsidRPr="002A01CD">
        <w:rPr>
          <w:i/>
          <w:sz w:val="20"/>
        </w:rPr>
        <w:t>International</w:t>
      </w:r>
      <w:r w:rsidRPr="002A01CD">
        <w:rPr>
          <w:i/>
          <w:spacing w:val="23"/>
          <w:sz w:val="20"/>
        </w:rPr>
        <w:t xml:space="preserve"> </w:t>
      </w:r>
      <w:r w:rsidRPr="002A01CD">
        <w:rPr>
          <w:i/>
          <w:sz w:val="20"/>
        </w:rPr>
        <w:t>Journal</w:t>
      </w:r>
      <w:r w:rsidRPr="002A01CD">
        <w:rPr>
          <w:i/>
          <w:spacing w:val="22"/>
          <w:sz w:val="20"/>
        </w:rPr>
        <w:t xml:space="preserve"> </w:t>
      </w:r>
      <w:r w:rsidRPr="002A01CD">
        <w:rPr>
          <w:i/>
          <w:sz w:val="20"/>
        </w:rPr>
        <w:t>of</w:t>
      </w:r>
      <w:r w:rsidRPr="002A01CD">
        <w:rPr>
          <w:i/>
          <w:spacing w:val="22"/>
          <w:sz w:val="20"/>
        </w:rPr>
        <w:t xml:space="preserve"> </w:t>
      </w:r>
      <w:r w:rsidRPr="002A01CD">
        <w:rPr>
          <w:i/>
          <w:sz w:val="20"/>
        </w:rPr>
        <w:t>Community</w:t>
      </w:r>
      <w:r w:rsidRPr="002A01CD">
        <w:rPr>
          <w:i/>
          <w:spacing w:val="22"/>
          <w:sz w:val="20"/>
        </w:rPr>
        <w:t xml:space="preserve"> </w:t>
      </w:r>
      <w:r w:rsidRPr="002A01CD">
        <w:rPr>
          <w:i/>
          <w:sz w:val="20"/>
        </w:rPr>
        <w:t>Currency</w:t>
      </w:r>
      <w:r w:rsidRPr="002A01CD">
        <w:rPr>
          <w:i/>
          <w:spacing w:val="23"/>
          <w:sz w:val="20"/>
        </w:rPr>
        <w:t xml:space="preserve"> </w:t>
      </w:r>
      <w:r w:rsidRPr="002A01CD">
        <w:rPr>
          <w:i/>
          <w:sz w:val="20"/>
        </w:rPr>
        <w:t>Research</w:t>
      </w:r>
      <w:r w:rsidRPr="002A01CD">
        <w:rPr>
          <w:sz w:val="20"/>
        </w:rPr>
        <w:t>,</w:t>
      </w:r>
      <w:r w:rsidRPr="002A01CD">
        <w:rPr>
          <w:spacing w:val="22"/>
          <w:sz w:val="20"/>
        </w:rPr>
        <w:t xml:space="preserve"> vol. </w:t>
      </w:r>
      <w:r w:rsidRPr="002A01CD">
        <w:rPr>
          <w:sz w:val="20"/>
        </w:rPr>
        <w:t>13, pp.</w:t>
      </w:r>
      <w:r w:rsidRPr="002A01CD">
        <w:rPr>
          <w:spacing w:val="22"/>
          <w:sz w:val="20"/>
        </w:rPr>
        <w:t xml:space="preserve"> </w:t>
      </w:r>
      <w:r>
        <w:rPr>
          <w:sz w:val="20"/>
        </w:rPr>
        <w:t xml:space="preserve">61-75, </w:t>
      </w:r>
      <w:r>
        <w:fldChar w:fldCharType="begin"/>
      </w:r>
      <w:r>
        <w:instrText xml:space="preserve"> HYPERLINK "http://ijccr.net/2012/05/29/chiemgauer-regiomoney-theory-and-practice-of-a-local-currency/" </w:instrText>
      </w:r>
      <w:r>
        <w:fldChar w:fldCharType="separate"/>
      </w:r>
      <w:r w:rsidRPr="002A01CD">
        <w:rPr>
          <w:rStyle w:val="Hyperlink"/>
          <w:sz w:val="20"/>
        </w:rPr>
        <w:t>http://ijccr.net/2012/05/29/chiemgauer-regiomoney-theory-and-practice-of-a-local-currency/</w:t>
      </w:r>
      <w:r>
        <w:fldChar w:fldCharType="end"/>
      </w:r>
    </w:p>
  </w:footnote>
  <w:footnote w:id="20">
    <w:p w:rsidR="0072424B" w:rsidRPr="008C2FB4">
      <w:pPr>
        <w:pStyle w:val="FootnoteText"/>
        <w:rPr>
          <w:sz w:val="20"/>
        </w:rPr>
      </w:pPr>
      <w:r w:rsidRPr="008C2FB4">
        <w:rPr>
          <w:rStyle w:val="FootnoteReference"/>
          <w:sz w:val="20"/>
        </w:rPr>
        <w:footnoteRef/>
      </w:r>
      <w:r w:rsidRPr="008C2FB4">
        <w:rPr>
          <w:sz w:val="20"/>
        </w:rPr>
        <w:t xml:space="preserve"> </w:t>
      </w:r>
      <w:r w:rsidRPr="00590B07">
        <w:rPr>
          <w:sz w:val="20"/>
        </w:rPr>
        <w:t xml:space="preserve">Ostrom, E. 1998. </w:t>
      </w:r>
      <w:r w:rsidRPr="00590B07">
        <w:rPr>
          <w:sz w:val="20"/>
          <w:lang w:val="en-AU"/>
        </w:rPr>
        <w:t xml:space="preserve">Scales, </w:t>
      </w:r>
      <w:r w:rsidRPr="00590B07">
        <w:rPr>
          <w:bCs/>
          <w:sz w:val="20"/>
          <w:lang w:val="en-AU"/>
        </w:rPr>
        <w:t>polycentricity</w:t>
      </w:r>
      <w:r w:rsidRPr="00590B07">
        <w:rPr>
          <w:sz w:val="20"/>
          <w:lang w:val="en-AU"/>
        </w:rPr>
        <w:t xml:space="preserve"> and incentives: Designing complexity to govern complexity. In: </w:t>
      </w:r>
      <w:r w:rsidRPr="00590B07">
        <w:rPr>
          <w:iCs/>
          <w:sz w:val="20"/>
          <w:lang w:val="en-AU"/>
        </w:rPr>
        <w:t xml:space="preserve">L. D. Guruswamy and J.A. McNeely, (eds.). </w:t>
      </w:r>
      <w:r w:rsidRPr="00590B07">
        <w:rPr>
          <w:i/>
          <w:iCs/>
          <w:sz w:val="20"/>
          <w:lang w:val="en-AU"/>
        </w:rPr>
        <w:t>Protection of global biodiversity: Converging strategies</w:t>
      </w:r>
      <w:r w:rsidRPr="00590B07">
        <w:rPr>
          <w:b/>
          <w:i/>
          <w:iCs/>
          <w:sz w:val="20"/>
          <w:lang w:val="en-AU"/>
        </w:rPr>
        <w:t xml:space="preserve">. </w:t>
      </w:r>
      <w:r w:rsidRPr="00590B07">
        <w:rPr>
          <w:iCs/>
          <w:sz w:val="20"/>
          <w:lang w:val="en-AU"/>
        </w:rPr>
        <w:t>Durham, NC: Duke University Press</w:t>
      </w:r>
      <w:r w:rsidRPr="00590B07">
        <w:rPr>
          <w:i/>
          <w:iCs/>
          <w:sz w:val="20"/>
          <w:lang w:val="en-AU"/>
        </w:rPr>
        <w:t xml:space="preserve">. </w:t>
      </w:r>
      <w:r>
        <w:fldChar w:fldCharType="begin"/>
      </w:r>
      <w:r>
        <w:instrText xml:space="preserve"> HYPERLINK "https://www.dukeupress.edu/protection-of-global-biodiversity" </w:instrText>
      </w:r>
      <w:r>
        <w:fldChar w:fldCharType="separate"/>
      </w:r>
      <w:r w:rsidRPr="00590B07">
        <w:rPr>
          <w:rStyle w:val="Hyperlink"/>
          <w:iCs/>
          <w:sz w:val="20"/>
          <w:lang w:val="en-AU"/>
        </w:rPr>
        <w:t>https://www.dukeupress.edu/protection-of-global-biodiversity</w:t>
      </w:r>
      <w:r>
        <w:fldChar w:fldCharType="end"/>
      </w:r>
      <w:r w:rsidRPr="00590B07">
        <w:rPr>
          <w:i/>
          <w:iCs/>
          <w:sz w:val="20"/>
          <w:lang w:val="en-AU"/>
        </w:rPr>
        <w:t xml:space="preserve"> </w:t>
      </w:r>
      <w:r>
        <w:rPr>
          <w:i/>
          <w:iCs/>
          <w:sz w:val="20"/>
          <w:lang w:val="en-AU"/>
        </w:rPr>
        <w:t xml:space="preserve"> </w:t>
      </w:r>
      <w:r w:rsidRPr="00407E95">
        <w:rPr>
          <w:sz w:val="20"/>
        </w:rPr>
        <w:t xml:space="preserve">Ostrom is applying the </w:t>
      </w:r>
      <w:r>
        <w:rPr>
          <w:sz w:val="20"/>
        </w:rPr>
        <w:t xml:space="preserve">mathematically determined </w:t>
      </w:r>
      <w:r w:rsidRPr="00407E95">
        <w:rPr>
          <w:sz w:val="20"/>
        </w:rPr>
        <w:t xml:space="preserve">“Law of Requisite Variety” described by Ross Ashby on page 207 of his 1957 book </w:t>
      </w:r>
      <w:r>
        <w:fldChar w:fldCharType="begin"/>
      </w:r>
      <w:r>
        <w:instrText xml:space="preserve"> HYPERLINK "http://pespmc1.vub.ac.be/books/IntroCyb.pdf" </w:instrText>
      </w:r>
      <w:r>
        <w:fldChar w:fldCharType="separate"/>
      </w:r>
      <w:r w:rsidRPr="00407E95">
        <w:rPr>
          <w:rStyle w:val="Hyperlink"/>
          <w:i/>
          <w:sz w:val="20"/>
        </w:rPr>
        <w:t>An Introduction to cybernetics</w:t>
      </w:r>
      <w:r>
        <w:fldChar w:fldCharType="end"/>
      </w:r>
      <w:r w:rsidRPr="00407E95">
        <w:rPr>
          <w:sz w:val="20"/>
        </w:rPr>
        <w:t>. Ashby states: “only variety can destroy variety”</w:t>
      </w:r>
      <w:r>
        <w:rPr>
          <w:sz w:val="20"/>
        </w:rPr>
        <w:t>.</w:t>
      </w:r>
    </w:p>
  </w:footnote>
  <w:footnote w:id="21">
    <w:p w:rsidR="0072424B" w:rsidRPr="00590B07" w:rsidP="008C3DF7">
      <w:pPr>
        <w:pStyle w:val="FootnoteText"/>
        <w:rPr>
          <w:sz w:val="20"/>
        </w:rPr>
      </w:pPr>
      <w:r w:rsidRPr="00590B07">
        <w:rPr>
          <w:rStyle w:val="FootnoteReference"/>
          <w:sz w:val="20"/>
        </w:rPr>
        <w:footnoteRef/>
      </w:r>
      <w:r w:rsidRPr="00590B07">
        <w:rPr>
          <w:sz w:val="20"/>
        </w:rPr>
        <w:t xml:space="preserve"> HM Treasury, 2020. Financial Services Future Regulatory Framework Review, </w:t>
      </w:r>
    </w:p>
    <w:p w:rsidR="0072424B" w:rsidRPr="00590B07" w:rsidP="008C3DF7">
      <w:pPr>
        <w:pStyle w:val="FootnoteText"/>
        <w:rPr>
          <w:sz w:val="20"/>
        </w:rPr>
      </w:pPr>
      <w:r w:rsidRPr="00590B07">
        <w:rPr>
          <w:sz w:val="20"/>
        </w:rPr>
        <w:t xml:space="preserve">Phase II Consultation. October, </w:t>
      </w:r>
      <w:r>
        <w:fldChar w:fldCharType="begin"/>
      </w:r>
      <w:r>
        <w:instrText xml:space="preserve"> HYPERLINK "https://assets.publishing.service.gov.uk/government/uploads/system/uploads/attachment_data/file/927316/141020_Final_Phase_II_Condoc_For_Publication_for_print.pdf" </w:instrText>
      </w:r>
      <w:r>
        <w:fldChar w:fldCharType="separate"/>
      </w:r>
      <w:r w:rsidRPr="00590B07">
        <w:rPr>
          <w:rStyle w:val="Hyperlink"/>
          <w:sz w:val="20"/>
        </w:rPr>
        <w:t>https://assets.publishing.service.gov.uk/government/uploads/system/uploads/attachment_data/file/927316/141020_Final_Phase_II_Condoc_For_Publication_for_print.pdf</w:t>
      </w:r>
      <w:r>
        <w:fldChar w:fldCharType="end"/>
      </w:r>
      <w:r>
        <w:rPr>
          <w:rStyle w:val="Hyperlink"/>
          <w:sz w:val="20"/>
        </w:rPr>
        <w:t xml:space="preserve"> </w:t>
      </w:r>
      <w:r w:rsidRPr="00590B07">
        <w:rPr>
          <w:sz w:val="20"/>
        </w:rPr>
        <w:t xml:space="preserve"> </w:t>
      </w:r>
      <w:r>
        <w:rPr>
          <w:sz w:val="20"/>
        </w:rPr>
        <w:t xml:space="preserve">and “The call for evidence - Future of Financial Services” by the UK Parliamentary Treasury Committee at: </w:t>
      </w:r>
      <w:r w:rsidRPr="005C4EF0">
        <w:rPr>
          <w:sz w:val="20"/>
        </w:rPr>
        <w:t>https://committees.parliament.uk/call-for-evidence/319/future-of-financial-services/</w:t>
      </w:r>
    </w:p>
  </w:footnote>
  <w:footnote w:id="22">
    <w:p w:rsidR="0072424B" w:rsidRPr="00E44520" w:rsidP="008C3DF7">
      <w:pPr>
        <w:spacing w:after="0"/>
        <w:jc w:val="both"/>
        <w:rPr>
          <w:sz w:val="20"/>
          <w:lang w:val="en-AU"/>
        </w:rPr>
      </w:pPr>
      <w:r w:rsidRPr="00590B07">
        <w:rPr>
          <w:rStyle w:val="FootnoteReference"/>
          <w:sz w:val="20"/>
        </w:rPr>
        <w:footnoteRef/>
      </w:r>
      <w:r w:rsidRPr="00590B07">
        <w:rPr>
          <w:sz w:val="20"/>
        </w:rPr>
        <w:t xml:space="preserve"> </w:t>
      </w:r>
      <w:r>
        <w:rPr>
          <w:sz w:val="20"/>
        </w:rPr>
        <w:t xml:space="preserve">Ashby, W. R. 1957 </w:t>
      </w:r>
      <w:r>
        <w:fldChar w:fldCharType="begin"/>
      </w:r>
      <w:r>
        <w:instrText xml:space="preserve"> HYPERLINK "http://pespmc1.vub.ac.be/books/IntroCyb.pdf" </w:instrText>
      </w:r>
      <w:r>
        <w:fldChar w:fldCharType="separate"/>
      </w:r>
      <w:r w:rsidRPr="00407E95">
        <w:rPr>
          <w:rStyle w:val="Hyperlink"/>
          <w:i/>
          <w:sz w:val="20"/>
        </w:rPr>
        <w:t>An Introduction to cybernetics</w:t>
      </w:r>
      <w:r>
        <w:fldChar w:fldCharType="end"/>
      </w:r>
      <w:r>
        <w:rPr>
          <w:sz w:val="20"/>
        </w:rPr>
        <w:t xml:space="preserve">, p. 265 ‘Amplifying Regulation’, Chapman &amp; Hall, London, </w:t>
      </w:r>
      <w:r>
        <w:fldChar w:fldCharType="begin"/>
      </w:r>
      <w:r>
        <w:instrText xml:space="preserve"> HYPERLINK "http://pespmc1.vub.ac.be/books/IntroCyb.pdf" </w:instrText>
      </w:r>
      <w:r>
        <w:fldChar w:fldCharType="separate"/>
      </w:r>
      <w:r w:rsidRPr="00B734BE">
        <w:rPr>
          <w:rStyle w:val="Hyperlink"/>
          <w:sz w:val="20"/>
        </w:rPr>
        <w:t>http://pespmc1.vub.ac.be/books/IntroCyb.pdf</w:t>
      </w:r>
      <w:r>
        <w:fldChar w:fldCharType="end"/>
      </w:r>
      <w:r>
        <w:rPr>
          <w:sz w:val="20"/>
        </w:rPr>
        <w:t xml:space="preserve"> </w:t>
      </w:r>
    </w:p>
  </w:footnote>
  <w:footnote w:id="23">
    <w:p w:rsidR="0072424B" w:rsidRPr="00590B07" w:rsidP="008C3DF7">
      <w:pPr>
        <w:spacing w:after="0"/>
        <w:rPr>
          <w:b/>
          <w:bCs/>
          <w:sz w:val="20"/>
          <w:szCs w:val="20"/>
        </w:rPr>
      </w:pPr>
      <w:r w:rsidRPr="00590B07">
        <w:rPr>
          <w:rStyle w:val="FootnoteReference"/>
          <w:sz w:val="20"/>
        </w:rPr>
        <w:footnoteRef/>
      </w:r>
      <w:r w:rsidRPr="00590B07">
        <w:rPr>
          <w:sz w:val="20"/>
        </w:rPr>
        <w:t xml:space="preserve"> Turnbull, S. 2020, The case for radical reform of corporate governance: A Narration.  </w:t>
      </w:r>
      <w:r w:rsidRPr="00590B07">
        <w:rPr>
          <w:i/>
          <w:sz w:val="20"/>
        </w:rPr>
        <w:t>Corporate Governance Insight</w:t>
      </w:r>
      <w:r w:rsidRPr="00590B07">
        <w:rPr>
          <w:sz w:val="20"/>
        </w:rPr>
        <w:t xml:space="preserve">, 2(2): 4-30, </w:t>
      </w:r>
      <w:r>
        <w:fldChar w:fldCharType="begin"/>
      </w:r>
      <w:r>
        <w:instrText xml:space="preserve"> HYPERLINK "https://www.grfcg.in/images/2021/CGI2020_31Dec.pdf" </w:instrText>
      </w:r>
      <w:r>
        <w:fldChar w:fldCharType="separate"/>
      </w:r>
      <w:r w:rsidRPr="00590B07">
        <w:rPr>
          <w:rStyle w:val="Hyperlink"/>
          <w:sz w:val="20"/>
        </w:rPr>
        <w:t>https://www.grfcg.in/images/2021/CGI2020_31Dec.pdf</w:t>
      </w:r>
      <w:r>
        <w:fldChar w:fldCharType="end"/>
      </w:r>
    </w:p>
  </w:footnote>
  <w:footnote w:id="24">
    <w:p w:rsidR="0072424B" w:rsidRPr="00590B07" w:rsidP="008C3DF7">
      <w:pPr>
        <w:pStyle w:val="FootnoteText"/>
        <w:rPr>
          <w:sz w:val="20"/>
        </w:rPr>
      </w:pPr>
      <w:r w:rsidRPr="00590B07">
        <w:rPr>
          <w:rStyle w:val="FootnoteReference"/>
          <w:sz w:val="20"/>
        </w:rPr>
        <w:footnoteRef/>
      </w:r>
      <w:r w:rsidRPr="00590B07">
        <w:rPr>
          <w:sz w:val="20"/>
        </w:rPr>
        <w:t xml:space="preserve"> Turnbull, S. 2019, ‘How shareholders, corporations and directors can become ethical’, </w:t>
      </w:r>
      <w:r w:rsidRPr="00590B07">
        <w:rPr>
          <w:rFonts w:cs="Tahoma"/>
          <w:i/>
          <w:sz w:val="20"/>
        </w:rPr>
        <w:t>The European Financial Review</w:t>
      </w:r>
      <w:r w:rsidRPr="00590B07">
        <w:rPr>
          <w:rFonts w:cs="Tahoma"/>
          <w:sz w:val="20"/>
        </w:rPr>
        <w:t xml:space="preserve">, August 26, pp. 28-32, </w:t>
      </w:r>
      <w:r>
        <w:fldChar w:fldCharType="begin"/>
      </w:r>
      <w:r>
        <w:instrText xml:space="preserve"> HYPERLINK "https://www.europeanfinancialreview.com/how-shareholders-corporations-and-directors-can-become-ethical/" </w:instrText>
      </w:r>
      <w:r>
        <w:fldChar w:fldCharType="separate"/>
      </w:r>
      <w:r w:rsidRPr="00590B07">
        <w:rPr>
          <w:sz w:val="20"/>
          <w:szCs w:val="20"/>
          <w:u w:val="single"/>
        </w:rPr>
        <w:t>https://www.europeanfinancialreview.com/how-shareholders-corporations-and-directors-can-become-ethical/</w:t>
      </w:r>
      <w:r>
        <w:fldChar w:fldCharType="end"/>
      </w:r>
    </w:p>
  </w:footnote>
  <w:footnote w:id="25">
    <w:p w:rsidR="0072424B" w:rsidRPr="00590B07" w:rsidP="008C3DF7">
      <w:pPr>
        <w:spacing w:after="0"/>
        <w:rPr>
          <w:sz w:val="20"/>
        </w:rPr>
      </w:pPr>
      <w:r w:rsidRPr="00590B07">
        <w:rPr>
          <w:rStyle w:val="FootnoteReference"/>
          <w:sz w:val="20"/>
        </w:rPr>
        <w:footnoteRef/>
      </w:r>
      <w:r w:rsidRPr="00590B07">
        <w:rPr>
          <w:sz w:val="20"/>
        </w:rPr>
        <w:t xml:space="preserve"> Turnbull, S. 2018, Royal Commission into misconduct in the Banking, Superannuation and Financial Service Industry, “Regulators poisoning corporate culture and performance”, 28 May. Reference number PWF.0001.0001.7989. </w:t>
      </w:r>
    </w:p>
  </w:footnote>
  <w:footnote w:id="26">
    <w:p w:rsidR="0072424B" w:rsidRPr="00590B07" w:rsidP="008C3DF7">
      <w:pPr>
        <w:pStyle w:val="FootnoteText"/>
        <w:rPr>
          <w:sz w:val="20"/>
        </w:rPr>
      </w:pPr>
      <w:r w:rsidRPr="00590B07">
        <w:rPr>
          <w:rStyle w:val="FootnoteReference"/>
          <w:sz w:val="20"/>
        </w:rPr>
        <w:footnoteRef/>
      </w:r>
      <w:r w:rsidRPr="00590B07">
        <w:rPr>
          <w:sz w:val="20"/>
        </w:rPr>
        <w:t xml:space="preserve"> Kelso, J. A. S. Dumas, G. &amp; Tognoli, E. 2013. Outline of a general theory of behavior and brain</w:t>
      </w:r>
    </w:p>
    <w:p w:rsidR="0072424B" w:rsidRPr="00590B07" w:rsidP="008C3DF7">
      <w:pPr>
        <w:pStyle w:val="FootnoteText"/>
        <w:rPr>
          <w:sz w:val="20"/>
        </w:rPr>
      </w:pPr>
      <w:r w:rsidRPr="00590B07">
        <w:rPr>
          <w:sz w:val="20"/>
        </w:rPr>
        <w:t xml:space="preserve">coordination. </w:t>
      </w:r>
      <w:r w:rsidRPr="00590B07">
        <w:rPr>
          <w:i/>
          <w:sz w:val="20"/>
        </w:rPr>
        <w:t>Neural News</w:t>
      </w:r>
      <w:r w:rsidRPr="00590B07">
        <w:rPr>
          <w:sz w:val="20"/>
        </w:rPr>
        <w:t>, 37, 120-131.</w:t>
      </w:r>
    </w:p>
  </w:footnote>
  <w:footnote w:id="27">
    <w:p w:rsidR="0072424B" w:rsidRPr="00590B07" w:rsidP="008C3DF7">
      <w:pPr>
        <w:pStyle w:val="FootnoteText"/>
        <w:rPr>
          <w:sz w:val="20"/>
        </w:rPr>
      </w:pPr>
      <w:r w:rsidRPr="00590B07">
        <w:rPr>
          <w:rStyle w:val="FootnoteReference"/>
          <w:sz w:val="20"/>
        </w:rPr>
        <w:footnoteRef/>
      </w:r>
      <w:r w:rsidRPr="00590B07">
        <w:rPr>
          <w:sz w:val="20"/>
        </w:rPr>
        <w:t xml:space="preserve"> </w:t>
      </w:r>
      <w:r w:rsidRPr="00590B07">
        <w:rPr>
          <w:sz w:val="20"/>
          <w:szCs w:val="17"/>
          <w:shd w:val="clear" w:color="auto" w:fill="FFFFFF"/>
          <w:lang w:val="en-AU"/>
        </w:rPr>
        <w:t xml:space="preserve">Ostrom, E 2009. </w:t>
      </w:r>
      <w:r w:rsidRPr="00590B07">
        <w:rPr>
          <w:i/>
          <w:sz w:val="20"/>
          <w:szCs w:val="17"/>
          <w:shd w:val="clear" w:color="auto" w:fill="FFFFFF"/>
          <w:lang w:val="en-AU"/>
        </w:rPr>
        <w:t>Beyond Markets and States: Polycentric governance of complex economic systems</w:t>
      </w:r>
      <w:r w:rsidRPr="00590B07">
        <w:rPr>
          <w:b/>
          <w:sz w:val="20"/>
          <w:szCs w:val="17"/>
          <w:shd w:val="clear" w:color="auto" w:fill="FFFFFF"/>
          <w:lang w:val="en-AU"/>
        </w:rPr>
        <w:t>,</w:t>
      </w:r>
      <w:r w:rsidRPr="00590B07">
        <w:rPr>
          <w:sz w:val="20"/>
          <w:szCs w:val="17"/>
          <w:shd w:val="clear" w:color="auto" w:fill="FFFFFF"/>
          <w:lang w:val="en-AU"/>
        </w:rPr>
        <w:t xml:space="preserve"> Prize lecture, December 8</w:t>
      </w:r>
      <w:r w:rsidRPr="00590B07">
        <w:rPr>
          <w:sz w:val="20"/>
          <w:szCs w:val="17"/>
          <w:shd w:val="clear" w:color="auto" w:fill="FFFFFF"/>
          <w:vertAlign w:val="superscript"/>
          <w:lang w:val="en-AU"/>
        </w:rPr>
        <w:t>th</w:t>
      </w:r>
      <w:r w:rsidRPr="00590B07">
        <w:rPr>
          <w:sz w:val="20"/>
          <w:szCs w:val="17"/>
          <w:shd w:val="clear" w:color="auto" w:fill="FFFFFF"/>
          <w:lang w:val="en-AU"/>
        </w:rPr>
        <w:t xml:space="preserve">, </w:t>
      </w:r>
      <w:r>
        <w:fldChar w:fldCharType="begin"/>
      </w:r>
      <w:r>
        <w:instrText xml:space="preserve"> HYPERLINK "https://www.nobelprize.org/prizes/economic-sciences/2009/ostrom/lecture/" </w:instrText>
      </w:r>
      <w:r>
        <w:fldChar w:fldCharType="separate"/>
      </w:r>
      <w:r w:rsidRPr="00590B07">
        <w:rPr>
          <w:rStyle w:val="Hyperlink"/>
          <w:sz w:val="20"/>
          <w:szCs w:val="17"/>
          <w:shd w:val="clear" w:color="auto" w:fill="FFFFFF"/>
          <w:lang w:val="en-AU"/>
        </w:rPr>
        <w:t>https://www.nobelprize.org/prizes/economic-sciences/2009/ostrom/lecture/</w:t>
      </w:r>
      <w:r>
        <w:fldChar w:fldCharType="end"/>
      </w:r>
    </w:p>
  </w:footnote>
  <w:footnote w:id="28">
    <w:p w:rsidR="0072424B" w:rsidRPr="00590B07" w:rsidP="008C3DF7">
      <w:pPr>
        <w:spacing w:after="0"/>
        <w:rPr>
          <w:sz w:val="20"/>
          <w:szCs w:val="20"/>
          <w:lang w:val="en-AU"/>
        </w:rPr>
      </w:pPr>
      <w:r w:rsidRPr="00590B07">
        <w:rPr>
          <w:rStyle w:val="FootnoteReference"/>
          <w:sz w:val="20"/>
        </w:rPr>
        <w:footnoteRef/>
      </w:r>
      <w:r w:rsidRPr="00590B07">
        <w:rPr>
          <w:sz w:val="20"/>
        </w:rPr>
        <w:t xml:space="preserve"> </w:t>
      </w:r>
      <w:r w:rsidRPr="00590B07">
        <w:rPr>
          <w:sz w:val="20"/>
          <w:szCs w:val="20"/>
          <w:lang w:val="en-AU"/>
        </w:rPr>
        <w:t xml:space="preserve">Kurzweil, R.1999. </w:t>
      </w:r>
      <w:r w:rsidRPr="00590B07">
        <w:rPr>
          <w:i/>
          <w:sz w:val="20"/>
          <w:szCs w:val="20"/>
          <w:lang w:val="en-AU"/>
        </w:rPr>
        <w:t>The age of spiritual machines: When computers exceed human intelligence</w:t>
      </w:r>
      <w:r w:rsidRPr="00590B07">
        <w:rPr>
          <w:sz w:val="20"/>
          <w:szCs w:val="20"/>
          <w:lang w:val="en-AU"/>
        </w:rPr>
        <w:t>. p. 84, Viking: New York.</w:t>
      </w:r>
    </w:p>
  </w:footnote>
  <w:footnote w:id="29">
    <w:p w:rsidR="0072424B" w:rsidRPr="00590B07" w:rsidP="008C3DF7">
      <w:pPr>
        <w:pStyle w:val="FootnoteText"/>
        <w:rPr>
          <w:sz w:val="20"/>
        </w:rPr>
      </w:pPr>
      <w:r w:rsidRPr="00590B07">
        <w:rPr>
          <w:rStyle w:val="FootnoteReference"/>
          <w:sz w:val="20"/>
        </w:rPr>
        <w:footnoteRef/>
      </w:r>
      <w:r w:rsidRPr="00590B07">
        <w:rPr>
          <w:sz w:val="20"/>
        </w:rPr>
        <w:t xml:space="preserve"> Mainelli, M. &amp; von Gunten, C. 2013. Backing Market Forces: Voluntary standards markets and the regulation of financial services. November, p. 23, London: British Standards Institute, Chartered Institute for Securities and Investment and Long Finance, </w:t>
      </w:r>
      <w:r>
        <w:fldChar w:fldCharType="begin"/>
      </w:r>
      <w:r>
        <w:instrText xml:space="preserve"> HYPERLINK "https://www.zyen.com/media/documents/BSICISILF_Backing_Market_Forces_November2013.pdf" </w:instrText>
      </w:r>
      <w:r>
        <w:fldChar w:fldCharType="separate"/>
      </w:r>
      <w:r w:rsidRPr="00590B07">
        <w:rPr>
          <w:rStyle w:val="Hyperlink"/>
          <w:sz w:val="20"/>
        </w:rPr>
        <w:t>https://www.zyen.com/media/documents/BSICISILF_Backing_Market_Forces_November2013.pdf</w:t>
      </w:r>
      <w:r>
        <w:fldChar w:fldCharType="end"/>
      </w:r>
      <w:r w:rsidRPr="00590B07">
        <w:rPr>
          <w:sz w:val="20"/>
        </w:rPr>
        <w:t xml:space="preserve"> </w:t>
      </w:r>
    </w:p>
  </w:footnote>
  <w:footnote w:id="30">
    <w:p w:rsidR="0072424B" w:rsidRPr="00590B07" w:rsidP="008C3DF7">
      <w:pPr>
        <w:pStyle w:val="FootnoteText"/>
        <w:rPr>
          <w:sz w:val="20"/>
        </w:rPr>
      </w:pPr>
      <w:r w:rsidRPr="00590B07">
        <w:rPr>
          <w:rStyle w:val="FootnoteReference"/>
          <w:sz w:val="20"/>
        </w:rPr>
        <w:footnoteRef/>
      </w:r>
      <w:r w:rsidRPr="00590B07">
        <w:rPr>
          <w:sz w:val="20"/>
        </w:rPr>
        <w:t xml:space="preserve"> Mills, S. &amp; McDowall, R. 2017. Responsibility without power? Distributed ledgers (aka) Blockchains, p. 42, July London: Z/Yen Group, Long Finance &amp; Cardona Foundation, </w:t>
      </w:r>
      <w:r>
        <w:fldChar w:fldCharType="begin"/>
      </w:r>
      <w:r>
        <w:instrText xml:space="preserve"> HYPERLINK "https://www.zyen.com/publications/public-reports/responsibility-without-power-the-governance-of-mutual-distributed-ledgers-aka-blockchains/" </w:instrText>
      </w:r>
      <w:r>
        <w:fldChar w:fldCharType="separate"/>
      </w:r>
      <w:r w:rsidRPr="00590B07">
        <w:rPr>
          <w:rStyle w:val="Hyperlink"/>
          <w:sz w:val="20"/>
        </w:rPr>
        <w:t>https://www.zyen.com/publications/public-reports/responsibility-without-power-the-governance-of-mutual-distributed-ledgers-aka-blockchains/</w:t>
      </w:r>
      <w:r>
        <w:fldChar w:fldCharType="end"/>
      </w:r>
      <w:r w:rsidRPr="00590B07">
        <w:rPr>
          <w:sz w:val="20"/>
        </w:rPr>
        <w:t xml:space="preserve"> </w:t>
      </w:r>
    </w:p>
  </w:footnote>
  <w:footnote w:id="31">
    <w:p w:rsidR="0072424B" w:rsidRPr="00590B07" w:rsidP="008C3DF7">
      <w:pPr>
        <w:pStyle w:val="FootnoteText"/>
        <w:rPr>
          <w:sz w:val="20"/>
        </w:rPr>
      </w:pPr>
      <w:r w:rsidRPr="00590B07">
        <w:rPr>
          <w:rStyle w:val="FootnoteReference"/>
          <w:sz w:val="20"/>
        </w:rPr>
        <w:footnoteRef/>
      </w:r>
      <w:r w:rsidRPr="00590B07">
        <w:rPr>
          <w:sz w:val="20"/>
        </w:rPr>
        <w:t xml:space="preserve"> Givens, B. 1991. </w:t>
      </w:r>
      <w:r w:rsidRPr="00590B07">
        <w:rPr>
          <w:i/>
          <w:sz w:val="20"/>
        </w:rPr>
        <w:t>Citizen Utility Boards: Because utilities bear watching,</w:t>
      </w:r>
      <w:r w:rsidRPr="00590B07">
        <w:rPr>
          <w:sz w:val="20"/>
        </w:rPr>
        <w:t xml:space="preserve"> Centre for Public Interest Law,</w:t>
      </w:r>
    </w:p>
    <w:p w:rsidR="0072424B" w:rsidRPr="00590B07" w:rsidP="008C3DF7">
      <w:pPr>
        <w:pStyle w:val="FootnoteText"/>
        <w:rPr>
          <w:sz w:val="20"/>
        </w:rPr>
      </w:pPr>
      <w:r w:rsidRPr="00590B07">
        <w:rPr>
          <w:sz w:val="20"/>
        </w:rPr>
        <w:t xml:space="preserve">University of San Diego, School of Law, California, </w:t>
      </w:r>
      <w:r>
        <w:fldChar w:fldCharType="begin"/>
      </w:r>
      <w:r>
        <w:instrText xml:space="preserve"> HYPERLINK "http://www.cpil.org/download/CUB_Report.pdf" </w:instrText>
      </w:r>
      <w:r>
        <w:fldChar w:fldCharType="separate"/>
      </w:r>
      <w:r w:rsidRPr="00590B07">
        <w:rPr>
          <w:rStyle w:val="Hyperlink"/>
          <w:sz w:val="20"/>
        </w:rPr>
        <w:t>http://www.cpil.org/download/CUB_Report.pdf</w:t>
      </w:r>
      <w:r>
        <w:fldChar w:fldCharType="end"/>
      </w:r>
      <w:r w:rsidRPr="00590B07">
        <w:rPr>
          <w:sz w:val="20"/>
        </w:rPr>
        <w:t xml:space="preserve"> </w:t>
      </w:r>
    </w:p>
  </w:footnote>
  <w:footnote w:id="32">
    <w:p w:rsidR="0072424B" w:rsidRPr="00590B07" w:rsidP="008C3DF7">
      <w:pPr>
        <w:pStyle w:val="FootnoteText"/>
        <w:rPr>
          <w:sz w:val="20"/>
        </w:rPr>
      </w:pPr>
      <w:r w:rsidRPr="00590B07">
        <w:rPr>
          <w:rStyle w:val="FootnoteReference"/>
          <w:sz w:val="20"/>
        </w:rPr>
        <w:footnoteRef/>
      </w:r>
      <w:r w:rsidRPr="00590B07">
        <w:rPr>
          <w:sz w:val="20"/>
        </w:rPr>
        <w:t xml:space="preserve"> Turnbull, S. 2020, ‘Do we need “A new model for corporate governance”? </w:t>
      </w:r>
      <w:r w:rsidRPr="00590B07">
        <w:rPr>
          <w:i/>
          <w:sz w:val="20"/>
        </w:rPr>
        <w:t>Working paper</w:t>
      </w:r>
      <w:r w:rsidRPr="00590B07">
        <w:rPr>
          <w:sz w:val="20"/>
        </w:rPr>
        <w:t>,</w:t>
      </w:r>
      <w:r w:rsidRPr="00590B07">
        <w:rPr>
          <w:sz w:val="20"/>
          <w:szCs w:val="17"/>
        </w:rPr>
        <w:t> </w:t>
      </w:r>
      <w:r>
        <w:fldChar w:fldCharType="begin"/>
      </w:r>
      <w:r>
        <w:instrText xml:space="preserve"> HYPERLINK "https://papers.ssrn.com/abstract_id=3735205" </w:instrText>
      </w:r>
      <w:r>
        <w:fldChar w:fldCharType="separate"/>
      </w:r>
      <w:r w:rsidRPr="00590B07">
        <w:rPr>
          <w:rStyle w:val="Hyperlink"/>
          <w:sz w:val="20"/>
          <w:szCs w:val="17"/>
        </w:rPr>
        <w:t>https://papers.ssrn.com/abstract_id=3735205</w:t>
      </w:r>
      <w:r>
        <w:fldChar w:fldCharType="end"/>
      </w:r>
    </w:p>
  </w:footnote>
  <w:footnote w:id="33">
    <w:p w:rsidR="0072424B" w:rsidRPr="00590B07" w:rsidP="008C3DF7">
      <w:pPr>
        <w:pStyle w:val="FootnoteText"/>
        <w:rPr>
          <w:sz w:val="20"/>
        </w:rPr>
      </w:pPr>
      <w:r w:rsidRPr="00590B07">
        <w:rPr>
          <w:rStyle w:val="FootnoteReference"/>
          <w:sz w:val="20"/>
        </w:rPr>
        <w:footnoteRef/>
      </w:r>
      <w:r w:rsidRPr="00590B07">
        <w:rPr>
          <w:sz w:val="20"/>
        </w:rPr>
        <w:t xml:space="preserve"> Fink, L. 2018. </w:t>
      </w:r>
      <w:r w:rsidRPr="00590B07">
        <w:rPr>
          <w:i/>
          <w:sz w:val="20"/>
        </w:rPr>
        <w:t>Larry Fink’s letter to CEOs</w:t>
      </w:r>
      <w:r w:rsidRPr="00590B07">
        <w:rPr>
          <w:sz w:val="20"/>
        </w:rPr>
        <w:t xml:space="preserve">, </w:t>
      </w:r>
      <w:r>
        <w:fldChar w:fldCharType="begin"/>
      </w:r>
      <w:r>
        <w:instrText xml:space="preserve"> HYPERLINK "https://www.blackrock.com/corporate/investor-relations/2018-larry-fink-ceo-letter" </w:instrText>
      </w:r>
      <w:r>
        <w:fldChar w:fldCharType="separate"/>
      </w:r>
      <w:r w:rsidRPr="00590B07">
        <w:rPr>
          <w:rStyle w:val="Hyperlink"/>
          <w:sz w:val="20"/>
        </w:rPr>
        <w:t>https://www.blackrock.com/corporate/investor-relations/2018-larry-fink-ceo-letter</w:t>
      </w:r>
      <w:r>
        <w:fldChar w:fldCharType="end"/>
      </w:r>
    </w:p>
  </w:footnote>
  <w:footnote w:id="34">
    <w:p w:rsidR="0072424B" w:rsidRPr="00590B07" w:rsidP="008C3DF7">
      <w:pPr>
        <w:pStyle w:val="FootnoteText"/>
        <w:rPr>
          <w:sz w:val="20"/>
        </w:rPr>
      </w:pPr>
      <w:r w:rsidRPr="00590B07">
        <w:rPr>
          <w:rStyle w:val="FootnoteReference"/>
          <w:sz w:val="20"/>
        </w:rPr>
        <w:footnoteRef/>
      </w:r>
      <w:r w:rsidRPr="00590B07">
        <w:rPr>
          <w:sz w:val="20"/>
        </w:rPr>
        <w:t xml:space="preserve"> Turnbull, S. 2002. </w:t>
      </w:r>
      <w:r w:rsidRPr="00590B07">
        <w:rPr>
          <w:i/>
          <w:sz w:val="20"/>
        </w:rPr>
        <w:t>A new way to govern: Organisations and society after Enron</w:t>
      </w:r>
      <w:r w:rsidRPr="00590B07">
        <w:rPr>
          <w:sz w:val="20"/>
        </w:rPr>
        <w:t xml:space="preserve">. London: The New Economics Foundation, </w:t>
      </w:r>
      <w:r>
        <w:fldChar w:fldCharType="begin"/>
      </w:r>
      <w:r>
        <w:instrText xml:space="preserve"> HYPERLINK "https://papers.ssrn.com/sol3/papers.cfm?abstract_id=319867" </w:instrText>
      </w:r>
      <w:r>
        <w:fldChar w:fldCharType="separate"/>
      </w:r>
      <w:r w:rsidRPr="00590B07">
        <w:rPr>
          <w:rStyle w:val="Hyperlink"/>
          <w:sz w:val="20"/>
        </w:rPr>
        <w:t>https://papers.ssrn.com/sol3/papers.cfm?abstract_id=319867</w:t>
      </w:r>
      <w:r>
        <w:fldChar w:fldCharType="end"/>
      </w:r>
      <w:r w:rsidRPr="00590B07">
        <w:rPr>
          <w:sz w:val="20"/>
        </w:rPr>
        <w:t xml:space="preserve"> </w:t>
      </w:r>
    </w:p>
  </w:footnote>
  <w:footnote w:id="35">
    <w:p w:rsidR="0072424B" w:rsidRPr="00590B07" w:rsidP="008C3DF7">
      <w:pPr>
        <w:pStyle w:val="FootnoteText"/>
        <w:rPr>
          <w:sz w:val="20"/>
        </w:rPr>
      </w:pPr>
      <w:r w:rsidRPr="00590B07">
        <w:rPr>
          <w:rStyle w:val="FootnoteReference"/>
          <w:sz w:val="20"/>
        </w:rPr>
        <w:footnoteRef/>
      </w:r>
      <w:r w:rsidRPr="00590B07">
        <w:rPr>
          <w:sz w:val="20"/>
        </w:rPr>
        <w:t xml:space="preserve"> Turnbull, S. 2000. Stakeholder governance: A cybernetic and property rights analysis. In R. I. Tricker, (ed.), </w:t>
      </w:r>
      <w:r w:rsidRPr="00590B07">
        <w:rPr>
          <w:i/>
          <w:sz w:val="20"/>
        </w:rPr>
        <w:t>The history of management thought: Corporate Governance</w:t>
      </w:r>
      <w:r w:rsidRPr="00590B07">
        <w:rPr>
          <w:sz w:val="20"/>
        </w:rPr>
        <w:t xml:space="preserve">, pp. 401–413, London, Ashgate Publishing, </w:t>
      </w:r>
      <w:r>
        <w:fldChar w:fldCharType="begin"/>
      </w:r>
      <w:r>
        <w:instrText xml:space="preserve"> HYPERLINK "http://papers.ssrn.com/sol3/paper.taf?ABSTRACT_ID=11355" </w:instrText>
      </w:r>
      <w:r>
        <w:fldChar w:fldCharType="separate"/>
      </w:r>
      <w:r w:rsidRPr="00590B07">
        <w:rPr>
          <w:rStyle w:val="Hyperlink"/>
          <w:sz w:val="20"/>
        </w:rPr>
        <w:t>http://papers.ssrn.com/sol3/paper.taf?ABSTRACT_ID=11355</w:t>
      </w:r>
      <w:r>
        <w:fldChar w:fldCharType="end"/>
      </w:r>
    </w:p>
  </w:footnote>
  <w:footnote w:id="36">
    <w:p w:rsidR="0072424B" w:rsidRPr="00590B07" w:rsidP="008C3DF7">
      <w:pPr>
        <w:pStyle w:val="FootnoteText"/>
        <w:rPr>
          <w:sz w:val="20"/>
        </w:rPr>
      </w:pPr>
      <w:r w:rsidRPr="00590B07">
        <w:rPr>
          <w:rStyle w:val="FootnoteReference"/>
          <w:sz w:val="20"/>
        </w:rPr>
        <w:footnoteRef/>
      </w:r>
      <w:r w:rsidRPr="00590B07">
        <w:rPr>
          <w:sz w:val="20"/>
        </w:rPr>
        <w:t xml:space="preserve"> Turnbull, S. 1975, </w:t>
      </w:r>
      <w:r w:rsidRPr="00590B07">
        <w:rPr>
          <w:i/>
          <w:sz w:val="20"/>
        </w:rPr>
        <w:t>Democratising the wealth of nations</w:t>
      </w:r>
      <w:r w:rsidRPr="00590B07">
        <w:rPr>
          <w:sz w:val="20"/>
        </w:rPr>
        <w:t xml:space="preserve">, The Company Directors Association of Australia, Sydney, </w:t>
      </w:r>
      <w:r>
        <w:fldChar w:fldCharType="begin"/>
      </w:r>
      <w:r>
        <w:instrText xml:space="preserve"> HYPERLINK "https://papers.ssrn.com/abstract_id=1146062" </w:instrText>
      </w:r>
      <w:r>
        <w:fldChar w:fldCharType="separate"/>
      </w:r>
      <w:r w:rsidRPr="00590B07">
        <w:rPr>
          <w:rStyle w:val="Hyperlink"/>
          <w:sz w:val="20"/>
          <w:szCs w:val="20"/>
          <w:lang w:val="en-AU"/>
        </w:rPr>
        <w:t>https://papers.ssrn.com/abstract_id=1146062</w:t>
      </w:r>
      <w:r>
        <w:fldChar w:fldCharType="end"/>
      </w:r>
    </w:p>
  </w:footnote>
  <w:footnote w:id="37">
    <w:p w:rsidR="0072424B" w:rsidRPr="00151E80" w:rsidP="00151E80">
      <w:pPr>
        <w:spacing w:after="0"/>
        <w:rPr>
          <w:b/>
          <w:bCs/>
          <w:sz w:val="20"/>
          <w:szCs w:val="20"/>
        </w:rPr>
      </w:pPr>
      <w:r w:rsidRPr="00590B07">
        <w:rPr>
          <w:rStyle w:val="FootnoteReference"/>
          <w:sz w:val="20"/>
        </w:rPr>
        <w:footnoteRef/>
      </w:r>
      <w:r w:rsidRPr="00590B07">
        <w:rPr>
          <w:sz w:val="20"/>
        </w:rPr>
        <w:t xml:space="preserve"> Turnbull, S. 2020. Webinar on: The case for radical reform of corporate governance for the Global Research Foundation for Corporate Governance, </w:t>
      </w:r>
      <w:r>
        <w:fldChar w:fldCharType="begin"/>
      </w:r>
      <w:r>
        <w:instrText xml:space="preserve"> HYPERLINK "https://www.youtube.com/watch?v=xWve9MJyRXA" \l "action=share" </w:instrText>
      </w:r>
      <w:r>
        <w:fldChar w:fldCharType="separate"/>
      </w:r>
      <w:r w:rsidRPr="00590B07">
        <w:rPr>
          <w:sz w:val="20"/>
          <w:u w:val="single"/>
        </w:rPr>
        <w:t>https://www.youtube.com/watch?v=xWve9MJyRXA#action=share</w:t>
      </w:r>
      <w:r>
        <w:fldChar w:fldCharType="end"/>
      </w:r>
    </w:p>
  </w:footnote>
  <w:footnote w:id="38">
    <w:p w:rsidR="0072424B" w:rsidRPr="00C33558" w:rsidP="00BF4F7F">
      <w:pPr>
        <w:pStyle w:val="FootnoteText"/>
        <w:rPr>
          <w:sz w:val="20"/>
        </w:rPr>
      </w:pPr>
      <w:r w:rsidRPr="00C33558">
        <w:rPr>
          <w:rStyle w:val="FootnoteReference"/>
          <w:sz w:val="20"/>
        </w:rPr>
        <w:footnoteRef/>
      </w:r>
      <w:r w:rsidRPr="00C33558">
        <w:rPr>
          <w:sz w:val="20"/>
        </w:rPr>
        <w:t xml:space="preserve"> Turnbull, S. 2020. Privatizing regulation while enriching democracy, </w:t>
      </w:r>
    </w:p>
  </w:footnote>
  <w:footnote w:id="39">
    <w:p w:rsidR="0072424B" w:rsidRPr="00C33558" w:rsidP="00BF4F7F">
      <w:pPr>
        <w:spacing w:after="0"/>
        <w:rPr>
          <w:color w:val="666666"/>
          <w:sz w:val="20"/>
          <w:szCs w:val="17"/>
        </w:rPr>
      </w:pPr>
      <w:r w:rsidRPr="00C33558">
        <w:rPr>
          <w:rStyle w:val="FootnoteReference"/>
          <w:sz w:val="20"/>
        </w:rPr>
        <w:footnoteRef/>
      </w:r>
      <w:r w:rsidRPr="00C33558">
        <w:rPr>
          <w:sz w:val="20"/>
        </w:rPr>
        <w:t xml:space="preserve"> Turnbull, S. 2019, </w:t>
      </w:r>
      <w:r w:rsidRPr="00C33558">
        <w:rPr>
          <w:color w:val="000000"/>
          <w:sz w:val="20"/>
          <w:szCs w:val="19"/>
        </w:rPr>
        <w:t>‘How might standard units of value be defined?’  </w:t>
      </w:r>
      <w:r w:rsidRPr="00C33558">
        <w:rPr>
          <w:i/>
          <w:color w:val="000000"/>
          <w:sz w:val="20"/>
          <w:szCs w:val="19"/>
        </w:rPr>
        <w:t>Journal of Modern Accounting and Auditing</w:t>
      </w:r>
      <w:r w:rsidRPr="00C33558">
        <w:rPr>
          <w:color w:val="000000"/>
          <w:sz w:val="20"/>
          <w:szCs w:val="19"/>
        </w:rPr>
        <w:t xml:space="preserve">, May 2019, Vol. 15, No. 5, 221-231 doi: 10.17265/1548-6583/2019.05.001 </w:t>
      </w:r>
      <w:r>
        <w:fldChar w:fldCharType="begin"/>
      </w:r>
      <w:r>
        <w:instrText xml:space="preserve"> HYPERLINK "https://ssrn.com/abstract=3429726" </w:instrText>
      </w:r>
      <w:r>
        <w:fldChar w:fldCharType="separate"/>
      </w:r>
      <w:r w:rsidRPr="00C33558">
        <w:rPr>
          <w:rStyle w:val="Hyperlink"/>
          <w:sz w:val="20"/>
          <w:szCs w:val="17"/>
        </w:rPr>
        <w:t>https://ssrn.com/abstract=3429726</w:t>
      </w:r>
      <w:r>
        <w:fldChar w:fldCharType="end"/>
      </w:r>
    </w:p>
  </w:footnote>
  <w:footnote w:id="40">
    <w:p w:rsidR="0072424B" w:rsidRPr="00C33558" w:rsidP="00BF4F7F">
      <w:pPr>
        <w:pStyle w:val="FootnoteText"/>
        <w:rPr>
          <w:sz w:val="20"/>
        </w:rPr>
      </w:pPr>
      <w:r w:rsidRPr="00C33558">
        <w:rPr>
          <w:rStyle w:val="FootnoteReference"/>
          <w:sz w:val="20"/>
        </w:rPr>
        <w:footnoteRef/>
      </w:r>
      <w:r w:rsidRPr="00C33558">
        <w:rPr>
          <w:sz w:val="20"/>
        </w:rPr>
        <w:t xml:space="preserve"> Turnbull, S. 2003, </w:t>
      </w:r>
    </w:p>
    <w:p w:rsidR="0072424B" w:rsidRPr="00C33558" w:rsidP="00BF4F7F">
      <w:pPr>
        <w:pStyle w:val="FootnoteText"/>
        <w:rPr>
          <w:sz w:val="20"/>
        </w:rPr>
      </w:pPr>
      <w:r w:rsidRPr="00C33558">
        <w:rPr>
          <w:sz w:val="20"/>
        </w:rPr>
        <w:t xml:space="preserve">Turnbull, S. </w:t>
      </w:r>
    </w:p>
  </w:footnote>
  <w:footnote w:id="41">
    <w:p w:rsidR="0072424B" w:rsidRPr="00C33558" w:rsidP="00BF4F7F">
      <w:pPr>
        <w:spacing w:after="0"/>
        <w:rPr>
          <w:sz w:val="20"/>
        </w:rPr>
      </w:pPr>
      <w:r w:rsidRPr="00C33558">
        <w:rPr>
          <w:rStyle w:val="FootnoteReference"/>
          <w:sz w:val="20"/>
        </w:rPr>
        <w:footnoteRef/>
      </w:r>
      <w:r w:rsidRPr="00C33558">
        <w:rPr>
          <w:sz w:val="20"/>
        </w:rPr>
        <w:t xml:space="preserve"> Turnbull, S. 2018, Royal Commission into misconduct in the Banking, Superannuation and Financial Service Industry, “Regulators poisoning corporate culture and performance”, 28 May, reference number PWF.0001.0001.7989. </w:t>
      </w:r>
    </w:p>
    <w:p w:rsidR="0072424B" w:rsidRPr="00C33558" w:rsidP="00BF4F7F">
      <w:pPr>
        <w:spacing w:after="0"/>
        <w:rPr>
          <w:sz w:val="20"/>
        </w:rPr>
      </w:pPr>
      <w:r w:rsidRPr="00C33558">
        <w:rPr>
          <w:sz w:val="20"/>
        </w:rPr>
        <w:t>Turnbull, S. 2018, Royal Commission into misconduct in the Banking, Superannuation and Financial Service Industry, “Causes and solutions for misconduct in the financial services industry”, 21 September, reference number POL.0001.2000.0003.</w:t>
      </w:r>
    </w:p>
    <w:p w:rsidR="0072424B" w:rsidRPr="007053BE" w:rsidP="00BF4F7F">
      <w:pPr>
        <w:pStyle w:val="FootnoteText"/>
        <w:rPr>
          <w:sz w:val="20"/>
        </w:rPr>
      </w:pPr>
      <w:r w:rsidRPr="00C33558">
        <w:rPr>
          <w:sz w:val="20"/>
        </w:rPr>
        <w:t>Turnbull, S. 2018, Royal Commission into misconduct in the Banking, Superannuation and Financial Service Industry, “Regulating Financial Misconduct: Should the existing law be administered or enforced differently?” October 26, reference number:</w:t>
      </w:r>
      <w:r>
        <w:rPr>
          <w:color w:val="000000"/>
          <w:sz w:val="20"/>
        </w:rPr>
        <w:t xml:space="preserve"> </w:t>
      </w:r>
      <w:r w:rsidRPr="007053BE">
        <w:rPr>
          <w:color w:val="000000"/>
          <w:sz w:val="20"/>
          <w:szCs w:val="19"/>
        </w:rPr>
        <w:t>POL.1000.0001.0917,</w:t>
      </w:r>
      <w:r w:rsidRPr="007053BE">
        <w:rPr>
          <w:color w:val="000000"/>
          <w:sz w:val="20"/>
        </w:rPr>
        <w:t> &lt;</w:t>
      </w:r>
      <w:r>
        <w:fldChar w:fldCharType="begin"/>
      </w:r>
      <w:r>
        <w:instrText xml:space="preserve"> HYPERLINK "https://financialservices.royalcommission.gov.au/Submissions/Documents/interim-report-submissions/POL.9100.0001.0917.pdf" </w:instrText>
      </w:r>
      <w:r>
        <w:fldChar w:fldCharType="separate"/>
      </w:r>
      <w:r w:rsidRPr="007053BE">
        <w:rPr>
          <w:rStyle w:val="Hyperlink"/>
          <w:sz w:val="20"/>
          <w:szCs w:val="19"/>
        </w:rPr>
        <w:t>https://financialservices.royalcommission.gov.au/Submissions/Documents/interim-report-submissions/POL.9100.0001.0917.pdf</w:t>
      </w:r>
      <w:r>
        <w:fldChar w:fldCharType="end"/>
      </w:r>
      <w:r>
        <w:t>&gt;.</w:t>
      </w:r>
    </w:p>
  </w:footnote>
  <w:footnote w:id="42">
    <w:p w:rsidR="0072424B" w:rsidRPr="00D95874" w:rsidP="00BF4F7F">
      <w:pPr>
        <w:pStyle w:val="FootnoteText"/>
        <w:rPr>
          <w:sz w:val="20"/>
        </w:rPr>
      </w:pPr>
      <w:r w:rsidRPr="00D95874">
        <w:rPr>
          <w:rStyle w:val="FootnoteReference"/>
          <w:sz w:val="20"/>
        </w:rPr>
        <w:footnoteRef/>
      </w:r>
      <w:r w:rsidRPr="00D95874">
        <w:rPr>
          <w:sz w:val="20"/>
        </w:rPr>
        <w:t xml:space="preserve"> Turnbull, S. 1975, </w:t>
      </w:r>
    </w:p>
  </w:footnote>
  <w:footnote w:id="43">
    <w:p w:rsidR="0072424B">
      <w:pPr>
        <w:pStyle w:val="FootnoteText"/>
      </w:pPr>
      <w:r>
        <w:rPr>
          <w:rStyle w:val="FootnoteReference"/>
        </w:rPr>
        <w:footnoteRef/>
      </w:r>
      <w:r>
        <w:t xml:space="preserve"> </w:t>
      </w:r>
      <w:r>
        <w:fldChar w:fldCharType="begin"/>
      </w:r>
      <w:r>
        <w:instrText xml:space="preserve"> HYPERLINK "https://parliamentlive.tv/event/index/d6da4270-6d41-4652-ba8c-7fdfdb602de8" </w:instrText>
      </w:r>
      <w:r>
        <w:fldChar w:fldCharType="separate"/>
      </w:r>
      <w:r w:rsidRPr="00B734BE">
        <w:rPr>
          <w:rStyle w:val="Hyperlink"/>
        </w:rPr>
        <w:t>https://parliamentlive.tv/event/index/d6da4270-6d41-4652-ba8c-7fdfdb602de8</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4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424B" w:rsidRPr="007A1456" w:rsidP="007A1456">
    <w:pPr>
      <w:pStyle w:val="Header"/>
      <w:tabs>
        <w:tab w:val="clear" w:pos="8640"/>
      </w:tabs>
      <w:rPr>
        <w:bCs/>
      </w:rPr>
    </w:pPr>
    <w:r w:rsidRPr="007A1456">
      <w:rPr>
        <w:bCs/>
      </w:rPr>
      <w:t>FFS0043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4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529AA"/>
    <w:multiLevelType w:val="multilevel"/>
    <w:tmpl w:val="849CECE8"/>
    <w:lvl w:ilvl="0">
      <w:start w:val="1"/>
      <w:numFmt w:val="decimal"/>
      <w:lvlText w:val="%1."/>
      <w:lvlJc w:val="left"/>
      <w:pPr>
        <w:ind w:left="720" w:hanging="360"/>
      </w:pPr>
      <w:rPr>
        <w:rFonts w:hint="default"/>
      </w:rPr>
    </w:lvl>
    <w:lvl w:ilvl="1">
      <w:start w:val="1"/>
      <w:numFmt w:val="lowerRoman"/>
      <w:lvlText w:val="%2."/>
      <w:lvlJc w:val="right"/>
      <w:pPr>
        <w:ind w:left="1260" w:hanging="180"/>
      </w:pPr>
      <w:rPr>
        <w:rFonts w:ascii="Times New Roman" w:hAnsi="Times New Roman" w:hint="default"/>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CA301D5"/>
    <w:multiLevelType w:val="hybridMultilevel"/>
    <w:tmpl w:val="DD7A34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F124610"/>
    <w:multiLevelType w:val="hybridMultilevel"/>
    <w:tmpl w:val="0936C3D4"/>
    <w:lvl w:ilvl="0">
      <w:start w:val="1"/>
      <w:numFmt w:val="decimal"/>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18DA0C9E"/>
    <w:multiLevelType w:val="hybridMultilevel"/>
    <w:tmpl w:val="CAF46D8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sz w:val="24"/>
      </w:rPr>
    </w:lvl>
    <w:lvl w:ilvl="2">
      <w:start w:val="1"/>
      <w:numFmt w:val="lowerRoman"/>
      <w:lvlText w:val="%3."/>
      <w:lvlJc w:val="right"/>
      <w:pPr>
        <w:ind w:left="2160" w:hanging="180"/>
      </w:pPr>
    </w:lvl>
    <w:lvl w:ilvl="3">
      <w:start w:val="3"/>
      <w:numFmt w:val="lowerLetter"/>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54584E"/>
    <w:multiLevelType w:val="hybridMultilevel"/>
    <w:tmpl w:val="FB64DDAE"/>
    <w:lvl w:ilvl="0">
      <w:start w:val="1"/>
      <w:numFmt w:val="decimal"/>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5">
    <w:nsid w:val="1B193E4E"/>
    <w:multiLevelType w:val="hybridMultilevel"/>
    <w:tmpl w:val="CED8B580"/>
    <w:lvl w:ilvl="0">
      <w:start w:val="1"/>
      <w:numFmt w:val="lowerLetter"/>
      <w:lvlText w:val="%1)"/>
      <w:lvlJc w:val="left"/>
      <w:pPr>
        <w:ind w:left="2160" w:hanging="360"/>
      </w:pPr>
    </w:lvl>
    <w:lvl w:ilvl="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6">
    <w:nsid w:val="252252D7"/>
    <w:multiLevelType w:val="hybridMultilevel"/>
    <w:tmpl w:val="6CF6A32C"/>
    <w:lvl w:ilvl="0">
      <w:start w:val="1"/>
      <w:numFmt w:val="decimal"/>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53D6136"/>
    <w:multiLevelType w:val="multilevel"/>
    <w:tmpl w:val="1CBCB47A"/>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8173E11"/>
    <w:multiLevelType w:val="multilevel"/>
    <w:tmpl w:val="76D2DB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1BB7139"/>
    <w:multiLevelType w:val="hybridMultilevel"/>
    <w:tmpl w:val="C3F62C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D8B2432"/>
    <w:multiLevelType w:val="multilevel"/>
    <w:tmpl w:val="B5FC229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6F345EF"/>
    <w:multiLevelType w:val="multilevel"/>
    <w:tmpl w:val="1CBCB47A"/>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69687A2E"/>
    <w:multiLevelType w:val="multilevel"/>
    <w:tmpl w:val="FB64DDA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nsid w:val="6CD617F4"/>
    <w:multiLevelType w:val="multilevel"/>
    <w:tmpl w:val="49EC6EF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7DC760C"/>
    <w:multiLevelType w:val="hybridMultilevel"/>
    <w:tmpl w:val="43520D5E"/>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lowerLetter"/>
      <w:lvlText w:val="(%4)"/>
      <w:lvlJc w:val="left"/>
      <w:pPr>
        <w:ind w:left="3600" w:hanging="360"/>
      </w:pPr>
      <w:rPr>
        <w:rFonts w:hint="default"/>
      </w:r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79410F4C"/>
    <w:multiLevelType w:val="hybridMultilevel"/>
    <w:tmpl w:val="1CBCB47A"/>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sz w:val="24"/>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AFF5800"/>
    <w:multiLevelType w:val="multilevel"/>
    <w:tmpl w:val="AB5C63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u w:val="single"/>
      </w:rPr>
    </w:lvl>
    <w:lvl w:ilvl="2">
      <w:start w:val="1"/>
      <w:numFmt w:val="decimal"/>
      <w:isLgl/>
      <w:lvlText w:val="%1.%2.%3"/>
      <w:lvlJc w:val="left"/>
      <w:pPr>
        <w:ind w:left="1080" w:hanging="720"/>
      </w:pPr>
      <w:rPr>
        <w:rFonts w:hint="default"/>
        <w:sz w:val="24"/>
        <w:u w:val="single"/>
      </w:rPr>
    </w:lvl>
    <w:lvl w:ilvl="3">
      <w:start w:val="1"/>
      <w:numFmt w:val="decimal"/>
      <w:isLgl/>
      <w:lvlText w:val="%1.%2.%3.%4"/>
      <w:lvlJc w:val="left"/>
      <w:pPr>
        <w:ind w:left="1440" w:hanging="1080"/>
      </w:pPr>
      <w:rPr>
        <w:rFonts w:hint="default"/>
        <w:sz w:val="24"/>
        <w:u w:val="single"/>
      </w:rPr>
    </w:lvl>
    <w:lvl w:ilvl="4">
      <w:start w:val="1"/>
      <w:numFmt w:val="decimal"/>
      <w:isLgl/>
      <w:lvlText w:val="%1.%2.%3.%4.%5"/>
      <w:lvlJc w:val="left"/>
      <w:pPr>
        <w:ind w:left="1440" w:hanging="1080"/>
      </w:pPr>
      <w:rPr>
        <w:rFonts w:hint="default"/>
        <w:sz w:val="24"/>
        <w:u w:val="single"/>
      </w:rPr>
    </w:lvl>
    <w:lvl w:ilvl="5">
      <w:start w:val="1"/>
      <w:numFmt w:val="decimal"/>
      <w:isLgl/>
      <w:lvlText w:val="%1.%2.%3.%4.%5.%6"/>
      <w:lvlJc w:val="left"/>
      <w:pPr>
        <w:ind w:left="1800" w:hanging="1440"/>
      </w:pPr>
      <w:rPr>
        <w:rFonts w:hint="default"/>
        <w:sz w:val="24"/>
        <w:u w:val="single"/>
      </w:rPr>
    </w:lvl>
    <w:lvl w:ilvl="6">
      <w:start w:val="1"/>
      <w:numFmt w:val="decimal"/>
      <w:isLgl/>
      <w:lvlText w:val="%1.%2.%3.%4.%5.%6.%7"/>
      <w:lvlJc w:val="left"/>
      <w:pPr>
        <w:ind w:left="1800" w:hanging="1440"/>
      </w:pPr>
      <w:rPr>
        <w:rFonts w:hint="default"/>
        <w:sz w:val="24"/>
        <w:u w:val="single"/>
      </w:rPr>
    </w:lvl>
    <w:lvl w:ilvl="7">
      <w:start w:val="1"/>
      <w:numFmt w:val="decimal"/>
      <w:isLgl/>
      <w:lvlText w:val="%1.%2.%3.%4.%5.%6.%7.%8"/>
      <w:lvlJc w:val="left"/>
      <w:pPr>
        <w:ind w:left="2160" w:hanging="1800"/>
      </w:pPr>
      <w:rPr>
        <w:rFonts w:hint="default"/>
        <w:sz w:val="24"/>
        <w:u w:val="single"/>
      </w:rPr>
    </w:lvl>
    <w:lvl w:ilvl="8">
      <w:start w:val="1"/>
      <w:numFmt w:val="decimal"/>
      <w:isLgl/>
      <w:lvlText w:val="%1.%2.%3.%4.%5.%6.%7.%8.%9"/>
      <w:lvlJc w:val="left"/>
      <w:pPr>
        <w:ind w:left="2520" w:hanging="2160"/>
      </w:pPr>
      <w:rPr>
        <w:rFonts w:hint="default"/>
        <w:sz w:val="24"/>
        <w:u w:val="single"/>
      </w:rPr>
    </w:lvl>
  </w:abstractNum>
  <w:num w:numId="1">
    <w:abstractNumId w:val="15"/>
  </w:num>
  <w:num w:numId="2">
    <w:abstractNumId w:val="8"/>
  </w:num>
  <w:num w:numId="3">
    <w:abstractNumId w:val="0"/>
  </w:num>
  <w:num w:numId="4">
    <w:abstractNumId w:val="2"/>
  </w:num>
  <w:num w:numId="5">
    <w:abstractNumId w:val="16"/>
  </w:num>
  <w:num w:numId="6">
    <w:abstractNumId w:val="4"/>
  </w:num>
  <w:num w:numId="7">
    <w:abstractNumId w:val="12"/>
  </w:num>
  <w:num w:numId="8">
    <w:abstractNumId w:val="5"/>
  </w:num>
  <w:num w:numId="9">
    <w:abstractNumId w:val="7"/>
  </w:num>
  <w:num w:numId="10">
    <w:abstractNumId w:val="11"/>
  </w:num>
  <w:num w:numId="11">
    <w:abstractNumId w:val="3"/>
  </w:num>
  <w:num w:numId="12">
    <w:abstractNumId w:val="6"/>
  </w:num>
  <w:num w:numId="13">
    <w:abstractNumId w:val="1"/>
  </w:num>
  <w:num w:numId="14">
    <w:abstractNumId w:val="9"/>
  </w:num>
  <w:num w:numId="15">
    <w:abstractNumId w:val="14"/>
  </w:num>
  <w:num w:numId="16">
    <w:abstractNumId w:val="1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doNotTrackMoves/>
  <w:defaultTabStop w:val="720"/>
  <w:drawingGridHorizontalSpacing w:val="360"/>
  <w:drawingGridVerticalSpacing w:val="360"/>
  <w:displayHorizontalDrawingGridEvery w:val="0"/>
  <w:displayVerticalDrawingGridEvery w:val="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dispDef m:val="0"/>
    <m:wrapRight/>
    <m:naryLim m:val="subSup"/>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4F8D"/>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F26"/>
    <w:pPr>
      <w:tabs>
        <w:tab w:val="center" w:pos="4320"/>
        <w:tab w:val="right" w:pos="8640"/>
      </w:tabs>
      <w:spacing w:after="0"/>
    </w:pPr>
  </w:style>
  <w:style w:type="character" w:customStyle="1" w:styleId="HeaderChar">
    <w:name w:val="Header Char"/>
    <w:basedOn w:val="DefaultParagraphFont"/>
    <w:link w:val="Header"/>
    <w:uiPriority w:val="99"/>
    <w:rsid w:val="00990F26"/>
    <w:rPr>
      <w:rFonts w:ascii="Times New Roman" w:hAnsi="Times New Roman"/>
    </w:rPr>
  </w:style>
  <w:style w:type="paragraph" w:styleId="Footer">
    <w:name w:val="footer"/>
    <w:basedOn w:val="Normal"/>
    <w:link w:val="FooterChar"/>
    <w:uiPriority w:val="99"/>
    <w:unhideWhenUsed/>
    <w:rsid w:val="00990F26"/>
    <w:pPr>
      <w:tabs>
        <w:tab w:val="center" w:pos="4320"/>
        <w:tab w:val="right" w:pos="8640"/>
      </w:tabs>
      <w:spacing w:after="0"/>
    </w:pPr>
  </w:style>
  <w:style w:type="character" w:customStyle="1" w:styleId="FooterChar">
    <w:name w:val="Footer Char"/>
    <w:basedOn w:val="DefaultParagraphFont"/>
    <w:link w:val="Footer"/>
    <w:uiPriority w:val="99"/>
    <w:rsid w:val="00990F26"/>
    <w:rPr>
      <w:rFonts w:ascii="Times New Roman" w:hAnsi="Times New Roman"/>
    </w:rPr>
  </w:style>
  <w:style w:type="character" w:styleId="Hyperlink">
    <w:name w:val="Hyperlink"/>
    <w:basedOn w:val="DefaultParagraphFont"/>
    <w:uiPriority w:val="99"/>
    <w:unhideWhenUsed/>
    <w:rsid w:val="00990F26"/>
    <w:rPr>
      <w:color w:val="0000FF" w:themeColor="hyperlink"/>
      <w:u w:val="single"/>
    </w:rPr>
  </w:style>
  <w:style w:type="paragraph" w:styleId="FootnoteText">
    <w:name w:val="footnote text"/>
    <w:basedOn w:val="Normal"/>
    <w:link w:val="FootnoteTextChar"/>
    <w:uiPriority w:val="99"/>
    <w:semiHidden/>
    <w:unhideWhenUsed/>
    <w:rsid w:val="002B2AC4"/>
    <w:pPr>
      <w:spacing w:after="0"/>
    </w:pPr>
  </w:style>
  <w:style w:type="character" w:customStyle="1" w:styleId="FootnoteTextChar">
    <w:name w:val="Footnote Text Char"/>
    <w:basedOn w:val="DefaultParagraphFont"/>
    <w:link w:val="FootnoteText"/>
    <w:uiPriority w:val="99"/>
    <w:semiHidden/>
    <w:rsid w:val="002B2AC4"/>
    <w:rPr>
      <w:rFonts w:ascii="Times New Roman" w:hAnsi="Times New Roman"/>
    </w:rPr>
  </w:style>
  <w:style w:type="character" w:styleId="FootnoteReference">
    <w:name w:val="footnote reference"/>
    <w:basedOn w:val="DefaultParagraphFont"/>
    <w:uiPriority w:val="99"/>
    <w:semiHidden/>
    <w:unhideWhenUsed/>
    <w:rsid w:val="002B2AC4"/>
    <w:rPr>
      <w:vertAlign w:val="superscript"/>
    </w:rPr>
  </w:style>
  <w:style w:type="paragraph" w:styleId="ListParagraph">
    <w:name w:val="List Paragraph"/>
    <w:basedOn w:val="Normal"/>
    <w:uiPriority w:val="34"/>
    <w:qFormat/>
    <w:rsid w:val="004E0EC6"/>
    <w:pPr>
      <w:ind w:left="720"/>
      <w:contextualSpacing/>
    </w:pPr>
  </w:style>
  <w:style w:type="character" w:styleId="FollowedHyperlink">
    <w:name w:val="FollowedHyperlink"/>
    <w:basedOn w:val="DefaultParagraphFont"/>
    <w:uiPriority w:val="99"/>
    <w:semiHidden/>
    <w:unhideWhenUsed/>
    <w:rsid w:val="00AD34D5"/>
    <w:rPr>
      <w:color w:val="800080" w:themeColor="followedHyperlink"/>
      <w:u w:val="single"/>
    </w:rPr>
  </w:style>
  <w:style w:type="character" w:styleId="PageNumber">
    <w:name w:val="page number"/>
    <w:basedOn w:val="DefaultParagraphFont"/>
    <w:uiPriority w:val="99"/>
    <w:semiHidden/>
    <w:unhideWhenUsed/>
    <w:rsid w:val="00151464"/>
  </w:style>
  <w:style w:type="paragraph" w:styleId="EndnoteText">
    <w:name w:val="endnote text"/>
    <w:basedOn w:val="Normal"/>
    <w:link w:val="EndnoteTextChar"/>
    <w:uiPriority w:val="99"/>
    <w:semiHidden/>
    <w:unhideWhenUsed/>
    <w:rsid w:val="008C3DF7"/>
    <w:pPr>
      <w:spacing w:after="0"/>
    </w:pPr>
  </w:style>
  <w:style w:type="character" w:customStyle="1" w:styleId="EndnoteTextChar">
    <w:name w:val="Endnote Text Char"/>
    <w:basedOn w:val="DefaultParagraphFont"/>
    <w:link w:val="EndnoteText"/>
    <w:uiPriority w:val="99"/>
    <w:semiHidden/>
    <w:rsid w:val="008C3DF7"/>
    <w:rPr>
      <w:rFonts w:ascii="Times New Roman" w:hAnsi="Times New Roman"/>
    </w:rPr>
  </w:style>
  <w:style w:type="table" w:styleId="MediumShading1Accent2">
    <w:name w:val="Medium Shading 1 Accent 2"/>
    <w:basedOn w:val="TableNormal"/>
    <w:uiPriority w:val="63"/>
    <w:rsid w:val="008C3DF7"/>
    <w:pPr>
      <w:spacing w:after="0"/>
    </w:pPr>
    <w:rPr>
      <w:sz w:val="22"/>
      <w:szCs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styleId="NoSpacing">
    <w:name w:val="No Spacing"/>
    <w:link w:val="NoSpacingChar"/>
    <w:uiPriority w:val="1"/>
    <w:qFormat/>
    <w:rsid w:val="008C3DF7"/>
    <w:pPr>
      <w:spacing w:after="0"/>
    </w:pPr>
    <w:rPr>
      <w:rFonts w:eastAsiaTheme="minorEastAsia"/>
      <w:sz w:val="22"/>
      <w:szCs w:val="22"/>
    </w:rPr>
  </w:style>
  <w:style w:type="character" w:customStyle="1" w:styleId="NoSpacingChar">
    <w:name w:val="No Spacing Char"/>
    <w:basedOn w:val="DefaultParagraphFont"/>
    <w:link w:val="NoSpacing"/>
    <w:uiPriority w:val="1"/>
    <w:rsid w:val="008C3DF7"/>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