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charts/chart1.xml" ContentType="application/vnd.openxmlformats-officedocument.drawingml.chart+xml"/>
  <Override PartName="/word/document.xml" ContentType="application/vnd.openxmlformats-officedocument.wordprocessingml.document.main+xml"/>
  <Override PartName="/word/embeddings/Microsoft_Office_Excel_Worksheet1.xlsx" ContentType="application/vnd.openxmlformats-officedocument.spreadsheetml.sheet"/>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B1A5F" w:rsidRPr="00684E35" w:rsidP="00684E35">
      <w:pPr>
        <w:rPr>
          <w:rFonts w:ascii="Verdana" w:hAnsi="Verdana" w:cs="Calibri"/>
          <w:b/>
          <w:bCs/>
          <w:sz w:val="28"/>
          <w:szCs w:val="28"/>
        </w:rPr>
      </w:pPr>
      <w:r w:rsidRPr="00684E35">
        <w:rPr>
          <w:rFonts w:ascii="Verdana" w:hAnsi="Verdana" w:cs="Calibri"/>
          <w:b/>
          <w:bCs/>
          <w:sz w:val="28"/>
          <w:szCs w:val="28"/>
        </w:rPr>
        <w:t xml:space="preserve">Written evidence </w:t>
      </w:r>
      <w:r w:rsidRPr="00684E35" w:rsidR="00684E35">
        <w:rPr>
          <w:rFonts w:ascii="Verdana" w:hAnsi="Verdana" w:cs="Calibri"/>
          <w:b/>
          <w:bCs/>
          <w:sz w:val="28"/>
          <w:szCs w:val="28"/>
        </w:rPr>
        <w:t xml:space="preserve">from </w:t>
      </w:r>
      <w:r w:rsidRPr="00684E35">
        <w:rPr>
          <w:rFonts w:ascii="Verdana" w:hAnsi="Verdana" w:cs="Calibri"/>
          <w:b/>
          <w:bCs/>
          <w:sz w:val="28"/>
          <w:szCs w:val="28"/>
        </w:rPr>
        <w:t xml:space="preserve">Professor Hannah Bows </w:t>
      </w:r>
      <w:r>
        <w:rPr>
          <w:rStyle w:val="FootnoteReference"/>
          <w:rFonts w:ascii="Verdana" w:hAnsi="Verdana" w:cs="Calibri"/>
          <w:b/>
          <w:bCs/>
          <w:sz w:val="28"/>
          <w:szCs w:val="28"/>
        </w:rPr>
        <w:footnoteReference w:id="2"/>
      </w:r>
      <w:r w:rsidRPr="00684E35" w:rsidR="00DF3287">
        <w:rPr>
          <w:rFonts w:ascii="Verdana" w:hAnsi="Verdana" w:cs="Calibri"/>
          <w:b/>
          <w:bCs/>
          <w:sz w:val="28"/>
          <w:szCs w:val="28"/>
        </w:rPr>
        <w:t>,</w:t>
      </w:r>
      <w:r w:rsidRPr="00684E35">
        <w:rPr>
          <w:rFonts w:ascii="Verdana" w:hAnsi="Verdana" w:cs="Calibri"/>
          <w:b/>
          <w:bCs/>
          <w:sz w:val="28"/>
          <w:szCs w:val="28"/>
        </w:rPr>
        <w:t xml:space="preserve"> Dr Dominic Wil</w:t>
      </w:r>
      <w:r w:rsidRPr="00684E35" w:rsidR="00677F95">
        <w:rPr>
          <w:rFonts w:ascii="Verdana" w:hAnsi="Verdana" w:cs="Calibri"/>
          <w:b/>
          <w:bCs/>
          <w:sz w:val="28"/>
          <w:szCs w:val="28"/>
        </w:rPr>
        <w:t>l</w:t>
      </w:r>
      <w:r w:rsidRPr="00684E35">
        <w:rPr>
          <w:rFonts w:ascii="Verdana" w:hAnsi="Verdana" w:cs="Calibri"/>
          <w:b/>
          <w:bCs/>
          <w:sz w:val="28"/>
          <w:szCs w:val="28"/>
        </w:rPr>
        <w:t>mot</w:t>
      </w:r>
      <w:r w:rsidRPr="00684E35" w:rsidR="004E5356">
        <w:rPr>
          <w:rFonts w:ascii="Verdana" w:hAnsi="Verdana" w:cs="Calibri"/>
          <w:b/>
          <w:bCs/>
          <w:sz w:val="28"/>
          <w:szCs w:val="28"/>
        </w:rPr>
        <w:t>t</w:t>
      </w:r>
      <w:r>
        <w:rPr>
          <w:rStyle w:val="FootnoteReference"/>
          <w:rFonts w:ascii="Verdana" w:hAnsi="Verdana" w:cs="Calibri"/>
          <w:b/>
          <w:bCs/>
          <w:sz w:val="28"/>
          <w:szCs w:val="28"/>
        </w:rPr>
        <w:footnoteReference w:id="3"/>
      </w:r>
      <w:r w:rsidRPr="00684E35" w:rsidR="00DF3287">
        <w:rPr>
          <w:rFonts w:ascii="Verdana" w:hAnsi="Verdana" w:cs="Calibri"/>
          <w:b/>
          <w:bCs/>
          <w:sz w:val="28"/>
          <w:szCs w:val="28"/>
        </w:rPr>
        <w:t xml:space="preserve"> &amp; Professor Philip Hyland</w:t>
      </w:r>
      <w:r>
        <w:rPr>
          <w:rStyle w:val="FootnoteReference"/>
          <w:rFonts w:ascii="Verdana" w:hAnsi="Verdana" w:cs="Calibri"/>
          <w:b/>
          <w:bCs/>
          <w:sz w:val="28"/>
          <w:szCs w:val="28"/>
        </w:rPr>
        <w:footnoteReference w:id="4"/>
      </w:r>
    </w:p>
    <w:p w:rsidR="00AB1A5F" w:rsidRPr="00684E35" w:rsidP="00822B63">
      <w:pPr>
        <w:jc w:val="both"/>
        <w:rPr>
          <w:rFonts w:ascii="Verdana" w:hAnsi="Verdana" w:cs="Calibri"/>
          <w:sz w:val="22"/>
          <w:szCs w:val="22"/>
        </w:rPr>
      </w:pPr>
    </w:p>
    <w:p w:rsidR="00AB1A5F" w:rsidRPr="00684E35" w:rsidP="00822B63">
      <w:pPr>
        <w:jc w:val="both"/>
        <w:rPr>
          <w:rFonts w:ascii="Verdana" w:hAnsi="Verdana" w:cs="Calibri"/>
          <w:b/>
          <w:bCs/>
          <w:sz w:val="22"/>
          <w:szCs w:val="22"/>
        </w:rPr>
      </w:pPr>
      <w:r w:rsidRPr="00684E35">
        <w:rPr>
          <w:rFonts w:ascii="Verdana" w:hAnsi="Verdana" w:cs="Calibri"/>
          <w:b/>
          <w:bCs/>
          <w:sz w:val="22"/>
          <w:szCs w:val="22"/>
        </w:rPr>
        <w:t>About this submission</w:t>
      </w:r>
    </w:p>
    <w:p w:rsidR="00AB1A5F" w:rsidRPr="00684E35" w:rsidP="00822B63">
      <w:pPr>
        <w:jc w:val="both"/>
        <w:rPr>
          <w:rFonts w:ascii="Verdana" w:hAnsi="Verdana" w:cs="Calibri"/>
          <w:sz w:val="22"/>
          <w:szCs w:val="22"/>
        </w:rPr>
      </w:pPr>
    </w:p>
    <w:p w:rsidR="00AB1A5F" w:rsidRPr="00684E35" w:rsidP="00822B63">
      <w:pPr>
        <w:jc w:val="both"/>
        <w:rPr>
          <w:rFonts w:ascii="Verdana" w:hAnsi="Verdana" w:cs="Calibri"/>
          <w:sz w:val="22"/>
          <w:szCs w:val="22"/>
        </w:rPr>
      </w:pPr>
      <w:r w:rsidRPr="00684E35">
        <w:rPr>
          <w:rFonts w:ascii="Verdana" w:hAnsi="Verdana" w:cs="Calibri"/>
          <w:sz w:val="22"/>
          <w:szCs w:val="22"/>
        </w:rPr>
        <w:t>This submission presents findings from a nationally representative survey examining experiences of jury service and its emotional and psychological impact.</w:t>
      </w:r>
    </w:p>
    <w:p w:rsidR="00AB1A5F" w:rsidRPr="00684E35" w:rsidP="00822B63">
      <w:pPr>
        <w:jc w:val="both"/>
        <w:rPr>
          <w:rFonts w:ascii="Verdana" w:hAnsi="Verdana" w:cs="Calibri"/>
          <w:sz w:val="22"/>
          <w:szCs w:val="22"/>
        </w:rPr>
      </w:pPr>
    </w:p>
    <w:p w:rsidR="00AB1A5F" w:rsidRPr="00684E35" w:rsidP="00822B63">
      <w:pPr>
        <w:jc w:val="both"/>
        <w:rPr>
          <w:rFonts w:ascii="Verdana" w:hAnsi="Verdana" w:cs="Calibri"/>
          <w:sz w:val="22"/>
          <w:szCs w:val="22"/>
        </w:rPr>
      </w:pPr>
      <w:r w:rsidRPr="00684E35">
        <w:rPr>
          <w:rFonts w:ascii="Verdana" w:hAnsi="Verdana" w:cs="Calibri"/>
          <w:sz w:val="22"/>
          <w:szCs w:val="22"/>
        </w:rPr>
        <w:t xml:space="preserve">The survey was conducted by YouGov, who were commissioned by the authors of this paper. A total of </w:t>
      </w:r>
      <w:r w:rsidRPr="00684E35">
        <w:rPr>
          <w:rFonts w:ascii="Verdana" w:hAnsi="Verdana" w:cs="Calibri"/>
          <w:b/>
          <w:bCs/>
          <w:sz w:val="22"/>
          <w:szCs w:val="22"/>
        </w:rPr>
        <w:t>2,015 adults</w:t>
      </w:r>
      <w:r w:rsidRPr="00684E35">
        <w:rPr>
          <w:rFonts w:ascii="Verdana" w:hAnsi="Verdana" w:cs="Calibri"/>
          <w:sz w:val="22"/>
          <w:szCs w:val="22"/>
        </w:rPr>
        <w:t xml:space="preserve"> in Great Britain participated in the survey. The data were weighted by YouGov to be representative of the adult population of Great Britain. Of the full sample, </w:t>
      </w:r>
      <w:r w:rsidRPr="00684E35">
        <w:rPr>
          <w:rFonts w:ascii="Verdana" w:hAnsi="Verdana" w:cs="Calibri"/>
          <w:b/>
          <w:bCs/>
          <w:sz w:val="22"/>
          <w:szCs w:val="22"/>
        </w:rPr>
        <w:t>311 respondents</w:t>
      </w:r>
      <w:r w:rsidRPr="00684E35">
        <w:rPr>
          <w:rFonts w:ascii="Verdana" w:hAnsi="Verdana" w:cs="Calibri"/>
          <w:sz w:val="22"/>
          <w:szCs w:val="22"/>
        </w:rPr>
        <w:t xml:space="preserve"> had previously served as a juror in a criminal trial and were asked a series of questions about their experiences of jury service. </w:t>
      </w:r>
    </w:p>
    <w:p w:rsidR="00AB1A5F" w:rsidRPr="00684E35" w:rsidP="00822B63">
      <w:pPr>
        <w:jc w:val="both"/>
        <w:rPr>
          <w:rFonts w:ascii="Verdana" w:hAnsi="Verdana" w:cs="Calibri"/>
          <w:sz w:val="22"/>
          <w:szCs w:val="22"/>
        </w:rPr>
      </w:pPr>
    </w:p>
    <w:p w:rsidR="00AB1A5F" w:rsidRPr="00684E35" w:rsidP="00822B63">
      <w:pPr>
        <w:jc w:val="both"/>
        <w:rPr>
          <w:rFonts w:ascii="Verdana" w:hAnsi="Verdana" w:cs="Calibri"/>
          <w:sz w:val="22"/>
          <w:szCs w:val="22"/>
        </w:rPr>
      </w:pPr>
      <w:r w:rsidRPr="00684E35">
        <w:rPr>
          <w:rFonts w:ascii="Verdana" w:hAnsi="Verdana" w:cs="Calibri"/>
          <w:sz w:val="22"/>
          <w:szCs w:val="22"/>
        </w:rPr>
        <w:t>That means we have a survey of 311 people who have served as jurors. Our survey questions then focused on the health and wellbeing of those jurors and the impacts of their service. We were particularly interested in whether personal experience of violence or sexual harm was correlated with poorer self-reported mental health or wellbeing impacts when serving on those types of cases.</w:t>
      </w:r>
    </w:p>
    <w:p w:rsidR="00AB1A5F" w:rsidRPr="00684E35" w:rsidP="00822B63">
      <w:pPr>
        <w:jc w:val="both"/>
        <w:rPr>
          <w:rFonts w:ascii="Verdana" w:hAnsi="Verdana" w:cs="Calibri"/>
          <w:sz w:val="22"/>
          <w:szCs w:val="22"/>
        </w:rPr>
      </w:pPr>
    </w:p>
    <w:p w:rsidR="00AB1A5F" w:rsidRPr="00684E35" w:rsidP="00822B63">
      <w:pPr>
        <w:jc w:val="both"/>
        <w:rPr>
          <w:rFonts w:ascii="Verdana" w:hAnsi="Verdana" w:cs="Calibri"/>
          <w:sz w:val="22"/>
          <w:szCs w:val="22"/>
        </w:rPr>
      </w:pPr>
      <w:r w:rsidRPr="00684E35">
        <w:rPr>
          <w:rFonts w:ascii="Verdana" w:hAnsi="Verdana" w:cs="Calibri"/>
          <w:sz w:val="22"/>
          <w:szCs w:val="22"/>
        </w:rPr>
        <w:t>The findings are particularly relevant to the Committee's question:</w:t>
      </w:r>
    </w:p>
    <w:p w:rsidR="00AB1A5F" w:rsidRPr="00684E35" w:rsidP="00822B63">
      <w:pPr>
        <w:jc w:val="both"/>
        <w:rPr>
          <w:rFonts w:ascii="Verdana" w:hAnsi="Verdana" w:cs="Calibri"/>
          <w:sz w:val="22"/>
          <w:szCs w:val="22"/>
        </w:rPr>
      </w:pPr>
    </w:p>
    <w:p w:rsidR="00AB1A5F" w:rsidRPr="00684E35" w:rsidP="00822B63">
      <w:pPr>
        <w:jc w:val="both"/>
        <w:rPr>
          <w:rFonts w:ascii="Verdana" w:hAnsi="Verdana" w:cs="Calibri"/>
          <w:i/>
          <w:iCs/>
          <w:sz w:val="22"/>
          <w:szCs w:val="22"/>
        </w:rPr>
      </w:pPr>
      <w:r w:rsidRPr="00684E35">
        <w:rPr>
          <w:rFonts w:ascii="Verdana" w:hAnsi="Verdana" w:cs="Calibri"/>
          <w:i/>
          <w:iCs/>
          <w:sz w:val="22"/>
          <w:szCs w:val="22"/>
        </w:rPr>
        <w:t>What health and/or mental health impact does the experience of being a juror have on people?</w:t>
      </w:r>
    </w:p>
    <w:p w:rsidR="00AB1A5F" w:rsidRPr="00684E35" w:rsidP="00822B63">
      <w:pPr>
        <w:jc w:val="both"/>
        <w:rPr>
          <w:rFonts w:ascii="Verdana" w:hAnsi="Verdana" w:cs="Calibri"/>
          <w:sz w:val="22"/>
          <w:szCs w:val="22"/>
        </w:rPr>
      </w:pPr>
    </w:p>
    <w:p w:rsidR="00AB1A5F" w:rsidRPr="00684E35" w:rsidP="00822B63">
      <w:pPr>
        <w:jc w:val="both"/>
        <w:rPr>
          <w:rFonts w:ascii="Verdana" w:hAnsi="Verdana" w:cs="Calibri"/>
          <w:sz w:val="22"/>
          <w:szCs w:val="22"/>
        </w:rPr>
      </w:pPr>
      <w:r w:rsidRPr="00684E35">
        <w:rPr>
          <w:rFonts w:ascii="Verdana" w:hAnsi="Verdana" w:cs="Calibri"/>
          <w:sz w:val="22"/>
          <w:szCs w:val="22"/>
        </w:rPr>
        <w:t>They also have implications for the nature and availability of support for jurors before, during and following jury service.</w:t>
      </w:r>
    </w:p>
    <w:p w:rsidR="00AB1A5F" w:rsidRPr="00684E35" w:rsidP="00822B63">
      <w:pPr>
        <w:jc w:val="both"/>
        <w:rPr>
          <w:rFonts w:ascii="Verdana" w:hAnsi="Verdana" w:cs="Calibri"/>
          <w:sz w:val="22"/>
          <w:szCs w:val="22"/>
        </w:rPr>
      </w:pPr>
    </w:p>
    <w:p w:rsidR="00AB1A5F" w:rsidRPr="00684E35" w:rsidP="00822B63">
      <w:pPr>
        <w:jc w:val="both"/>
        <w:rPr>
          <w:rFonts w:ascii="Verdana" w:hAnsi="Verdana" w:cs="Calibri"/>
          <w:b/>
          <w:bCs/>
          <w:sz w:val="22"/>
          <w:szCs w:val="22"/>
        </w:rPr>
      </w:pPr>
      <w:r w:rsidRPr="00684E35">
        <w:rPr>
          <w:rFonts w:ascii="Verdana" w:hAnsi="Verdana" w:cs="Calibri"/>
          <w:b/>
          <w:bCs/>
          <w:sz w:val="22"/>
          <w:szCs w:val="22"/>
        </w:rPr>
        <w:t>Summary of key findings</w:t>
      </w:r>
    </w:p>
    <w:p w:rsidR="00AB1A5F" w:rsidRPr="00684E35" w:rsidP="00822B63">
      <w:pPr>
        <w:jc w:val="both"/>
        <w:rPr>
          <w:rFonts w:ascii="Verdana" w:hAnsi="Verdana" w:cs="Calibri"/>
          <w:sz w:val="22"/>
          <w:szCs w:val="22"/>
        </w:rPr>
      </w:pPr>
    </w:p>
    <w:p w:rsidR="00AB1A5F" w:rsidRPr="00684E35" w:rsidP="00822B63">
      <w:pPr>
        <w:jc w:val="both"/>
        <w:rPr>
          <w:rFonts w:ascii="Verdana" w:hAnsi="Verdana" w:cs="Calibri"/>
          <w:sz w:val="22"/>
          <w:szCs w:val="22"/>
        </w:rPr>
      </w:pPr>
      <w:r w:rsidRPr="00684E35">
        <w:rPr>
          <w:rFonts w:ascii="Verdana" w:hAnsi="Verdana" w:cs="Calibri"/>
          <w:sz w:val="22"/>
          <w:szCs w:val="22"/>
        </w:rPr>
        <w:t xml:space="preserve">The survey indicates that, while most former jurors do not report experiencing severe distress </w:t>
      </w:r>
      <w:r w:rsidRPr="00684E35">
        <w:rPr>
          <w:rFonts w:ascii="Verdana" w:hAnsi="Verdana" w:cs="Calibri"/>
          <w:sz w:val="22"/>
          <w:szCs w:val="22"/>
        </w:rPr>
        <w:t>as a result of</w:t>
      </w:r>
      <w:r w:rsidRPr="00684E35">
        <w:rPr>
          <w:rFonts w:ascii="Verdana" w:hAnsi="Verdana" w:cs="Calibri"/>
          <w:sz w:val="22"/>
          <w:szCs w:val="22"/>
        </w:rPr>
        <w:t xml:space="preserve"> jury service, a substantial minority do.</w:t>
      </w:r>
    </w:p>
    <w:p w:rsidR="00AB1A5F" w:rsidRPr="00684E35" w:rsidP="00822B63">
      <w:pPr>
        <w:jc w:val="both"/>
        <w:rPr>
          <w:rFonts w:ascii="Verdana" w:hAnsi="Verdana" w:cs="Calibri"/>
          <w:sz w:val="22"/>
          <w:szCs w:val="22"/>
        </w:rPr>
      </w:pPr>
    </w:p>
    <w:p w:rsidR="00AB1A5F" w:rsidRPr="00684E35" w:rsidP="00822B63">
      <w:pPr>
        <w:jc w:val="both"/>
        <w:rPr>
          <w:rFonts w:ascii="Verdana" w:hAnsi="Verdana" w:cs="Calibri"/>
          <w:sz w:val="22"/>
          <w:szCs w:val="22"/>
        </w:rPr>
      </w:pPr>
      <w:r w:rsidRPr="00684E35">
        <w:rPr>
          <w:rFonts w:ascii="Verdana" w:hAnsi="Verdana" w:cs="Calibri"/>
          <w:sz w:val="22"/>
          <w:szCs w:val="22"/>
        </w:rPr>
        <w:t>Among respondents who had served on a criminal jury:</w:t>
      </w:r>
    </w:p>
    <w:p w:rsidR="00AB1A5F" w:rsidRPr="00684E35" w:rsidP="00822B63">
      <w:pPr>
        <w:jc w:val="both"/>
        <w:rPr>
          <w:rFonts w:ascii="Verdana" w:hAnsi="Verdana" w:cs="Calibri"/>
          <w:sz w:val="22"/>
          <w:szCs w:val="22"/>
        </w:rPr>
      </w:pPr>
    </w:p>
    <w:p w:rsidR="00AB1A5F" w:rsidRPr="00684E35" w:rsidP="00822B63">
      <w:pPr>
        <w:pStyle w:val="ListParagraph"/>
        <w:numPr>
          <w:ilvl w:val="0"/>
          <w:numId w:val="1"/>
        </w:numPr>
        <w:jc w:val="both"/>
        <w:rPr>
          <w:rFonts w:ascii="Verdana" w:hAnsi="Verdana" w:cs="Calibri"/>
          <w:sz w:val="22"/>
          <w:szCs w:val="22"/>
        </w:rPr>
      </w:pPr>
      <w:r w:rsidRPr="00684E35">
        <w:rPr>
          <w:rFonts w:ascii="Verdana" w:hAnsi="Verdana" w:cs="Calibri"/>
          <w:sz w:val="22"/>
          <w:szCs w:val="22"/>
        </w:rPr>
        <w:t>10.5% reported being severely upset or distressed during their most recent trial;</w:t>
      </w:r>
    </w:p>
    <w:p w:rsidR="00AB1A5F" w:rsidRPr="00684E35" w:rsidP="00822B63">
      <w:pPr>
        <w:pStyle w:val="ListParagraph"/>
        <w:numPr>
          <w:ilvl w:val="0"/>
          <w:numId w:val="1"/>
        </w:numPr>
        <w:jc w:val="both"/>
        <w:rPr>
          <w:rFonts w:ascii="Verdana" w:hAnsi="Verdana" w:cs="Calibri"/>
          <w:sz w:val="22"/>
          <w:szCs w:val="22"/>
        </w:rPr>
      </w:pPr>
      <w:r w:rsidRPr="00684E35">
        <w:rPr>
          <w:rFonts w:ascii="Verdana" w:hAnsi="Verdana" w:cs="Calibri"/>
          <w:sz w:val="22"/>
          <w:szCs w:val="22"/>
        </w:rPr>
        <w:t>10.9% reported severe upset or distress immediately after the trial;</w:t>
      </w:r>
    </w:p>
    <w:p w:rsidR="00AB1A5F" w:rsidRPr="00684E35" w:rsidP="00822B63">
      <w:pPr>
        <w:pStyle w:val="ListParagraph"/>
        <w:numPr>
          <w:ilvl w:val="0"/>
          <w:numId w:val="1"/>
        </w:numPr>
        <w:jc w:val="both"/>
        <w:rPr>
          <w:rFonts w:ascii="Verdana" w:hAnsi="Verdana" w:cs="Calibri"/>
          <w:sz w:val="22"/>
          <w:szCs w:val="22"/>
        </w:rPr>
      </w:pPr>
      <w:r w:rsidRPr="00684E35">
        <w:rPr>
          <w:rFonts w:ascii="Verdana" w:hAnsi="Verdana" w:cs="Calibri"/>
          <w:sz w:val="22"/>
          <w:szCs w:val="22"/>
        </w:rPr>
        <w:t>5.4% reported severe distress continuing for around a week after the trial;</w:t>
      </w:r>
    </w:p>
    <w:p w:rsidR="00AB1A5F" w:rsidRPr="00684E35" w:rsidP="00822B63">
      <w:pPr>
        <w:pStyle w:val="ListParagraph"/>
        <w:numPr>
          <w:ilvl w:val="0"/>
          <w:numId w:val="1"/>
        </w:numPr>
        <w:jc w:val="both"/>
        <w:rPr>
          <w:rFonts w:ascii="Verdana" w:hAnsi="Verdana" w:cs="Calibri"/>
          <w:sz w:val="22"/>
          <w:szCs w:val="22"/>
        </w:rPr>
      </w:pPr>
      <w:r w:rsidRPr="00684E35">
        <w:rPr>
          <w:rFonts w:ascii="Verdana" w:hAnsi="Verdana" w:cs="Calibri"/>
          <w:sz w:val="22"/>
          <w:szCs w:val="22"/>
        </w:rPr>
        <w:t>3.8% reported severe distress lasting several weeks;</w:t>
      </w:r>
    </w:p>
    <w:p w:rsidR="00AB1A5F" w:rsidRPr="00684E35" w:rsidP="00822B63">
      <w:pPr>
        <w:pStyle w:val="ListParagraph"/>
        <w:numPr>
          <w:ilvl w:val="0"/>
          <w:numId w:val="1"/>
        </w:numPr>
        <w:jc w:val="both"/>
        <w:rPr>
          <w:rFonts w:ascii="Verdana" w:hAnsi="Verdana" w:cs="Calibri"/>
          <w:sz w:val="22"/>
          <w:szCs w:val="22"/>
        </w:rPr>
      </w:pPr>
      <w:r w:rsidRPr="00684E35">
        <w:rPr>
          <w:rFonts w:ascii="Verdana" w:hAnsi="Verdana" w:cs="Calibri"/>
          <w:sz w:val="22"/>
          <w:szCs w:val="22"/>
        </w:rPr>
        <w:t>2.7% reported severe distress lasting several months; and</w:t>
      </w:r>
    </w:p>
    <w:p w:rsidR="00AB1A5F" w:rsidRPr="00684E35" w:rsidP="00822B63">
      <w:pPr>
        <w:pStyle w:val="ListParagraph"/>
        <w:numPr>
          <w:ilvl w:val="0"/>
          <w:numId w:val="1"/>
        </w:numPr>
        <w:jc w:val="both"/>
        <w:rPr>
          <w:rFonts w:ascii="Verdana" w:hAnsi="Verdana" w:cs="Calibri"/>
          <w:sz w:val="22"/>
          <w:szCs w:val="22"/>
        </w:rPr>
      </w:pPr>
      <w:r w:rsidRPr="00684E35">
        <w:rPr>
          <w:rFonts w:ascii="Verdana" w:hAnsi="Verdana" w:cs="Calibri"/>
          <w:sz w:val="22"/>
          <w:szCs w:val="22"/>
        </w:rPr>
        <w:t>1.3% reported severe distress continuing for more than a year.</w:t>
      </w:r>
    </w:p>
    <w:p w:rsidR="00AB1A5F" w:rsidRPr="00684E35" w:rsidP="00822B63">
      <w:pPr>
        <w:jc w:val="both"/>
        <w:rPr>
          <w:rFonts w:ascii="Verdana" w:hAnsi="Verdana" w:cs="Calibri"/>
          <w:sz w:val="22"/>
          <w:szCs w:val="22"/>
        </w:rPr>
      </w:pPr>
    </w:p>
    <w:p w:rsidR="00AB1A5F" w:rsidRPr="00684E35" w:rsidP="00822B63">
      <w:pPr>
        <w:jc w:val="both"/>
        <w:rPr>
          <w:rFonts w:ascii="Verdana" w:hAnsi="Verdana" w:cs="Calibri"/>
          <w:sz w:val="22"/>
          <w:szCs w:val="22"/>
        </w:rPr>
      </w:pPr>
      <w:r w:rsidRPr="00684E35">
        <w:rPr>
          <w:rFonts w:ascii="Verdana" w:hAnsi="Verdana" w:cs="Calibri"/>
          <w:sz w:val="22"/>
          <w:szCs w:val="22"/>
        </w:rPr>
        <w:t>In contrast, 67.3% reported that their jury service had not made them severely upset or distressed at any point.</w:t>
      </w:r>
    </w:p>
    <w:p w:rsidR="00AB1A5F" w:rsidRPr="00684E35" w:rsidP="00822B63">
      <w:pPr>
        <w:jc w:val="both"/>
        <w:rPr>
          <w:rFonts w:ascii="Verdana" w:hAnsi="Verdana" w:cs="Calibri"/>
          <w:sz w:val="22"/>
          <w:szCs w:val="22"/>
        </w:rPr>
      </w:pPr>
    </w:p>
    <w:p w:rsidR="00AB1A5F" w:rsidRPr="00684E35" w:rsidP="00822B63">
      <w:pPr>
        <w:jc w:val="both"/>
        <w:rPr>
          <w:rFonts w:ascii="Verdana" w:hAnsi="Verdana" w:cs="Calibri"/>
          <w:sz w:val="22"/>
          <w:szCs w:val="22"/>
        </w:rPr>
      </w:pPr>
      <w:r w:rsidRPr="00684E35">
        <w:rPr>
          <w:rFonts w:ascii="Verdana" w:hAnsi="Verdana" w:cs="Calibri"/>
          <w:sz w:val="22"/>
          <w:szCs w:val="22"/>
        </w:rPr>
        <w:t xml:space="preserve">Respondents could select more than one response to this </w:t>
      </w:r>
      <w:r w:rsidRPr="00684E35">
        <w:rPr>
          <w:rFonts w:ascii="Verdana" w:hAnsi="Verdana" w:cs="Calibri"/>
          <w:sz w:val="22"/>
          <w:szCs w:val="22"/>
        </w:rPr>
        <w:t>question</w:t>
      </w:r>
      <w:r w:rsidRPr="00684E35">
        <w:rPr>
          <w:rFonts w:ascii="Verdana" w:hAnsi="Verdana" w:cs="Calibri"/>
          <w:sz w:val="22"/>
          <w:szCs w:val="22"/>
        </w:rPr>
        <w:t xml:space="preserve"> and these figures should therefore not be aggregated.</w:t>
      </w:r>
    </w:p>
    <w:p w:rsidR="00AB1A5F" w:rsidRPr="00684E35" w:rsidP="00822B63">
      <w:pPr>
        <w:jc w:val="both"/>
        <w:rPr>
          <w:rFonts w:ascii="Verdana" w:hAnsi="Verdana" w:cs="Calibri"/>
          <w:sz w:val="22"/>
          <w:szCs w:val="22"/>
        </w:rPr>
      </w:pPr>
    </w:p>
    <w:p w:rsidR="00AB1A5F" w:rsidRPr="00684E35" w:rsidP="00822B63">
      <w:pPr>
        <w:jc w:val="both"/>
        <w:rPr>
          <w:rFonts w:ascii="Verdana" w:hAnsi="Verdana" w:cs="Calibri"/>
          <w:sz w:val="22"/>
          <w:szCs w:val="22"/>
        </w:rPr>
      </w:pPr>
      <w:r w:rsidRPr="00684E35">
        <w:rPr>
          <w:rFonts w:ascii="Verdana" w:hAnsi="Verdana" w:cs="Calibri"/>
          <w:sz w:val="22"/>
          <w:szCs w:val="22"/>
        </w:rPr>
        <w:t>The findings suggest an important distinction between short-term distress associated with jury service, which is experienced by a significant minority, and persistent severe distress, which is less common but nevertheless experienced by some former jurors.</w:t>
      </w:r>
    </w:p>
    <w:p w:rsidR="00AB1A5F" w:rsidRPr="00684E35" w:rsidP="00822B63">
      <w:pPr>
        <w:jc w:val="both"/>
        <w:rPr>
          <w:rFonts w:ascii="Verdana" w:hAnsi="Verdana" w:cs="Calibri"/>
          <w:sz w:val="22"/>
          <w:szCs w:val="22"/>
        </w:rPr>
      </w:pPr>
    </w:p>
    <w:p w:rsidR="00AB1A5F" w:rsidRPr="00684E35" w:rsidP="00822B63">
      <w:pPr>
        <w:jc w:val="both"/>
        <w:rPr>
          <w:rFonts w:ascii="Verdana" w:hAnsi="Verdana" w:cs="Calibri"/>
          <w:sz w:val="22"/>
          <w:szCs w:val="22"/>
          <w:u w:val="single"/>
        </w:rPr>
      </w:pPr>
      <w:r w:rsidRPr="00684E35">
        <w:rPr>
          <w:rFonts w:ascii="Verdana" w:hAnsi="Verdana" w:cs="Calibri"/>
          <w:sz w:val="22"/>
          <w:szCs w:val="22"/>
          <w:u w:val="single"/>
        </w:rPr>
        <w:t>Wider psychological and behavioural effects</w:t>
      </w:r>
    </w:p>
    <w:p w:rsidR="00AB1A5F" w:rsidRPr="00684E35" w:rsidP="00822B63">
      <w:pPr>
        <w:jc w:val="both"/>
        <w:rPr>
          <w:rFonts w:ascii="Verdana" w:hAnsi="Verdana" w:cs="Calibri"/>
          <w:sz w:val="22"/>
          <w:szCs w:val="22"/>
        </w:rPr>
      </w:pPr>
    </w:p>
    <w:p w:rsidR="00AB1A5F" w:rsidRPr="00684E35" w:rsidP="00822B63">
      <w:pPr>
        <w:jc w:val="both"/>
        <w:rPr>
          <w:rFonts w:ascii="Verdana" w:hAnsi="Verdana" w:cs="Calibri"/>
          <w:sz w:val="22"/>
          <w:szCs w:val="22"/>
        </w:rPr>
      </w:pPr>
      <w:r w:rsidRPr="00684E35">
        <w:rPr>
          <w:rFonts w:ascii="Verdana" w:hAnsi="Verdana" w:cs="Calibri"/>
          <w:sz w:val="22"/>
          <w:szCs w:val="22"/>
        </w:rPr>
        <w:t>Respondents who had served on a criminal jury were also asked whether they agreed or disagreed with a series of statements about the consequences of jury service.</w:t>
      </w:r>
    </w:p>
    <w:p w:rsidR="00AB1A5F" w:rsidRPr="00684E35" w:rsidP="00822B63">
      <w:pPr>
        <w:jc w:val="both"/>
        <w:rPr>
          <w:rFonts w:ascii="Verdana" w:hAnsi="Verdana" w:cs="Calibri"/>
          <w:sz w:val="22"/>
          <w:szCs w:val="22"/>
        </w:rPr>
      </w:pPr>
    </w:p>
    <w:p w:rsidR="00AB1A5F" w:rsidRPr="00684E35" w:rsidP="00822B63">
      <w:pPr>
        <w:jc w:val="both"/>
        <w:rPr>
          <w:rFonts w:ascii="Verdana" w:hAnsi="Verdana" w:cs="Calibri"/>
          <w:sz w:val="22"/>
          <w:szCs w:val="22"/>
        </w:rPr>
      </w:pPr>
      <w:r w:rsidRPr="00684E35">
        <w:rPr>
          <w:rFonts w:ascii="Verdana" w:hAnsi="Verdana" w:cs="Calibri"/>
          <w:sz w:val="22"/>
          <w:szCs w:val="22"/>
        </w:rPr>
        <w:t>The findings demonstrate a consistent minority reporting a range of adverse psychological and behavioural experiences:</w:t>
      </w:r>
    </w:p>
    <w:p w:rsidR="00AB1A5F" w:rsidRPr="00684E35" w:rsidP="00822B63">
      <w:pPr>
        <w:jc w:val="both"/>
        <w:rPr>
          <w:rFonts w:ascii="Verdana" w:hAnsi="Verdana" w:cs="Calibri"/>
          <w:sz w:val="22"/>
          <w:szCs w:val="22"/>
        </w:rPr>
      </w:pPr>
    </w:p>
    <w:p w:rsidR="00AB1A5F" w:rsidRPr="00684E35" w:rsidP="00822B63">
      <w:pPr>
        <w:jc w:val="both"/>
        <w:rPr>
          <w:rFonts w:ascii="Verdana" w:hAnsi="Verdana" w:cs="Calibri"/>
          <w:sz w:val="22"/>
          <w:szCs w:val="22"/>
        </w:rPr>
      </w:pPr>
      <w:r w:rsidRPr="00684E35">
        <w:rPr>
          <w:rFonts w:ascii="Verdana" w:hAnsi="Verdana" w:cs="Calibri"/>
          <w:noProof/>
          <w:sz w:val="22"/>
          <w:szCs w:val="22"/>
        </w:rPr>
        <w:drawing>
          <wp:inline distT="0" distB="0" distL="0" distR="0">
            <wp:extent cx="5486400" cy="3200400"/>
            <wp:effectExtent l="0" t="0" r="12700" b="12700"/>
            <wp:docPr id="177276207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AB1A5F" w:rsidRPr="00684E35" w:rsidP="00822B63">
      <w:pPr>
        <w:jc w:val="both"/>
        <w:rPr>
          <w:rFonts w:ascii="Verdana" w:hAnsi="Verdana" w:cs="Calibri"/>
          <w:sz w:val="22"/>
          <w:szCs w:val="22"/>
        </w:rPr>
      </w:pPr>
    </w:p>
    <w:p w:rsidR="00AB1A5F" w:rsidRPr="00684E35" w:rsidP="00822B63">
      <w:pPr>
        <w:jc w:val="both"/>
        <w:rPr>
          <w:rFonts w:ascii="Verdana" w:hAnsi="Verdana" w:cs="Calibri"/>
          <w:sz w:val="22"/>
          <w:szCs w:val="22"/>
        </w:rPr>
      </w:pPr>
    </w:p>
    <w:p w:rsidR="00AB1A5F" w:rsidRPr="00684E35" w:rsidP="00822B63">
      <w:pPr>
        <w:jc w:val="both"/>
        <w:rPr>
          <w:rFonts w:ascii="Verdana" w:hAnsi="Verdana" w:cs="Calibri"/>
          <w:sz w:val="22"/>
          <w:szCs w:val="22"/>
        </w:rPr>
      </w:pPr>
      <w:r w:rsidRPr="00684E35">
        <w:rPr>
          <w:rFonts w:ascii="Verdana" w:hAnsi="Verdana" w:cs="Calibri"/>
          <w:sz w:val="22"/>
          <w:szCs w:val="22"/>
        </w:rPr>
        <w:t>Our</w:t>
      </w:r>
      <w:r w:rsidRPr="00684E35">
        <w:rPr>
          <w:rFonts w:ascii="Verdana" w:hAnsi="Verdana" w:cs="Calibri"/>
          <w:sz w:val="22"/>
          <w:szCs w:val="22"/>
        </w:rPr>
        <w:t xml:space="preserve"> findings are significant because the effects of jury service cannot adequately be captured by asking only whether jurors experience severe or long-term distress. Across a range of indicators, approximately one in ten former jurors reported symptoms or behaviours associated with emotional distress following jury service.</w:t>
      </w:r>
    </w:p>
    <w:p w:rsidR="00AB1A5F" w:rsidRPr="00684E35" w:rsidP="00822B63">
      <w:pPr>
        <w:jc w:val="both"/>
        <w:rPr>
          <w:rFonts w:ascii="Verdana" w:hAnsi="Verdana" w:cs="Calibri"/>
          <w:sz w:val="22"/>
          <w:szCs w:val="22"/>
        </w:rPr>
      </w:pPr>
    </w:p>
    <w:p w:rsidR="00AB1A5F" w:rsidRPr="00684E35" w:rsidP="00822B63">
      <w:pPr>
        <w:jc w:val="both"/>
        <w:rPr>
          <w:rFonts w:ascii="Verdana" w:hAnsi="Verdana" w:cs="Calibri"/>
          <w:sz w:val="22"/>
          <w:szCs w:val="22"/>
        </w:rPr>
      </w:pPr>
      <w:r w:rsidRPr="00684E35">
        <w:rPr>
          <w:rFonts w:ascii="Verdana" w:hAnsi="Verdana" w:cs="Calibri"/>
          <w:sz w:val="22"/>
          <w:szCs w:val="22"/>
        </w:rPr>
        <w:t xml:space="preserve">At the same time, the findings should not be interpreted as suggesting that jury service </w:t>
      </w:r>
      <w:r w:rsidRPr="00684E35">
        <w:rPr>
          <w:rFonts w:ascii="Verdana" w:hAnsi="Verdana" w:cs="Calibri"/>
          <w:i/>
          <w:iCs/>
          <w:sz w:val="22"/>
          <w:szCs w:val="22"/>
        </w:rPr>
        <w:t>generally</w:t>
      </w:r>
      <w:r w:rsidRPr="00684E35">
        <w:rPr>
          <w:rFonts w:ascii="Verdana" w:hAnsi="Verdana" w:cs="Calibri"/>
          <w:sz w:val="22"/>
          <w:szCs w:val="22"/>
        </w:rPr>
        <w:t xml:space="preserve"> causes long-term psychological harm</w:t>
      </w:r>
      <w:r w:rsidRPr="00684E35" w:rsidR="00DD689A">
        <w:rPr>
          <w:rFonts w:ascii="Verdana" w:hAnsi="Verdana" w:cs="Calibri"/>
          <w:sz w:val="22"/>
          <w:szCs w:val="22"/>
        </w:rPr>
        <w:t>, as we did not find this in our study</w:t>
      </w:r>
      <w:r w:rsidRPr="00684E35">
        <w:rPr>
          <w:rFonts w:ascii="Verdana" w:hAnsi="Verdana" w:cs="Calibri"/>
          <w:sz w:val="22"/>
          <w:szCs w:val="22"/>
        </w:rPr>
        <w:t>. A majority disagreed with each of the individual statements above. Moreover, 25.5% of former jurors agreed with the statement that they had found their jury service distressing but did not believe that it had negatively affected them in the longer term.</w:t>
      </w:r>
    </w:p>
    <w:p w:rsidR="00AB1A5F" w:rsidRPr="00684E35" w:rsidP="00822B63">
      <w:pPr>
        <w:jc w:val="both"/>
        <w:rPr>
          <w:rFonts w:ascii="Verdana" w:hAnsi="Verdana" w:cs="Calibri"/>
          <w:sz w:val="22"/>
          <w:szCs w:val="22"/>
        </w:rPr>
      </w:pPr>
    </w:p>
    <w:p w:rsidR="00AB1A5F" w:rsidRPr="00684E35" w:rsidP="00822B63">
      <w:pPr>
        <w:jc w:val="both"/>
        <w:rPr>
          <w:rFonts w:ascii="Verdana" w:hAnsi="Verdana" w:cs="Calibri"/>
          <w:sz w:val="22"/>
          <w:szCs w:val="22"/>
        </w:rPr>
      </w:pPr>
      <w:r w:rsidRPr="00684E35">
        <w:rPr>
          <w:rFonts w:ascii="Verdana" w:hAnsi="Verdana" w:cs="Calibri"/>
          <w:sz w:val="22"/>
          <w:szCs w:val="22"/>
        </w:rPr>
        <w:t>The evidence therefore suggests that it is important to distinguish between distress, which appears to be a relatively common response to jury service for a minority of jurors, and enduring adverse impact.</w:t>
      </w:r>
      <w:r w:rsidRPr="00684E35" w:rsidR="001306A1">
        <w:rPr>
          <w:rFonts w:ascii="Verdana" w:hAnsi="Verdana" w:cs="Calibri"/>
          <w:sz w:val="22"/>
          <w:szCs w:val="22"/>
        </w:rPr>
        <w:t xml:space="preserve"> It is also important to bear in mind that experiencing stress – or even distress – is not always necessarily in and of itself something to be avoided, or fixed. </w:t>
      </w:r>
    </w:p>
    <w:p w:rsidR="00AB1A5F" w:rsidRPr="00684E35" w:rsidP="00822B63">
      <w:pPr>
        <w:jc w:val="both"/>
        <w:rPr>
          <w:rFonts w:ascii="Verdana" w:hAnsi="Verdana" w:cs="Calibri"/>
          <w:sz w:val="22"/>
          <w:szCs w:val="22"/>
        </w:rPr>
      </w:pPr>
    </w:p>
    <w:p w:rsidR="00AB1A5F" w:rsidRPr="00684E35" w:rsidP="00822B63">
      <w:pPr>
        <w:jc w:val="both"/>
        <w:rPr>
          <w:rFonts w:ascii="Verdana" w:hAnsi="Verdana" w:cs="Calibri"/>
          <w:sz w:val="22"/>
          <w:szCs w:val="22"/>
          <w:u w:val="single"/>
        </w:rPr>
      </w:pPr>
      <w:r w:rsidRPr="00684E35">
        <w:rPr>
          <w:rFonts w:ascii="Verdana" w:hAnsi="Verdana" w:cs="Calibri"/>
          <w:sz w:val="22"/>
          <w:szCs w:val="22"/>
          <w:u w:val="single"/>
        </w:rPr>
        <w:t>Nature of the cases on which jurors served</w:t>
      </w:r>
    </w:p>
    <w:p w:rsidR="00AB1A5F" w:rsidRPr="00684E35" w:rsidP="00822B63">
      <w:pPr>
        <w:jc w:val="both"/>
        <w:rPr>
          <w:rFonts w:ascii="Verdana" w:hAnsi="Verdana" w:cs="Calibri"/>
          <w:sz w:val="22"/>
          <w:szCs w:val="22"/>
        </w:rPr>
      </w:pPr>
    </w:p>
    <w:p w:rsidR="00AB1A5F" w:rsidRPr="00684E35" w:rsidP="00822B63">
      <w:pPr>
        <w:jc w:val="both"/>
        <w:rPr>
          <w:rFonts w:ascii="Verdana" w:hAnsi="Verdana" w:cs="Calibri"/>
          <w:sz w:val="22"/>
          <w:szCs w:val="22"/>
        </w:rPr>
      </w:pPr>
      <w:r w:rsidRPr="00684E35">
        <w:rPr>
          <w:rFonts w:ascii="Verdana" w:hAnsi="Verdana" w:cs="Calibri"/>
          <w:sz w:val="22"/>
          <w:szCs w:val="22"/>
        </w:rPr>
        <w:t>The nature of the material to which jurors are exposed is also relevant.</w:t>
      </w:r>
      <w:r w:rsidRPr="00684E35" w:rsidR="00DD689A">
        <w:rPr>
          <w:rFonts w:ascii="Verdana" w:hAnsi="Verdana" w:cs="Calibri"/>
          <w:sz w:val="22"/>
          <w:szCs w:val="22"/>
        </w:rPr>
        <w:t xml:space="preserve"> </w:t>
      </w:r>
      <w:r w:rsidRPr="00684E35">
        <w:rPr>
          <w:rFonts w:ascii="Verdana" w:hAnsi="Verdana" w:cs="Calibri"/>
          <w:sz w:val="22"/>
          <w:szCs w:val="22"/>
        </w:rPr>
        <w:t>Among respondents who had undertaken jury service:</w:t>
      </w:r>
    </w:p>
    <w:p w:rsidR="00AB1A5F" w:rsidRPr="00684E35" w:rsidP="00822B63">
      <w:pPr>
        <w:jc w:val="both"/>
        <w:rPr>
          <w:rFonts w:ascii="Verdana" w:hAnsi="Verdana" w:cs="Calibri"/>
          <w:sz w:val="22"/>
          <w:szCs w:val="22"/>
        </w:rPr>
      </w:pPr>
    </w:p>
    <w:p w:rsidR="00AB1A5F" w:rsidRPr="00684E35" w:rsidP="00822B63">
      <w:pPr>
        <w:pStyle w:val="ListParagraph"/>
        <w:numPr>
          <w:ilvl w:val="0"/>
          <w:numId w:val="2"/>
        </w:numPr>
        <w:jc w:val="both"/>
        <w:rPr>
          <w:rFonts w:ascii="Verdana" w:hAnsi="Verdana" w:cs="Calibri"/>
          <w:sz w:val="22"/>
          <w:szCs w:val="22"/>
        </w:rPr>
      </w:pPr>
      <w:r w:rsidRPr="00684E35">
        <w:rPr>
          <w:rFonts w:ascii="Verdana" w:hAnsi="Verdana" w:cs="Calibri"/>
          <w:sz w:val="22"/>
          <w:szCs w:val="22"/>
        </w:rPr>
        <w:t>31.5% reported serving on a violent crime case;</w:t>
      </w:r>
    </w:p>
    <w:p w:rsidR="00AB1A5F" w:rsidRPr="00684E35" w:rsidP="00822B63">
      <w:pPr>
        <w:pStyle w:val="ListParagraph"/>
        <w:numPr>
          <w:ilvl w:val="0"/>
          <w:numId w:val="2"/>
        </w:numPr>
        <w:jc w:val="both"/>
        <w:rPr>
          <w:rFonts w:ascii="Verdana" w:hAnsi="Verdana" w:cs="Calibri"/>
          <w:sz w:val="22"/>
          <w:szCs w:val="22"/>
        </w:rPr>
      </w:pPr>
      <w:r w:rsidRPr="00684E35">
        <w:rPr>
          <w:rFonts w:ascii="Verdana" w:hAnsi="Verdana" w:cs="Calibri"/>
          <w:sz w:val="22"/>
          <w:szCs w:val="22"/>
        </w:rPr>
        <w:t>20.7% on a sexual crime case;</w:t>
      </w:r>
    </w:p>
    <w:p w:rsidR="00AB1A5F" w:rsidRPr="00684E35" w:rsidP="00822B63">
      <w:pPr>
        <w:pStyle w:val="ListParagraph"/>
        <w:numPr>
          <w:ilvl w:val="0"/>
          <w:numId w:val="2"/>
        </w:numPr>
        <w:jc w:val="both"/>
        <w:rPr>
          <w:rFonts w:ascii="Verdana" w:hAnsi="Verdana" w:cs="Calibri"/>
          <w:sz w:val="22"/>
          <w:szCs w:val="22"/>
        </w:rPr>
      </w:pPr>
      <w:r w:rsidRPr="00684E35">
        <w:rPr>
          <w:rFonts w:ascii="Verdana" w:hAnsi="Verdana" w:cs="Calibri"/>
          <w:sz w:val="22"/>
          <w:szCs w:val="22"/>
        </w:rPr>
        <w:t>14.7% on a fraud or extortion case;</w:t>
      </w:r>
    </w:p>
    <w:p w:rsidR="00AB1A5F" w:rsidRPr="00684E35" w:rsidP="00822B63">
      <w:pPr>
        <w:pStyle w:val="ListParagraph"/>
        <w:numPr>
          <w:ilvl w:val="0"/>
          <w:numId w:val="2"/>
        </w:numPr>
        <w:jc w:val="both"/>
        <w:rPr>
          <w:rFonts w:ascii="Verdana" w:hAnsi="Verdana" w:cs="Calibri"/>
          <w:sz w:val="22"/>
          <w:szCs w:val="22"/>
        </w:rPr>
      </w:pPr>
      <w:r w:rsidRPr="00684E35">
        <w:rPr>
          <w:rFonts w:ascii="Verdana" w:hAnsi="Verdana" w:cs="Calibri"/>
          <w:sz w:val="22"/>
          <w:szCs w:val="22"/>
        </w:rPr>
        <w:t>13.8% on a property crime case; and</w:t>
      </w:r>
    </w:p>
    <w:p w:rsidR="00AB1A5F" w:rsidRPr="00684E35" w:rsidP="00822B63">
      <w:pPr>
        <w:pStyle w:val="ListParagraph"/>
        <w:numPr>
          <w:ilvl w:val="0"/>
          <w:numId w:val="2"/>
        </w:numPr>
        <w:jc w:val="both"/>
        <w:rPr>
          <w:rFonts w:ascii="Verdana" w:hAnsi="Verdana" w:cs="Calibri"/>
          <w:sz w:val="22"/>
          <w:szCs w:val="22"/>
        </w:rPr>
      </w:pPr>
      <w:r w:rsidRPr="00684E35">
        <w:rPr>
          <w:rFonts w:ascii="Verdana" w:hAnsi="Verdana" w:cs="Calibri"/>
          <w:sz w:val="22"/>
          <w:szCs w:val="22"/>
        </w:rPr>
        <w:t>1.9% on a terrorism case.</w:t>
      </w:r>
    </w:p>
    <w:p w:rsidR="00AB1A5F" w:rsidRPr="00684E35" w:rsidP="00822B63">
      <w:pPr>
        <w:jc w:val="both"/>
        <w:rPr>
          <w:rFonts w:ascii="Verdana" w:hAnsi="Verdana" w:cs="Calibri"/>
          <w:sz w:val="22"/>
          <w:szCs w:val="22"/>
        </w:rPr>
      </w:pPr>
    </w:p>
    <w:p w:rsidR="00AB1A5F" w:rsidRPr="00684E35" w:rsidP="00822B63">
      <w:pPr>
        <w:jc w:val="both"/>
        <w:rPr>
          <w:rFonts w:ascii="Verdana" w:hAnsi="Verdana" w:cs="Calibri"/>
          <w:sz w:val="22"/>
          <w:szCs w:val="22"/>
        </w:rPr>
      </w:pPr>
      <w:r w:rsidRPr="00684E35">
        <w:rPr>
          <w:rFonts w:ascii="Verdana" w:hAnsi="Verdana" w:cs="Calibri"/>
          <w:sz w:val="22"/>
          <w:szCs w:val="22"/>
        </w:rPr>
        <w:t>It should be noted however that r</w:t>
      </w:r>
      <w:r w:rsidRPr="00684E35">
        <w:rPr>
          <w:rFonts w:ascii="Verdana" w:hAnsi="Verdana" w:cs="Calibri"/>
          <w:sz w:val="22"/>
          <w:szCs w:val="22"/>
        </w:rPr>
        <w:t>espondents could have served on more than one type of case.</w:t>
      </w:r>
    </w:p>
    <w:p w:rsidR="00AB1A5F" w:rsidRPr="00684E35" w:rsidP="00822B63">
      <w:pPr>
        <w:jc w:val="both"/>
        <w:rPr>
          <w:rFonts w:ascii="Verdana" w:hAnsi="Verdana" w:cs="Calibri"/>
          <w:sz w:val="22"/>
          <w:szCs w:val="22"/>
        </w:rPr>
      </w:pPr>
    </w:p>
    <w:p w:rsidR="00DD689A" w:rsidRPr="00684E35" w:rsidP="00822B63">
      <w:pPr>
        <w:jc w:val="both"/>
        <w:rPr>
          <w:rFonts w:ascii="Verdana" w:hAnsi="Verdana" w:cs="Calibri"/>
          <w:i/>
          <w:iCs/>
          <w:sz w:val="22"/>
          <w:szCs w:val="22"/>
        </w:rPr>
      </w:pPr>
      <w:r w:rsidRPr="00684E35">
        <w:rPr>
          <w:rFonts w:ascii="Verdana" w:hAnsi="Verdana" w:cs="Calibri"/>
          <w:i/>
          <w:iCs/>
          <w:sz w:val="22"/>
          <w:szCs w:val="22"/>
        </w:rPr>
        <w:t>Sexual offence cases</w:t>
      </w:r>
    </w:p>
    <w:p w:rsidR="00AB1A5F" w:rsidRPr="00684E35" w:rsidP="00822B63">
      <w:pPr>
        <w:jc w:val="both"/>
        <w:rPr>
          <w:rFonts w:ascii="Verdana" w:hAnsi="Verdana" w:cs="Calibri"/>
          <w:sz w:val="22"/>
          <w:szCs w:val="22"/>
        </w:rPr>
      </w:pPr>
      <w:r w:rsidRPr="00684E35">
        <w:rPr>
          <w:rFonts w:ascii="Verdana" w:hAnsi="Verdana" w:cs="Calibri"/>
          <w:sz w:val="22"/>
          <w:szCs w:val="22"/>
        </w:rPr>
        <w:t>There are indications within the descriptive data that jurors who had served on sexual offence cases were more likely to report some forms of distress.</w:t>
      </w:r>
    </w:p>
    <w:p w:rsidR="00AB1A5F" w:rsidRPr="00684E35" w:rsidP="00822B63">
      <w:pPr>
        <w:jc w:val="both"/>
        <w:rPr>
          <w:rFonts w:ascii="Verdana" w:hAnsi="Verdana" w:cs="Calibri"/>
          <w:sz w:val="22"/>
          <w:szCs w:val="22"/>
        </w:rPr>
      </w:pPr>
    </w:p>
    <w:p w:rsidR="00AB1A5F" w:rsidRPr="00684E35" w:rsidP="00822B63">
      <w:pPr>
        <w:jc w:val="both"/>
        <w:rPr>
          <w:rFonts w:ascii="Verdana" w:hAnsi="Verdana" w:cs="Calibri"/>
          <w:sz w:val="22"/>
          <w:szCs w:val="22"/>
        </w:rPr>
      </w:pPr>
      <w:r w:rsidRPr="00684E35">
        <w:rPr>
          <w:rFonts w:ascii="Verdana" w:hAnsi="Verdana" w:cs="Calibri"/>
          <w:sz w:val="22"/>
          <w:szCs w:val="22"/>
        </w:rPr>
        <w:t>Among respondents who had served on a sexual crime case, 14.0% reported having been severely upset or distressed during their most recent jury service and 18.7% reported severe distress immediately following the trial. The equivalent figures among former jurors overall were 10.5% and 10.9% respectively</w:t>
      </w:r>
      <w:r w:rsidRPr="00684E35" w:rsidR="00DD689A">
        <w:rPr>
          <w:rFonts w:ascii="Verdana" w:hAnsi="Verdana" w:cs="Calibri"/>
          <w:sz w:val="22"/>
          <w:szCs w:val="22"/>
        </w:rPr>
        <w:t xml:space="preserve"> – in other words, it appears that jurors serving on sexual offence cases are more likely to find these cases distressing when compared with all case types. </w:t>
      </w:r>
    </w:p>
    <w:p w:rsidR="00AB1A5F" w:rsidRPr="00684E35" w:rsidP="00822B63">
      <w:pPr>
        <w:jc w:val="both"/>
        <w:rPr>
          <w:rFonts w:ascii="Verdana" w:hAnsi="Verdana" w:cs="Calibri"/>
          <w:sz w:val="22"/>
          <w:szCs w:val="22"/>
        </w:rPr>
      </w:pPr>
    </w:p>
    <w:p w:rsidR="00AB1A5F" w:rsidRPr="00684E35" w:rsidP="00822B63">
      <w:pPr>
        <w:jc w:val="both"/>
        <w:rPr>
          <w:rFonts w:ascii="Verdana" w:hAnsi="Verdana" w:cs="Calibri"/>
          <w:sz w:val="22"/>
          <w:szCs w:val="22"/>
        </w:rPr>
      </w:pPr>
      <w:r w:rsidRPr="00684E35">
        <w:rPr>
          <w:rFonts w:ascii="Verdana" w:hAnsi="Verdana" w:cs="Calibri"/>
          <w:sz w:val="22"/>
          <w:szCs w:val="22"/>
        </w:rPr>
        <w:t>Further, 17.4% of those who had served on a sexual crime case agreed that distressing memories of their jury service sometimes came into their mind, compared with 11.9% of former jurors overall.</w:t>
      </w:r>
    </w:p>
    <w:p w:rsidR="00AB1A5F" w:rsidRPr="00684E35" w:rsidP="00822B63">
      <w:pPr>
        <w:jc w:val="both"/>
        <w:rPr>
          <w:rFonts w:ascii="Verdana" w:hAnsi="Verdana" w:cs="Calibri"/>
          <w:sz w:val="22"/>
          <w:szCs w:val="22"/>
        </w:rPr>
      </w:pPr>
    </w:p>
    <w:p w:rsidR="00AB1A5F" w:rsidRPr="00684E35" w:rsidP="00822B63">
      <w:pPr>
        <w:jc w:val="both"/>
        <w:rPr>
          <w:rFonts w:ascii="Verdana" w:hAnsi="Verdana" w:cs="Calibri"/>
          <w:sz w:val="22"/>
          <w:szCs w:val="22"/>
        </w:rPr>
      </w:pPr>
      <w:r w:rsidRPr="00684E35">
        <w:rPr>
          <w:rFonts w:ascii="Verdana" w:hAnsi="Verdana" w:cs="Calibri"/>
          <w:sz w:val="22"/>
          <w:szCs w:val="22"/>
        </w:rPr>
        <w:t>These figures should be interpreted cautiously. The unweighted number of respondents who reported serving on a sexual crime case was 64, and the descriptive differences reported here do not in themselves demonstrate a statistically significant or causal relationship between trial type and subsequent distress.</w:t>
      </w:r>
    </w:p>
    <w:p w:rsidR="00AB1A5F" w:rsidRPr="00684E35" w:rsidP="00822B63">
      <w:pPr>
        <w:jc w:val="both"/>
        <w:rPr>
          <w:rFonts w:ascii="Verdana" w:hAnsi="Verdana" w:cs="Calibri"/>
          <w:sz w:val="22"/>
          <w:szCs w:val="22"/>
        </w:rPr>
      </w:pPr>
    </w:p>
    <w:p w:rsidR="001306A1" w:rsidRPr="00684E35" w:rsidP="00822B63">
      <w:pPr>
        <w:jc w:val="both"/>
        <w:rPr>
          <w:rFonts w:ascii="Verdana" w:hAnsi="Verdana" w:cs="Calibri"/>
          <w:sz w:val="22"/>
          <w:szCs w:val="22"/>
        </w:rPr>
      </w:pPr>
      <w:r w:rsidRPr="00684E35">
        <w:rPr>
          <w:rFonts w:ascii="Verdana" w:hAnsi="Verdana" w:cs="Calibri"/>
          <w:sz w:val="22"/>
          <w:szCs w:val="22"/>
        </w:rPr>
        <w:t>Nevertheless, they support the case for examining whether jurors' support needs may differ according to the nature and content of the evidence to which they have been exposed.</w:t>
      </w:r>
    </w:p>
    <w:p w:rsidR="00AB1A5F" w:rsidRPr="00684E35" w:rsidP="00822B63">
      <w:pPr>
        <w:jc w:val="both"/>
        <w:rPr>
          <w:rFonts w:ascii="Verdana" w:hAnsi="Verdana" w:cs="Calibri"/>
          <w:sz w:val="22"/>
          <w:szCs w:val="22"/>
        </w:rPr>
      </w:pPr>
    </w:p>
    <w:p w:rsidR="00AB1A5F" w:rsidRPr="00684E35" w:rsidP="00822B63">
      <w:pPr>
        <w:jc w:val="both"/>
        <w:rPr>
          <w:rFonts w:ascii="Verdana" w:hAnsi="Verdana" w:cs="Calibri"/>
          <w:i/>
          <w:iCs/>
          <w:sz w:val="22"/>
          <w:szCs w:val="22"/>
        </w:rPr>
      </w:pPr>
      <w:r w:rsidRPr="00684E35">
        <w:rPr>
          <w:rFonts w:ascii="Verdana" w:hAnsi="Verdana" w:cs="Calibri"/>
          <w:i/>
          <w:iCs/>
          <w:sz w:val="22"/>
          <w:szCs w:val="22"/>
        </w:rPr>
        <w:t>Duration and recall</w:t>
      </w:r>
    </w:p>
    <w:p w:rsidR="00AB1A5F" w:rsidRPr="00684E35" w:rsidP="00822B63">
      <w:pPr>
        <w:jc w:val="both"/>
        <w:rPr>
          <w:rFonts w:ascii="Verdana" w:hAnsi="Verdana" w:cs="Calibri"/>
          <w:sz w:val="22"/>
          <w:szCs w:val="22"/>
        </w:rPr>
      </w:pPr>
      <w:r w:rsidRPr="00684E35">
        <w:rPr>
          <w:rFonts w:ascii="Verdana" w:hAnsi="Verdana" w:cs="Calibri"/>
          <w:sz w:val="22"/>
          <w:szCs w:val="22"/>
        </w:rPr>
        <w:t>A further important consideration is that jury service was not recent for many respondents.</w:t>
      </w:r>
    </w:p>
    <w:p w:rsidR="00AB1A5F" w:rsidRPr="00684E35" w:rsidP="00822B63">
      <w:pPr>
        <w:jc w:val="both"/>
        <w:rPr>
          <w:rFonts w:ascii="Verdana" w:hAnsi="Verdana" w:cs="Calibri"/>
          <w:sz w:val="22"/>
          <w:szCs w:val="22"/>
        </w:rPr>
      </w:pPr>
    </w:p>
    <w:p w:rsidR="00AB1A5F" w:rsidRPr="00684E35" w:rsidP="00822B63">
      <w:pPr>
        <w:jc w:val="both"/>
        <w:rPr>
          <w:rFonts w:ascii="Verdana" w:hAnsi="Verdana" w:cs="Calibri"/>
          <w:sz w:val="22"/>
          <w:szCs w:val="22"/>
        </w:rPr>
      </w:pPr>
      <w:r w:rsidRPr="00684E35">
        <w:rPr>
          <w:rFonts w:ascii="Verdana" w:hAnsi="Verdana" w:cs="Calibri"/>
          <w:sz w:val="22"/>
          <w:szCs w:val="22"/>
        </w:rPr>
        <w:t>Among those who had served as a juror:</w:t>
      </w:r>
    </w:p>
    <w:p w:rsidR="00AB1A5F" w:rsidRPr="00684E35" w:rsidP="00822B63">
      <w:pPr>
        <w:jc w:val="both"/>
        <w:rPr>
          <w:rFonts w:ascii="Verdana" w:hAnsi="Verdana" w:cs="Calibri"/>
          <w:sz w:val="22"/>
          <w:szCs w:val="22"/>
        </w:rPr>
      </w:pPr>
    </w:p>
    <w:p w:rsidR="00AB1A5F" w:rsidRPr="00684E35" w:rsidP="00822B63">
      <w:pPr>
        <w:pStyle w:val="ListParagraph"/>
        <w:numPr>
          <w:ilvl w:val="0"/>
          <w:numId w:val="3"/>
        </w:numPr>
        <w:jc w:val="both"/>
        <w:rPr>
          <w:rFonts w:ascii="Verdana" w:hAnsi="Verdana" w:cs="Calibri"/>
          <w:sz w:val="22"/>
          <w:szCs w:val="22"/>
        </w:rPr>
      </w:pPr>
      <w:r w:rsidRPr="00684E35">
        <w:rPr>
          <w:rFonts w:ascii="Verdana" w:hAnsi="Verdana" w:cs="Calibri"/>
          <w:sz w:val="22"/>
          <w:szCs w:val="22"/>
        </w:rPr>
        <w:t>7.7% had done so within the preceding year;</w:t>
      </w:r>
    </w:p>
    <w:p w:rsidR="00AB1A5F" w:rsidRPr="00684E35" w:rsidP="00822B63">
      <w:pPr>
        <w:pStyle w:val="ListParagraph"/>
        <w:numPr>
          <w:ilvl w:val="0"/>
          <w:numId w:val="3"/>
        </w:numPr>
        <w:jc w:val="both"/>
        <w:rPr>
          <w:rFonts w:ascii="Verdana" w:hAnsi="Verdana" w:cs="Calibri"/>
          <w:sz w:val="22"/>
          <w:szCs w:val="22"/>
        </w:rPr>
      </w:pPr>
      <w:r w:rsidRPr="00684E35">
        <w:rPr>
          <w:rFonts w:ascii="Verdana" w:hAnsi="Verdana" w:cs="Calibri"/>
          <w:sz w:val="22"/>
          <w:szCs w:val="22"/>
        </w:rPr>
        <w:t>11.1% within the preceding three years;</w:t>
      </w:r>
    </w:p>
    <w:p w:rsidR="00AB1A5F" w:rsidRPr="00684E35" w:rsidP="00822B63">
      <w:pPr>
        <w:pStyle w:val="ListParagraph"/>
        <w:numPr>
          <w:ilvl w:val="0"/>
          <w:numId w:val="3"/>
        </w:numPr>
        <w:jc w:val="both"/>
        <w:rPr>
          <w:rFonts w:ascii="Verdana" w:hAnsi="Verdana" w:cs="Calibri"/>
          <w:sz w:val="22"/>
          <w:szCs w:val="22"/>
        </w:rPr>
      </w:pPr>
      <w:r w:rsidRPr="00684E35">
        <w:rPr>
          <w:rFonts w:ascii="Verdana" w:hAnsi="Verdana" w:cs="Calibri"/>
          <w:sz w:val="22"/>
          <w:szCs w:val="22"/>
        </w:rPr>
        <w:t>11.7% within the preceding five years;</w:t>
      </w:r>
    </w:p>
    <w:p w:rsidR="00AB1A5F" w:rsidRPr="00684E35" w:rsidP="00822B63">
      <w:pPr>
        <w:pStyle w:val="ListParagraph"/>
        <w:numPr>
          <w:ilvl w:val="0"/>
          <w:numId w:val="3"/>
        </w:numPr>
        <w:jc w:val="both"/>
        <w:rPr>
          <w:rFonts w:ascii="Verdana" w:hAnsi="Verdana" w:cs="Calibri"/>
          <w:sz w:val="22"/>
          <w:szCs w:val="22"/>
        </w:rPr>
      </w:pPr>
      <w:r w:rsidRPr="00684E35">
        <w:rPr>
          <w:rFonts w:ascii="Verdana" w:hAnsi="Verdana" w:cs="Calibri"/>
          <w:sz w:val="22"/>
          <w:szCs w:val="22"/>
        </w:rPr>
        <w:t>16.2% between five and ten years previously; and</w:t>
      </w:r>
    </w:p>
    <w:p w:rsidR="00AB1A5F" w:rsidRPr="00684E35" w:rsidP="00822B63">
      <w:pPr>
        <w:pStyle w:val="ListParagraph"/>
        <w:numPr>
          <w:ilvl w:val="0"/>
          <w:numId w:val="3"/>
        </w:numPr>
        <w:jc w:val="both"/>
        <w:rPr>
          <w:rFonts w:ascii="Verdana" w:hAnsi="Verdana" w:cs="Calibri"/>
          <w:sz w:val="22"/>
          <w:szCs w:val="22"/>
        </w:rPr>
      </w:pPr>
      <w:r w:rsidRPr="00684E35">
        <w:rPr>
          <w:rFonts w:ascii="Verdana" w:hAnsi="Verdana" w:cs="Calibri"/>
          <w:sz w:val="22"/>
          <w:szCs w:val="22"/>
        </w:rPr>
        <w:t>49.4% more than ten years previously.</w:t>
      </w:r>
    </w:p>
    <w:p w:rsidR="00AB1A5F" w:rsidRPr="00684E35" w:rsidP="00822B63">
      <w:pPr>
        <w:jc w:val="both"/>
        <w:rPr>
          <w:rFonts w:ascii="Verdana" w:hAnsi="Verdana" w:cs="Calibri"/>
          <w:sz w:val="22"/>
          <w:szCs w:val="22"/>
        </w:rPr>
      </w:pPr>
    </w:p>
    <w:p w:rsidR="00AB1A5F" w:rsidRPr="00684E35" w:rsidP="00822B63">
      <w:pPr>
        <w:jc w:val="both"/>
        <w:rPr>
          <w:rFonts w:ascii="Verdana" w:hAnsi="Verdana" w:cs="Calibri"/>
          <w:sz w:val="22"/>
          <w:szCs w:val="22"/>
        </w:rPr>
      </w:pPr>
      <w:r w:rsidRPr="00684E35">
        <w:rPr>
          <w:rFonts w:ascii="Verdana" w:hAnsi="Verdana" w:cs="Calibri"/>
          <w:sz w:val="22"/>
          <w:szCs w:val="22"/>
        </w:rPr>
        <w:t>This has two implications.</w:t>
      </w:r>
      <w:r w:rsidRPr="00684E35" w:rsidR="00DD689A">
        <w:rPr>
          <w:rFonts w:ascii="Verdana" w:hAnsi="Verdana" w:cs="Calibri"/>
          <w:sz w:val="22"/>
          <w:szCs w:val="22"/>
        </w:rPr>
        <w:t xml:space="preserve"> </w:t>
      </w:r>
      <w:r w:rsidRPr="00684E35">
        <w:rPr>
          <w:rFonts w:ascii="Verdana" w:hAnsi="Verdana" w:cs="Calibri"/>
          <w:sz w:val="22"/>
          <w:szCs w:val="22"/>
        </w:rPr>
        <w:t>First, retrospective survey data are necessarily subject to limitations associated with recall, particularly where jury service occurred many years previously.</w:t>
      </w:r>
      <w:r w:rsidRPr="00684E35" w:rsidR="00DD689A">
        <w:rPr>
          <w:rFonts w:ascii="Verdana" w:hAnsi="Verdana" w:cs="Calibri"/>
          <w:sz w:val="22"/>
          <w:szCs w:val="22"/>
        </w:rPr>
        <w:t xml:space="preserve"> </w:t>
      </w:r>
      <w:r w:rsidRPr="00684E35">
        <w:rPr>
          <w:rFonts w:ascii="Verdana" w:hAnsi="Verdana" w:cs="Calibri"/>
          <w:sz w:val="22"/>
          <w:szCs w:val="22"/>
        </w:rPr>
        <w:t xml:space="preserve">Second, however, the fact that some former jurors continue to identify </w:t>
      </w:r>
      <w:r w:rsidRPr="00684E35" w:rsidR="001306A1">
        <w:rPr>
          <w:rFonts w:ascii="Verdana" w:hAnsi="Verdana" w:cs="Calibri"/>
          <w:sz w:val="22"/>
          <w:szCs w:val="22"/>
        </w:rPr>
        <w:t>effects</w:t>
      </w:r>
      <w:r w:rsidRPr="00684E35">
        <w:rPr>
          <w:rFonts w:ascii="Verdana" w:hAnsi="Verdana" w:cs="Calibri"/>
          <w:sz w:val="22"/>
          <w:szCs w:val="22"/>
        </w:rPr>
        <w:t xml:space="preserve"> of jury service despite the passage of time warrants attention. Almost one in ten former jurors agreed that jury service had caused them long-term distress and discomfort, and 11.9% reported that distressing memories of their time as a juror sometimes came into their mind.</w:t>
      </w:r>
    </w:p>
    <w:p w:rsidR="00AB1A5F" w:rsidRPr="00684E35" w:rsidP="00822B63">
      <w:pPr>
        <w:jc w:val="both"/>
        <w:rPr>
          <w:rFonts w:ascii="Verdana" w:hAnsi="Verdana" w:cs="Calibri"/>
          <w:sz w:val="22"/>
          <w:szCs w:val="22"/>
        </w:rPr>
      </w:pPr>
    </w:p>
    <w:p w:rsidR="00AB1A5F" w:rsidRPr="00684E35" w:rsidP="00822B63">
      <w:pPr>
        <w:jc w:val="both"/>
        <w:rPr>
          <w:rFonts w:ascii="Verdana" w:hAnsi="Verdana" w:cs="Calibri"/>
          <w:sz w:val="22"/>
          <w:szCs w:val="22"/>
          <w:u w:val="single"/>
        </w:rPr>
      </w:pPr>
      <w:r w:rsidRPr="00684E35">
        <w:rPr>
          <w:rFonts w:ascii="Verdana" w:hAnsi="Verdana" w:cs="Calibri"/>
          <w:sz w:val="22"/>
          <w:szCs w:val="22"/>
          <w:u w:val="single"/>
        </w:rPr>
        <w:t>Previous experience of victimisation</w:t>
      </w:r>
    </w:p>
    <w:p w:rsidR="00AB1A5F" w:rsidRPr="00684E35" w:rsidP="00822B63">
      <w:pPr>
        <w:jc w:val="both"/>
        <w:rPr>
          <w:rFonts w:ascii="Verdana" w:hAnsi="Verdana" w:cs="Calibri"/>
          <w:sz w:val="22"/>
          <w:szCs w:val="22"/>
        </w:rPr>
      </w:pPr>
      <w:r w:rsidRPr="00684E35">
        <w:rPr>
          <w:rFonts w:ascii="Verdana" w:hAnsi="Verdana" w:cs="Calibri"/>
          <w:sz w:val="22"/>
          <w:szCs w:val="22"/>
        </w:rPr>
        <w:t>The survey also collected data on respondents' own experiences of serious crime.</w:t>
      </w:r>
      <w:r w:rsidRPr="00684E35" w:rsidR="00DD689A">
        <w:rPr>
          <w:rFonts w:ascii="Verdana" w:hAnsi="Verdana" w:cs="Calibri"/>
          <w:sz w:val="22"/>
          <w:szCs w:val="22"/>
        </w:rPr>
        <w:t xml:space="preserve"> </w:t>
      </w:r>
      <w:r w:rsidRPr="00684E35">
        <w:rPr>
          <w:rFonts w:ascii="Verdana" w:hAnsi="Verdana" w:cs="Calibri"/>
          <w:sz w:val="22"/>
          <w:szCs w:val="22"/>
        </w:rPr>
        <w:t>Among respondents who answered these questions, 25.9% reported having experienced robbery or burglary, 10.0% a sexual offence, 8.8% domestic violence or partner abuse, 7.8% serious violence and 5.2% stalking or cyber abuse.</w:t>
      </w:r>
      <w:r w:rsidRPr="00684E35" w:rsidR="00DD689A">
        <w:rPr>
          <w:rFonts w:ascii="Verdana" w:hAnsi="Verdana" w:cs="Calibri"/>
          <w:sz w:val="22"/>
          <w:szCs w:val="22"/>
        </w:rPr>
        <w:t xml:space="preserve"> On the one hand this is not surprising; jurors are taken from the </w:t>
      </w:r>
      <w:r w:rsidRPr="00684E35" w:rsidR="001306A1">
        <w:rPr>
          <w:rFonts w:ascii="Verdana" w:hAnsi="Verdana" w:cs="Calibri"/>
          <w:sz w:val="22"/>
          <w:szCs w:val="22"/>
        </w:rPr>
        <w:t>public,</w:t>
      </w:r>
      <w:r w:rsidRPr="00684E35" w:rsidR="00DD689A">
        <w:rPr>
          <w:rFonts w:ascii="Verdana" w:hAnsi="Verdana" w:cs="Calibri"/>
          <w:sz w:val="22"/>
          <w:szCs w:val="22"/>
        </w:rPr>
        <w:t xml:space="preserve"> and victimisation is experienced across society. Nevertheless, it was surprising that in the sample we found higher rates of sexual offences than domestic abuse. Moreover, it is notable that more than a quarter of jurors had experienced some form of robbery or burglary – this is much higher than the national prevalence statistics that estimate approximately 1-3% of people are victims of robbery or burglary each year</w:t>
      </w:r>
      <w:r>
        <w:rPr>
          <w:rStyle w:val="FootnoteReference"/>
          <w:rFonts w:ascii="Verdana" w:hAnsi="Verdana" w:cs="Calibri"/>
          <w:sz w:val="22"/>
          <w:szCs w:val="22"/>
        </w:rPr>
        <w:footnoteReference w:id="5"/>
      </w:r>
      <w:r w:rsidRPr="00684E35" w:rsidR="00DD689A">
        <w:rPr>
          <w:rFonts w:ascii="Verdana" w:hAnsi="Verdana" w:cs="Calibri"/>
          <w:sz w:val="22"/>
          <w:szCs w:val="22"/>
        </w:rPr>
        <w:t>.</w:t>
      </w:r>
    </w:p>
    <w:p w:rsidR="00AB1A5F" w:rsidRPr="00684E35" w:rsidP="00822B63">
      <w:pPr>
        <w:jc w:val="both"/>
        <w:rPr>
          <w:rFonts w:ascii="Verdana" w:hAnsi="Verdana" w:cs="Calibri"/>
          <w:sz w:val="22"/>
          <w:szCs w:val="22"/>
        </w:rPr>
      </w:pPr>
    </w:p>
    <w:p w:rsidR="00AB1A5F" w:rsidRPr="00684E35" w:rsidP="00822B63">
      <w:pPr>
        <w:jc w:val="both"/>
        <w:rPr>
          <w:rFonts w:ascii="Verdana" w:hAnsi="Verdana" w:cs="Calibri"/>
          <w:sz w:val="22"/>
          <w:szCs w:val="22"/>
        </w:rPr>
      </w:pPr>
      <w:r w:rsidRPr="00684E35">
        <w:rPr>
          <w:rFonts w:ascii="Verdana" w:hAnsi="Verdana" w:cs="Calibri"/>
          <w:sz w:val="22"/>
          <w:szCs w:val="22"/>
        </w:rPr>
        <w:t>This is potentially important when considering juror wellbeing. Members of the public are selected for jury service from the general population and will inevitably include individuals with their own histories of victimisation, bereavement and trauma.</w:t>
      </w:r>
      <w:r w:rsidRPr="00684E35" w:rsidR="001306A1">
        <w:rPr>
          <w:rFonts w:ascii="Verdana" w:hAnsi="Verdana" w:cs="Calibri"/>
          <w:sz w:val="22"/>
          <w:szCs w:val="22"/>
        </w:rPr>
        <w:t xml:space="preserve"> </w:t>
      </w:r>
      <w:r w:rsidRPr="00684E35">
        <w:rPr>
          <w:rFonts w:ascii="Verdana" w:hAnsi="Verdana" w:cs="Calibri"/>
          <w:sz w:val="22"/>
          <w:szCs w:val="22"/>
        </w:rPr>
        <w:t xml:space="preserve">Exposure during a trial to evidence concerning offences resembling a juror's own previous experiences may therefore have </w:t>
      </w:r>
      <w:r w:rsidRPr="00684E35">
        <w:rPr>
          <w:rFonts w:ascii="Verdana" w:hAnsi="Verdana" w:cs="Calibri"/>
          <w:sz w:val="22"/>
          <w:szCs w:val="22"/>
        </w:rPr>
        <w:t>particular implications</w:t>
      </w:r>
      <w:r w:rsidRPr="00684E35">
        <w:rPr>
          <w:rFonts w:ascii="Verdana" w:hAnsi="Verdana" w:cs="Calibri"/>
          <w:sz w:val="22"/>
          <w:szCs w:val="22"/>
        </w:rPr>
        <w:t xml:space="preserve"> for wellbeing.</w:t>
      </w:r>
    </w:p>
    <w:p w:rsidR="00AB1A5F" w:rsidRPr="00684E35" w:rsidP="00822B63">
      <w:pPr>
        <w:jc w:val="both"/>
        <w:rPr>
          <w:rFonts w:ascii="Verdana" w:hAnsi="Verdana" w:cs="Calibri"/>
          <w:sz w:val="22"/>
          <w:szCs w:val="22"/>
        </w:rPr>
      </w:pPr>
    </w:p>
    <w:p w:rsidR="00AB1A5F" w:rsidRPr="00684E35" w:rsidP="00822B63">
      <w:pPr>
        <w:jc w:val="both"/>
        <w:rPr>
          <w:rFonts w:ascii="Verdana" w:hAnsi="Verdana" w:cs="Calibri"/>
          <w:sz w:val="22"/>
          <w:szCs w:val="22"/>
        </w:rPr>
      </w:pPr>
      <w:r w:rsidRPr="00684E35">
        <w:rPr>
          <w:rFonts w:ascii="Verdana" w:hAnsi="Verdana" w:cs="Calibri"/>
          <w:sz w:val="22"/>
          <w:szCs w:val="22"/>
        </w:rPr>
        <w:t xml:space="preserve">Further research is required to establish the extent to which previous victimisation is associated with adverse responses to jury service, and whether </w:t>
      </w:r>
      <w:r w:rsidRPr="00684E35">
        <w:rPr>
          <w:rFonts w:ascii="Verdana" w:hAnsi="Verdana" w:cs="Calibri"/>
          <w:sz w:val="22"/>
          <w:szCs w:val="22"/>
        </w:rPr>
        <w:t>particular combinations</w:t>
      </w:r>
      <w:r w:rsidRPr="00684E35">
        <w:rPr>
          <w:rFonts w:ascii="Verdana" w:hAnsi="Verdana" w:cs="Calibri"/>
          <w:sz w:val="22"/>
          <w:szCs w:val="22"/>
        </w:rPr>
        <w:t xml:space="preserve"> of previous experience and trial content create heightened risks.</w:t>
      </w:r>
      <w:r w:rsidRPr="00684E35" w:rsidR="001306A1">
        <w:rPr>
          <w:rFonts w:ascii="Verdana" w:hAnsi="Verdana" w:cs="Calibri"/>
          <w:sz w:val="22"/>
          <w:szCs w:val="22"/>
        </w:rPr>
        <w:t xml:space="preserve"> This evidence could then be used to develop – and test – whether </w:t>
      </w:r>
      <w:r w:rsidRPr="00684E35" w:rsidR="001306A1">
        <w:rPr>
          <w:rFonts w:ascii="Verdana" w:hAnsi="Verdana" w:cs="Calibri"/>
          <w:sz w:val="22"/>
          <w:szCs w:val="22"/>
        </w:rPr>
        <w:t>particular types</w:t>
      </w:r>
      <w:r w:rsidRPr="00684E35" w:rsidR="001306A1">
        <w:rPr>
          <w:rFonts w:ascii="Verdana" w:hAnsi="Verdana" w:cs="Calibri"/>
          <w:sz w:val="22"/>
          <w:szCs w:val="22"/>
        </w:rPr>
        <w:t xml:space="preserve"> of support (preventative and/or responsive) are required and, if so, the benefits of such approaches. </w:t>
      </w:r>
    </w:p>
    <w:p w:rsidR="00AB1A5F" w:rsidRPr="00684E35" w:rsidP="00822B63">
      <w:pPr>
        <w:jc w:val="both"/>
        <w:rPr>
          <w:rFonts w:ascii="Verdana" w:hAnsi="Verdana" w:cs="Calibri"/>
          <w:sz w:val="22"/>
          <w:szCs w:val="22"/>
        </w:rPr>
      </w:pPr>
    </w:p>
    <w:p w:rsidR="00AB1A5F" w:rsidRPr="00684E35" w:rsidP="00822B63">
      <w:pPr>
        <w:jc w:val="both"/>
        <w:rPr>
          <w:rFonts w:ascii="Verdana" w:hAnsi="Verdana" w:cs="Calibri"/>
          <w:sz w:val="22"/>
          <w:szCs w:val="22"/>
          <w:u w:val="single"/>
        </w:rPr>
      </w:pPr>
      <w:r w:rsidRPr="00684E35">
        <w:rPr>
          <w:rFonts w:ascii="Verdana" w:hAnsi="Verdana" w:cs="Calibri"/>
          <w:sz w:val="22"/>
          <w:szCs w:val="22"/>
          <w:u w:val="single"/>
        </w:rPr>
        <w:t>Implications for juror support</w:t>
      </w:r>
    </w:p>
    <w:p w:rsidR="00AB1A5F" w:rsidRPr="00684E35" w:rsidP="00822B63">
      <w:pPr>
        <w:jc w:val="both"/>
        <w:rPr>
          <w:rFonts w:ascii="Verdana" w:hAnsi="Verdana" w:cs="Calibri"/>
          <w:sz w:val="22"/>
          <w:szCs w:val="22"/>
        </w:rPr>
      </w:pPr>
      <w:r w:rsidRPr="00684E35">
        <w:rPr>
          <w:rFonts w:ascii="Verdana" w:hAnsi="Verdana" w:cs="Calibri"/>
          <w:sz w:val="22"/>
          <w:szCs w:val="22"/>
        </w:rPr>
        <w:t>The findings do not suggest that all, or even most, jurors require psychological intervention. They do, however, demonstrate that it would be unsafe to proceed on the assumption that jury service has no meaningful psychological consequences for those undertaking it.</w:t>
      </w:r>
    </w:p>
    <w:p w:rsidR="0005315A" w:rsidRPr="00684E35" w:rsidP="00822B63">
      <w:pPr>
        <w:jc w:val="both"/>
        <w:rPr>
          <w:rFonts w:ascii="Verdana" w:hAnsi="Verdana" w:cs="Calibri"/>
          <w:sz w:val="22"/>
          <w:szCs w:val="22"/>
        </w:rPr>
      </w:pPr>
    </w:p>
    <w:p w:rsidR="00AB1A5F" w:rsidRPr="00684E35" w:rsidP="00822B63">
      <w:pPr>
        <w:jc w:val="both"/>
        <w:rPr>
          <w:rFonts w:ascii="Verdana" w:hAnsi="Verdana" w:cs="Calibri"/>
          <w:sz w:val="22"/>
          <w:szCs w:val="22"/>
        </w:rPr>
      </w:pPr>
      <w:r w:rsidRPr="00684E35">
        <w:rPr>
          <w:rFonts w:ascii="Verdana" w:hAnsi="Verdana" w:cs="Calibri"/>
          <w:sz w:val="22"/>
          <w:szCs w:val="22"/>
        </w:rPr>
        <w:t>A support system should recognise that jurors' responses fall across a spectrum. Most jurors appear to experience no severe distress. Some experience distress that is significant but relatively short-lived. A smaller group reports effects lasting weeks, months or longer.</w:t>
      </w:r>
    </w:p>
    <w:p w:rsidR="00AB1A5F" w:rsidRPr="00684E35" w:rsidP="00822B63">
      <w:pPr>
        <w:jc w:val="both"/>
        <w:rPr>
          <w:rFonts w:ascii="Verdana" w:hAnsi="Verdana" w:cs="Calibri"/>
          <w:sz w:val="22"/>
          <w:szCs w:val="22"/>
        </w:rPr>
      </w:pPr>
    </w:p>
    <w:p w:rsidR="00AB1A5F" w:rsidRPr="00684E35" w:rsidP="00822B63">
      <w:pPr>
        <w:jc w:val="both"/>
        <w:rPr>
          <w:rFonts w:ascii="Verdana" w:hAnsi="Verdana" w:cs="Calibri"/>
          <w:sz w:val="22"/>
          <w:szCs w:val="22"/>
        </w:rPr>
      </w:pPr>
      <w:r w:rsidRPr="00684E35">
        <w:rPr>
          <w:rFonts w:ascii="Verdana" w:hAnsi="Verdana" w:cs="Calibri"/>
          <w:sz w:val="22"/>
          <w:szCs w:val="22"/>
        </w:rPr>
        <w:t>A proportionate system should therefore provide universal information and access to support, while enabling more intensive assistance to be provided to jurors who require it.</w:t>
      </w:r>
    </w:p>
    <w:p w:rsidR="00AB1A5F" w:rsidRPr="00684E35" w:rsidP="00822B63">
      <w:pPr>
        <w:jc w:val="both"/>
        <w:rPr>
          <w:rFonts w:ascii="Verdana" w:hAnsi="Verdana" w:cs="Calibri"/>
          <w:sz w:val="22"/>
          <w:szCs w:val="22"/>
        </w:rPr>
      </w:pPr>
    </w:p>
    <w:p w:rsidR="00AB1A5F" w:rsidRPr="00684E35" w:rsidP="00822B63">
      <w:pPr>
        <w:jc w:val="both"/>
        <w:rPr>
          <w:rFonts w:ascii="Verdana" w:hAnsi="Verdana" w:cs="Calibri"/>
          <w:sz w:val="22"/>
          <w:szCs w:val="22"/>
        </w:rPr>
      </w:pPr>
      <w:r w:rsidRPr="00684E35">
        <w:rPr>
          <w:rFonts w:ascii="Verdana" w:hAnsi="Verdana" w:cs="Calibri"/>
          <w:sz w:val="22"/>
          <w:szCs w:val="22"/>
        </w:rPr>
        <w:t>The survey findings support consideration of the following measures:</w:t>
      </w:r>
    </w:p>
    <w:p w:rsidR="00AB1A5F" w:rsidRPr="00684E35" w:rsidP="00822B63">
      <w:pPr>
        <w:jc w:val="both"/>
        <w:rPr>
          <w:rFonts w:ascii="Verdana" w:hAnsi="Verdana" w:cs="Calibri"/>
          <w:sz w:val="22"/>
          <w:szCs w:val="22"/>
        </w:rPr>
      </w:pPr>
    </w:p>
    <w:p w:rsidR="004E5356" w:rsidRPr="00684E35" w:rsidP="00822B63">
      <w:pPr>
        <w:pStyle w:val="ListParagraph"/>
        <w:numPr>
          <w:ilvl w:val="0"/>
          <w:numId w:val="4"/>
        </w:numPr>
        <w:jc w:val="both"/>
        <w:rPr>
          <w:rFonts w:ascii="Verdana" w:hAnsi="Verdana" w:cs="Calibri"/>
          <w:sz w:val="22"/>
          <w:szCs w:val="22"/>
        </w:rPr>
      </w:pPr>
      <w:r w:rsidRPr="00684E35">
        <w:rPr>
          <w:rFonts w:ascii="Verdana" w:hAnsi="Verdana" w:cs="Calibri"/>
          <w:b/>
          <w:bCs/>
          <w:sz w:val="22"/>
          <w:szCs w:val="22"/>
        </w:rPr>
        <w:t>Preparation before trial</w:t>
      </w:r>
      <w:r w:rsidRPr="00684E35">
        <w:rPr>
          <w:rFonts w:ascii="Verdana" w:hAnsi="Verdana" w:cs="Calibri"/>
          <w:b/>
          <w:bCs/>
          <w:sz w:val="22"/>
          <w:szCs w:val="22"/>
        </w:rPr>
        <w:t xml:space="preserve"> - </w:t>
      </w:r>
      <w:r w:rsidRPr="00684E35">
        <w:rPr>
          <w:rFonts w:ascii="Verdana" w:hAnsi="Verdana" w:cs="Calibri"/>
          <w:sz w:val="22"/>
          <w:szCs w:val="22"/>
        </w:rPr>
        <w:t>Jurors should receive clear information acknowledging that exposure to disturbing evidence may produce emotional reactions and explaining what assistance is available.</w:t>
      </w:r>
    </w:p>
    <w:p w:rsidR="00AB1A5F" w:rsidRPr="00684E35" w:rsidP="00822B63">
      <w:pPr>
        <w:pStyle w:val="ListParagraph"/>
        <w:numPr>
          <w:ilvl w:val="0"/>
          <w:numId w:val="4"/>
        </w:numPr>
        <w:jc w:val="both"/>
        <w:rPr>
          <w:rFonts w:ascii="Verdana" w:hAnsi="Verdana" w:cs="Calibri"/>
          <w:sz w:val="22"/>
          <w:szCs w:val="22"/>
        </w:rPr>
      </w:pPr>
      <w:r w:rsidRPr="00684E35">
        <w:rPr>
          <w:rFonts w:ascii="Verdana" w:hAnsi="Verdana" w:cs="Calibri"/>
          <w:b/>
          <w:bCs/>
          <w:sz w:val="22"/>
          <w:szCs w:val="22"/>
        </w:rPr>
        <w:t>Accessible support during trials</w:t>
      </w:r>
      <w:r w:rsidRPr="00684E35" w:rsidR="004E5356">
        <w:rPr>
          <w:rFonts w:ascii="Verdana" w:hAnsi="Verdana" w:cs="Calibri"/>
          <w:sz w:val="22"/>
          <w:szCs w:val="22"/>
        </w:rPr>
        <w:t xml:space="preserve"> - </w:t>
      </w:r>
      <w:r w:rsidRPr="00684E35">
        <w:rPr>
          <w:rFonts w:ascii="Verdana" w:hAnsi="Verdana" w:cs="Calibri"/>
          <w:sz w:val="22"/>
          <w:szCs w:val="22"/>
        </w:rPr>
        <w:t>Jurors experiencing distress should have an identifiable and confidential route through which they can raise wellbeing concerns</w:t>
      </w:r>
      <w:r w:rsidRPr="00684E35" w:rsidR="004E5356">
        <w:rPr>
          <w:rFonts w:ascii="Verdana" w:hAnsi="Verdana" w:cs="Calibri"/>
          <w:sz w:val="22"/>
          <w:szCs w:val="22"/>
        </w:rPr>
        <w:t>. Currently they are advised to speak to court staff or their GP</w:t>
      </w:r>
      <w:r w:rsidRPr="00684E35" w:rsidR="001306A1">
        <w:rPr>
          <w:rFonts w:ascii="Verdana" w:hAnsi="Verdana" w:cs="Calibri"/>
          <w:sz w:val="22"/>
          <w:szCs w:val="22"/>
        </w:rPr>
        <w:t>,</w:t>
      </w:r>
      <w:r w:rsidRPr="00684E35" w:rsidR="004E5356">
        <w:rPr>
          <w:rFonts w:ascii="Verdana" w:hAnsi="Verdana" w:cs="Calibri"/>
          <w:sz w:val="22"/>
          <w:szCs w:val="22"/>
        </w:rPr>
        <w:t xml:space="preserve"> but this may not be appropriate – or suitable – for many jurors, particularly those with lived experience.</w:t>
      </w:r>
    </w:p>
    <w:p w:rsidR="004E5356" w:rsidRPr="00684E35" w:rsidP="00822B63">
      <w:pPr>
        <w:pStyle w:val="ListParagraph"/>
        <w:numPr>
          <w:ilvl w:val="0"/>
          <w:numId w:val="4"/>
        </w:numPr>
        <w:jc w:val="both"/>
        <w:rPr>
          <w:rFonts w:ascii="Verdana" w:hAnsi="Verdana" w:cs="Calibri"/>
          <w:sz w:val="22"/>
          <w:szCs w:val="22"/>
        </w:rPr>
      </w:pPr>
      <w:r w:rsidRPr="00684E35">
        <w:rPr>
          <w:rFonts w:ascii="Verdana" w:hAnsi="Verdana" w:cs="Calibri"/>
          <w:b/>
          <w:bCs/>
          <w:sz w:val="22"/>
          <w:szCs w:val="22"/>
        </w:rPr>
        <w:t>Information and support at the conclusion of jury service</w:t>
      </w:r>
      <w:r w:rsidRPr="00684E35">
        <w:rPr>
          <w:rFonts w:ascii="Verdana" w:hAnsi="Verdana" w:cs="Calibri"/>
          <w:sz w:val="22"/>
          <w:szCs w:val="22"/>
        </w:rPr>
        <w:t xml:space="preserve"> - </w:t>
      </w:r>
      <w:r w:rsidRPr="00684E35">
        <w:rPr>
          <w:rFonts w:ascii="Verdana" w:hAnsi="Verdana" w:cs="Calibri"/>
          <w:sz w:val="22"/>
          <w:szCs w:val="22"/>
        </w:rPr>
        <w:t>Jurors should receive written information explaining common reactions to distressing material, signs that further support may be appropriate, and how that support can be accessed.</w:t>
      </w:r>
    </w:p>
    <w:p w:rsidR="004E5356" w:rsidRPr="00684E35" w:rsidP="00822B63">
      <w:pPr>
        <w:pStyle w:val="ListParagraph"/>
        <w:numPr>
          <w:ilvl w:val="0"/>
          <w:numId w:val="4"/>
        </w:numPr>
        <w:jc w:val="both"/>
        <w:rPr>
          <w:rFonts w:ascii="Verdana" w:hAnsi="Verdana" w:cs="Calibri"/>
          <w:sz w:val="22"/>
          <w:szCs w:val="22"/>
        </w:rPr>
      </w:pPr>
      <w:r w:rsidRPr="00684E35">
        <w:rPr>
          <w:rFonts w:ascii="Verdana" w:hAnsi="Verdana" w:cs="Calibri"/>
          <w:b/>
          <w:bCs/>
          <w:sz w:val="22"/>
          <w:szCs w:val="22"/>
        </w:rPr>
        <w:t>Access to support after jury service has concluded</w:t>
      </w:r>
      <w:r w:rsidRPr="00684E35">
        <w:rPr>
          <w:rFonts w:ascii="Verdana" w:hAnsi="Verdana" w:cs="Calibri"/>
          <w:sz w:val="22"/>
          <w:szCs w:val="22"/>
        </w:rPr>
        <w:t xml:space="preserve"> - </w:t>
      </w:r>
      <w:r w:rsidRPr="00684E35">
        <w:rPr>
          <w:rFonts w:ascii="Verdana" w:hAnsi="Verdana" w:cs="Calibri"/>
          <w:sz w:val="22"/>
          <w:szCs w:val="22"/>
        </w:rPr>
        <w:t>The finding that some respondents report effects extending weeks, months or longer means that support should not cease automatically when a verdict is returned or a juror leaves the court building.</w:t>
      </w:r>
    </w:p>
    <w:p w:rsidR="004E5356" w:rsidRPr="00684E35" w:rsidP="00822B63">
      <w:pPr>
        <w:pStyle w:val="ListParagraph"/>
        <w:numPr>
          <w:ilvl w:val="0"/>
          <w:numId w:val="4"/>
        </w:numPr>
        <w:jc w:val="both"/>
        <w:rPr>
          <w:rFonts w:ascii="Verdana" w:hAnsi="Verdana" w:cs="Calibri"/>
          <w:sz w:val="22"/>
          <w:szCs w:val="22"/>
        </w:rPr>
      </w:pPr>
      <w:r w:rsidRPr="00684E35">
        <w:rPr>
          <w:rFonts w:ascii="Verdana" w:hAnsi="Verdana" w:cs="Calibri"/>
          <w:b/>
          <w:bCs/>
          <w:sz w:val="22"/>
          <w:szCs w:val="22"/>
        </w:rPr>
        <w:t>Clear guidance about what jurors may discuss when seeking psychological or therapeutic support</w:t>
      </w:r>
      <w:r w:rsidRPr="00684E35">
        <w:rPr>
          <w:rFonts w:ascii="Verdana" w:hAnsi="Verdana" w:cs="Calibri"/>
          <w:sz w:val="22"/>
          <w:szCs w:val="22"/>
        </w:rPr>
        <w:t xml:space="preserve"> </w:t>
      </w:r>
      <w:r w:rsidRPr="00684E35">
        <w:rPr>
          <w:rFonts w:ascii="Verdana" w:hAnsi="Verdana" w:cs="Calibri"/>
          <w:sz w:val="22"/>
          <w:szCs w:val="22"/>
        </w:rPr>
        <w:t xml:space="preserve">- </w:t>
      </w:r>
      <w:r w:rsidRPr="00684E35">
        <w:rPr>
          <w:rFonts w:ascii="Verdana" w:hAnsi="Verdana" w:cs="Calibri"/>
          <w:sz w:val="22"/>
          <w:szCs w:val="22"/>
        </w:rPr>
        <w:t xml:space="preserve"> Any</w:t>
      </w:r>
      <w:r w:rsidRPr="00684E35">
        <w:rPr>
          <w:rFonts w:ascii="Verdana" w:hAnsi="Verdana" w:cs="Calibri"/>
          <w:sz w:val="22"/>
          <w:szCs w:val="22"/>
        </w:rPr>
        <w:t xml:space="preserve"> uncertainty about the interaction between jury secrecy rules and confidential therapeutic support risks discouraging jurors from seeking assistance.</w:t>
      </w:r>
    </w:p>
    <w:p w:rsidR="00AB1A5F" w:rsidRPr="00684E35" w:rsidP="00822B63">
      <w:pPr>
        <w:pStyle w:val="ListParagraph"/>
        <w:numPr>
          <w:ilvl w:val="0"/>
          <w:numId w:val="4"/>
        </w:numPr>
        <w:jc w:val="both"/>
        <w:rPr>
          <w:rFonts w:ascii="Verdana" w:hAnsi="Verdana" w:cs="Calibri"/>
          <w:sz w:val="22"/>
          <w:szCs w:val="22"/>
        </w:rPr>
      </w:pPr>
      <w:r w:rsidRPr="00684E35">
        <w:rPr>
          <w:rFonts w:ascii="Verdana" w:hAnsi="Verdana" w:cs="Calibri"/>
          <w:b/>
          <w:bCs/>
          <w:sz w:val="22"/>
          <w:szCs w:val="22"/>
        </w:rPr>
        <w:t xml:space="preserve">Recognition that </w:t>
      </w:r>
      <w:r w:rsidRPr="00684E35">
        <w:rPr>
          <w:rFonts w:ascii="Verdana" w:hAnsi="Verdana" w:cs="Calibri"/>
          <w:b/>
          <w:bCs/>
          <w:sz w:val="22"/>
          <w:szCs w:val="22"/>
        </w:rPr>
        <w:t>support</w:t>
      </w:r>
      <w:r w:rsidRPr="00684E35">
        <w:rPr>
          <w:rFonts w:ascii="Verdana" w:hAnsi="Verdana" w:cs="Calibri"/>
          <w:b/>
          <w:bCs/>
          <w:sz w:val="22"/>
          <w:szCs w:val="22"/>
        </w:rPr>
        <w:t xml:space="preserve"> needs may vary according to trial content and individual circumstances</w:t>
      </w:r>
      <w:r w:rsidRPr="00684E35" w:rsidR="004E5356">
        <w:rPr>
          <w:rFonts w:ascii="Verdana" w:hAnsi="Verdana" w:cs="Calibri"/>
          <w:b/>
          <w:bCs/>
          <w:sz w:val="22"/>
          <w:szCs w:val="22"/>
        </w:rPr>
        <w:t xml:space="preserve"> - </w:t>
      </w:r>
      <w:r w:rsidRPr="00684E35">
        <w:rPr>
          <w:rFonts w:ascii="Verdana" w:hAnsi="Verdana" w:cs="Calibri"/>
          <w:sz w:val="22"/>
          <w:szCs w:val="22"/>
        </w:rPr>
        <w:t xml:space="preserve">Particular consideration should be given to trials involving sexual violence, serious interpersonal violence, homicide or other highly distressing evidence, without </w:t>
      </w:r>
      <w:r w:rsidRPr="00684E35">
        <w:rPr>
          <w:rFonts w:ascii="Verdana" w:hAnsi="Verdana" w:cs="Calibri"/>
          <w:sz w:val="22"/>
          <w:szCs w:val="22"/>
        </w:rPr>
        <w:t>assuming that</w:t>
      </w:r>
      <w:r w:rsidRPr="00684E35">
        <w:rPr>
          <w:rFonts w:ascii="Verdana" w:hAnsi="Verdana" w:cs="Calibri"/>
          <w:sz w:val="22"/>
          <w:szCs w:val="22"/>
        </w:rPr>
        <w:t xml:space="preserve"> the offence category alone determines whether an individual juror will experience distress.</w:t>
      </w:r>
    </w:p>
    <w:p w:rsidR="004E5356" w:rsidRPr="00684E35" w:rsidP="00822B63">
      <w:pPr>
        <w:pStyle w:val="ListParagraph"/>
        <w:jc w:val="both"/>
        <w:rPr>
          <w:rFonts w:ascii="Verdana" w:hAnsi="Verdana" w:cs="Calibri"/>
          <w:sz w:val="22"/>
          <w:szCs w:val="22"/>
        </w:rPr>
      </w:pPr>
    </w:p>
    <w:p w:rsidR="00AB1A5F" w:rsidRPr="00684E35" w:rsidP="00822B63">
      <w:pPr>
        <w:jc w:val="both"/>
        <w:rPr>
          <w:rFonts w:ascii="Verdana" w:hAnsi="Verdana" w:cs="Calibri"/>
          <w:b/>
          <w:bCs/>
          <w:sz w:val="22"/>
          <w:szCs w:val="22"/>
        </w:rPr>
      </w:pPr>
      <w:r w:rsidRPr="00684E35">
        <w:rPr>
          <w:rFonts w:ascii="Verdana" w:hAnsi="Verdana" w:cs="Calibri"/>
          <w:b/>
          <w:bCs/>
          <w:sz w:val="22"/>
          <w:szCs w:val="22"/>
        </w:rPr>
        <w:t>Responsibility for juror wellbeing</w:t>
      </w:r>
    </w:p>
    <w:p w:rsidR="00AB1A5F" w:rsidRPr="00684E35" w:rsidP="00822B63">
      <w:pPr>
        <w:jc w:val="both"/>
        <w:rPr>
          <w:rFonts w:ascii="Verdana" w:hAnsi="Verdana" w:cs="Calibri"/>
          <w:sz w:val="22"/>
          <w:szCs w:val="22"/>
        </w:rPr>
      </w:pPr>
      <w:r w:rsidRPr="00684E35">
        <w:rPr>
          <w:rFonts w:ascii="Verdana" w:hAnsi="Verdana" w:cs="Calibri"/>
          <w:sz w:val="22"/>
          <w:szCs w:val="22"/>
        </w:rPr>
        <w:t>Jury service differs from most situations in which individuals encounter potentially distressing material. Jurors perform a public function and can be compelled by the state to attend and to engage with evidence that they would not otherwise have chosen to encounter.</w:t>
      </w:r>
    </w:p>
    <w:p w:rsidR="00AB1A5F" w:rsidRPr="00684E35" w:rsidP="00822B63">
      <w:pPr>
        <w:jc w:val="both"/>
        <w:rPr>
          <w:rFonts w:ascii="Verdana" w:hAnsi="Verdana" w:cs="Calibri"/>
          <w:sz w:val="22"/>
          <w:szCs w:val="22"/>
        </w:rPr>
      </w:pPr>
    </w:p>
    <w:p w:rsidR="00AB1A5F" w:rsidRPr="00684E35" w:rsidP="00822B63">
      <w:pPr>
        <w:jc w:val="both"/>
        <w:rPr>
          <w:rFonts w:ascii="Verdana" w:hAnsi="Verdana" w:cs="Calibri"/>
          <w:sz w:val="22"/>
          <w:szCs w:val="22"/>
        </w:rPr>
      </w:pPr>
      <w:r w:rsidRPr="00684E35">
        <w:rPr>
          <w:rFonts w:ascii="Verdana" w:hAnsi="Verdana" w:cs="Calibri"/>
          <w:sz w:val="22"/>
          <w:szCs w:val="22"/>
        </w:rPr>
        <w:t>This provides a strong basis for the state to take reasonable and proportionate steps to protect juror wellbeing.</w:t>
      </w:r>
    </w:p>
    <w:p w:rsidR="00AB1A5F" w:rsidRPr="00684E35" w:rsidP="00822B63">
      <w:pPr>
        <w:jc w:val="both"/>
        <w:rPr>
          <w:rFonts w:ascii="Verdana" w:hAnsi="Verdana" w:cs="Calibri"/>
          <w:sz w:val="22"/>
          <w:szCs w:val="22"/>
        </w:rPr>
      </w:pPr>
    </w:p>
    <w:p w:rsidR="00AB1A5F" w:rsidRPr="00684E35" w:rsidP="00822B63">
      <w:pPr>
        <w:jc w:val="both"/>
        <w:rPr>
          <w:rFonts w:ascii="Verdana" w:hAnsi="Verdana" w:cs="Calibri"/>
          <w:sz w:val="22"/>
          <w:szCs w:val="22"/>
        </w:rPr>
      </w:pPr>
      <w:r w:rsidRPr="00684E35">
        <w:rPr>
          <w:rFonts w:ascii="Verdana" w:hAnsi="Verdana" w:cs="Calibri"/>
          <w:sz w:val="22"/>
          <w:szCs w:val="22"/>
        </w:rPr>
        <w:t xml:space="preserve">The survey does not support an assumption that all jurors will be harmed by their service: most respondents did not report severe distress. However, nor should the relatively small proportion experiencing persistent effects obscure the substantially larger minority reporting distress during or shortly after trials and </w:t>
      </w:r>
      <w:r w:rsidRPr="00684E35">
        <w:rPr>
          <w:rFonts w:ascii="Verdana" w:hAnsi="Verdana" w:cs="Calibri"/>
          <w:sz w:val="22"/>
          <w:szCs w:val="22"/>
        </w:rPr>
        <w:t>the approximately one in ten reporting a range of continuing psychological or behavioural effects.</w:t>
      </w:r>
    </w:p>
    <w:p w:rsidR="004E5356" w:rsidRPr="00684E35" w:rsidP="00822B63">
      <w:pPr>
        <w:jc w:val="both"/>
        <w:rPr>
          <w:rFonts w:ascii="Verdana" w:hAnsi="Verdana" w:cs="Calibri"/>
          <w:sz w:val="22"/>
          <w:szCs w:val="22"/>
        </w:rPr>
      </w:pPr>
    </w:p>
    <w:p w:rsidR="00AB1A5F" w:rsidRPr="00684E35" w:rsidP="00822B63">
      <w:pPr>
        <w:jc w:val="both"/>
        <w:rPr>
          <w:rFonts w:ascii="Verdana" w:hAnsi="Verdana" w:cs="Calibri"/>
          <w:b/>
          <w:bCs/>
          <w:sz w:val="22"/>
          <w:szCs w:val="22"/>
        </w:rPr>
      </w:pPr>
      <w:r w:rsidRPr="00684E35">
        <w:rPr>
          <w:rFonts w:ascii="Verdana" w:hAnsi="Verdana" w:cs="Calibri"/>
          <w:b/>
          <w:bCs/>
          <w:sz w:val="22"/>
          <w:szCs w:val="22"/>
        </w:rPr>
        <w:t>Conclusions</w:t>
      </w:r>
    </w:p>
    <w:p w:rsidR="00AB1A5F" w:rsidRPr="00684E35" w:rsidP="00822B63">
      <w:pPr>
        <w:jc w:val="both"/>
        <w:rPr>
          <w:rFonts w:ascii="Verdana" w:hAnsi="Verdana" w:cs="Calibri"/>
          <w:sz w:val="22"/>
          <w:szCs w:val="22"/>
        </w:rPr>
      </w:pPr>
      <w:r w:rsidRPr="00684E35">
        <w:rPr>
          <w:rFonts w:ascii="Verdana" w:hAnsi="Verdana" w:cs="Calibri"/>
          <w:sz w:val="22"/>
          <w:szCs w:val="22"/>
        </w:rPr>
        <w:t>This nationally representative survey provides evidence that jury service has a measurable emotional and psychological impact on a minority of those undertaking it.</w:t>
      </w:r>
    </w:p>
    <w:p w:rsidR="00AB1A5F" w:rsidRPr="00684E35" w:rsidP="00822B63">
      <w:pPr>
        <w:jc w:val="both"/>
        <w:rPr>
          <w:rFonts w:ascii="Verdana" w:hAnsi="Verdana" w:cs="Calibri"/>
          <w:sz w:val="22"/>
          <w:szCs w:val="22"/>
        </w:rPr>
      </w:pPr>
    </w:p>
    <w:p w:rsidR="00AB1A5F" w:rsidRPr="00684E35" w:rsidP="00822B63">
      <w:pPr>
        <w:jc w:val="both"/>
        <w:rPr>
          <w:rFonts w:ascii="Verdana" w:hAnsi="Verdana" w:cs="Calibri"/>
          <w:sz w:val="22"/>
          <w:szCs w:val="22"/>
        </w:rPr>
      </w:pPr>
      <w:r w:rsidRPr="00684E35">
        <w:rPr>
          <w:rFonts w:ascii="Verdana" w:hAnsi="Verdana" w:cs="Calibri"/>
          <w:sz w:val="22"/>
          <w:szCs w:val="22"/>
        </w:rPr>
        <w:t>The majority of</w:t>
      </w:r>
      <w:r w:rsidRPr="00684E35">
        <w:rPr>
          <w:rFonts w:ascii="Verdana" w:hAnsi="Verdana" w:cs="Calibri"/>
          <w:sz w:val="22"/>
          <w:szCs w:val="22"/>
        </w:rPr>
        <w:t xml:space="preserve"> former jurors did not report severe distress. However, around one in ten reported severe distress during or immediately following their most recent trial, and similar proportions reported anxiety, sleep disturbance, intrusive memories, increased fearfulness and other adverse effects associated with their experience.</w:t>
      </w:r>
      <w:r w:rsidRPr="00684E35" w:rsidR="004E5356">
        <w:rPr>
          <w:rFonts w:ascii="Verdana" w:hAnsi="Verdana" w:cs="Calibri"/>
          <w:sz w:val="22"/>
          <w:szCs w:val="22"/>
        </w:rPr>
        <w:t xml:space="preserve"> Higher rates of negative impacts were reported for those sitting on sexual or violent cases. </w:t>
      </w:r>
      <w:r w:rsidRPr="00684E35">
        <w:rPr>
          <w:rFonts w:ascii="Verdana" w:hAnsi="Verdana" w:cs="Calibri"/>
          <w:sz w:val="22"/>
          <w:szCs w:val="22"/>
        </w:rPr>
        <w:t>For a smaller minority, severe distress persisted for months or longer.</w:t>
      </w:r>
    </w:p>
    <w:p w:rsidR="00AB1A5F" w:rsidRPr="00684E35" w:rsidP="00822B63">
      <w:pPr>
        <w:jc w:val="both"/>
        <w:rPr>
          <w:rFonts w:ascii="Verdana" w:hAnsi="Verdana" w:cs="Calibri"/>
          <w:sz w:val="22"/>
          <w:szCs w:val="22"/>
        </w:rPr>
      </w:pPr>
    </w:p>
    <w:p w:rsidR="00AB1A5F" w:rsidRPr="00684E35" w:rsidP="00822B63">
      <w:pPr>
        <w:jc w:val="both"/>
        <w:rPr>
          <w:rFonts w:ascii="Verdana" w:hAnsi="Verdana" w:cs="Calibri"/>
          <w:sz w:val="22"/>
          <w:szCs w:val="22"/>
        </w:rPr>
      </w:pPr>
      <w:r w:rsidRPr="00684E35">
        <w:rPr>
          <w:rFonts w:ascii="Verdana" w:hAnsi="Verdana" w:cs="Calibri"/>
          <w:sz w:val="22"/>
          <w:szCs w:val="22"/>
        </w:rPr>
        <w:t>The findings therefore support a graduated approach to juror wellbeing: acknowledging the possibility of distress for all jurors, providing accessible support during jury service, ensuring that jurors understand how to obtain help afterwards, and providing routes to more specialist assistance where adverse effects persist.</w:t>
      </w:r>
    </w:p>
    <w:p w:rsidR="00AB1A5F" w:rsidRPr="00684E35" w:rsidP="00822B63">
      <w:pPr>
        <w:jc w:val="both"/>
        <w:rPr>
          <w:rFonts w:ascii="Verdana" w:hAnsi="Verdana" w:cs="Calibri"/>
          <w:sz w:val="22"/>
          <w:szCs w:val="22"/>
        </w:rPr>
      </w:pPr>
    </w:p>
    <w:p w:rsidR="00164251" w:rsidP="00822B63">
      <w:pPr>
        <w:jc w:val="both"/>
        <w:rPr>
          <w:rFonts w:ascii="Verdana" w:hAnsi="Verdana" w:cs="Calibri"/>
          <w:sz w:val="22"/>
          <w:szCs w:val="22"/>
        </w:rPr>
      </w:pPr>
      <w:r w:rsidRPr="00684E35">
        <w:rPr>
          <w:rFonts w:ascii="Verdana" w:hAnsi="Verdana" w:cs="Calibri"/>
          <w:sz w:val="22"/>
          <w:szCs w:val="22"/>
        </w:rPr>
        <w:t xml:space="preserve">Research on a larger number of jurors would be beneficial, so some of these findings can be tested and a larger number of personal and situational variables analysed. It would also be useful to examine differences in self-reported wellbeing for those sitting on specific cases where they have lived experiences of the conduct that forms the basis of the </w:t>
      </w:r>
      <w:r w:rsidRPr="00684E35" w:rsidR="004043BB">
        <w:rPr>
          <w:rFonts w:ascii="Verdana" w:hAnsi="Verdana" w:cs="Calibri"/>
          <w:sz w:val="22"/>
          <w:szCs w:val="22"/>
        </w:rPr>
        <w:t xml:space="preserve">case they are serving on. </w:t>
      </w:r>
    </w:p>
    <w:p w:rsidR="00684E35" w:rsidP="00822B63">
      <w:pPr>
        <w:jc w:val="both"/>
        <w:rPr>
          <w:rFonts w:ascii="Verdana" w:hAnsi="Verdana" w:cs="Calibri"/>
          <w:sz w:val="22"/>
          <w:szCs w:val="22"/>
        </w:rPr>
      </w:pPr>
    </w:p>
    <w:p w:rsidR="00684E35" w:rsidRPr="00684E35" w:rsidP="00822B63">
      <w:pPr>
        <w:jc w:val="both"/>
        <w:rPr>
          <w:rFonts w:ascii="Verdana" w:hAnsi="Verdana" w:cs="Calibri"/>
          <w:i/>
          <w:iCs/>
          <w:sz w:val="22"/>
          <w:szCs w:val="22"/>
        </w:rPr>
      </w:pPr>
      <w:r>
        <w:rPr>
          <w:rFonts w:ascii="Verdana" w:hAnsi="Verdana" w:cs="Calibri"/>
          <w:i/>
          <w:iCs/>
          <w:sz w:val="22"/>
          <w:szCs w:val="22"/>
        </w:rPr>
        <w:t>September 2026</w:t>
      </w:r>
    </w:p>
    <w:sectPr>
      <w:footerReference w:type="default" r:id="rId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6A1" w:rsidP="001306A1">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D67329" w:rsidP="00DD689A">
      <w:r>
        <w:separator/>
      </w:r>
    </w:p>
  </w:footnote>
  <w:footnote w:type="continuationSeparator" w:id="1">
    <w:p w:rsidR="00D67329" w:rsidP="00DD689A">
      <w:r>
        <w:continuationSeparator/>
      </w:r>
    </w:p>
  </w:footnote>
  <w:footnote w:id="2">
    <w:p w:rsidR="00677F95" w:rsidRPr="00684E35">
      <w:pPr>
        <w:pStyle w:val="FootnoteText"/>
        <w:rPr>
          <w:rFonts w:ascii="Verdana" w:hAnsi="Verdana"/>
          <w:sz w:val="18"/>
          <w:szCs w:val="18"/>
        </w:rPr>
      </w:pPr>
      <w:r w:rsidRPr="00684E35">
        <w:rPr>
          <w:rStyle w:val="FootnoteReference"/>
          <w:rFonts w:ascii="Verdana" w:hAnsi="Verdana"/>
          <w:sz w:val="18"/>
          <w:szCs w:val="18"/>
        </w:rPr>
        <w:footnoteRef/>
      </w:r>
      <w:r w:rsidRPr="00684E35">
        <w:rPr>
          <w:rFonts w:ascii="Verdana" w:hAnsi="Verdana"/>
          <w:sz w:val="18"/>
          <w:szCs w:val="18"/>
        </w:rPr>
        <w:t xml:space="preserve"> Professor of Criminal Law, Durham Law School, Durham University. </w:t>
      </w:r>
    </w:p>
  </w:footnote>
  <w:footnote w:id="3">
    <w:p w:rsidR="00677F95" w:rsidRPr="00684E35">
      <w:pPr>
        <w:pStyle w:val="FootnoteText"/>
        <w:rPr>
          <w:rFonts w:ascii="Verdana" w:hAnsi="Verdana"/>
          <w:sz w:val="18"/>
          <w:szCs w:val="18"/>
        </w:rPr>
      </w:pPr>
      <w:r w:rsidRPr="00684E35">
        <w:rPr>
          <w:rStyle w:val="FootnoteReference"/>
          <w:rFonts w:ascii="Verdana" w:hAnsi="Verdana"/>
          <w:sz w:val="18"/>
          <w:szCs w:val="18"/>
        </w:rPr>
        <w:footnoteRef/>
      </w:r>
      <w:r w:rsidRPr="00684E35">
        <w:rPr>
          <w:rFonts w:ascii="Verdana" w:hAnsi="Verdana"/>
          <w:sz w:val="18"/>
          <w:szCs w:val="18"/>
        </w:rPr>
        <w:t xml:space="preserve"> </w:t>
      </w:r>
      <w:r w:rsidRPr="00684E35" w:rsidR="004E5356">
        <w:rPr>
          <w:rFonts w:ascii="Verdana" w:hAnsi="Verdana"/>
          <w:sz w:val="18"/>
          <w:szCs w:val="18"/>
        </w:rPr>
        <w:t>Reader in Legal and Criminological Psychology, Department of Criminology, Loughborough University.</w:t>
      </w:r>
    </w:p>
  </w:footnote>
  <w:footnote w:id="4">
    <w:p w:rsidR="00DF3287" w:rsidRPr="00684E35" w:rsidP="00DF3287">
      <w:pPr>
        <w:pStyle w:val="FootnoteText"/>
        <w:rPr>
          <w:rFonts w:ascii="Verdana" w:hAnsi="Verdana"/>
          <w:sz w:val="18"/>
          <w:szCs w:val="18"/>
        </w:rPr>
      </w:pPr>
      <w:r w:rsidRPr="00684E35">
        <w:rPr>
          <w:rStyle w:val="FootnoteReference"/>
          <w:rFonts w:ascii="Verdana" w:hAnsi="Verdana"/>
          <w:sz w:val="18"/>
          <w:szCs w:val="18"/>
        </w:rPr>
        <w:footnoteRef/>
      </w:r>
      <w:r w:rsidRPr="00684E35">
        <w:rPr>
          <w:rFonts w:ascii="Verdana" w:hAnsi="Verdana"/>
          <w:sz w:val="18"/>
          <w:szCs w:val="18"/>
        </w:rPr>
        <w:t xml:space="preserve"> Professor of Psychology, </w:t>
      </w:r>
      <w:r w:rsidRPr="00684E35" w:rsidR="0057189F">
        <w:rPr>
          <w:rFonts w:ascii="Verdana" w:hAnsi="Verdana"/>
          <w:sz w:val="18"/>
          <w:szCs w:val="18"/>
        </w:rPr>
        <w:t xml:space="preserve">Department of Psychology, </w:t>
      </w:r>
      <w:r w:rsidRPr="00684E35">
        <w:rPr>
          <w:rFonts w:ascii="Verdana" w:hAnsi="Verdana"/>
          <w:sz w:val="18"/>
          <w:szCs w:val="18"/>
        </w:rPr>
        <w:t>Maynooth University, Ireland</w:t>
      </w:r>
    </w:p>
  </w:footnote>
  <w:footnote w:id="5">
    <w:p w:rsidR="00DD689A" w:rsidRPr="00684E35">
      <w:pPr>
        <w:pStyle w:val="FootnoteText"/>
        <w:rPr>
          <w:rFonts w:ascii="Verdana" w:hAnsi="Verdana"/>
          <w:sz w:val="18"/>
          <w:szCs w:val="18"/>
        </w:rPr>
      </w:pPr>
      <w:r w:rsidRPr="00684E35">
        <w:rPr>
          <w:rStyle w:val="FootnoteReference"/>
          <w:rFonts w:ascii="Verdana" w:hAnsi="Verdana"/>
          <w:sz w:val="18"/>
          <w:szCs w:val="18"/>
        </w:rPr>
        <w:footnoteRef/>
      </w:r>
      <w:r w:rsidRPr="00684E35" w:rsidR="004043BB">
        <w:rPr>
          <w:rFonts w:ascii="Verdana" w:hAnsi="Verdana"/>
          <w:sz w:val="18"/>
          <w:szCs w:val="18"/>
        </w:rPr>
        <w:t xml:space="preserve">See for example the annual figures from the Crime Survey for England and Wales in the year ending December 2025 – Available </w:t>
      </w:r>
      <w:r w:rsidRPr="00684E35" w:rsidR="004043BB">
        <w:rPr>
          <w:rFonts w:ascii="Verdana" w:hAnsi="Verdana"/>
          <w:sz w:val="18"/>
          <w:szCs w:val="18"/>
        </w:rPr>
        <w:t>from:</w:t>
      </w:r>
      <w:r w:rsidRPr="00684E35">
        <w:rPr>
          <w:rFonts w:ascii="Verdana" w:hAnsi="Verdana"/>
          <w:sz w:val="18"/>
          <w:szCs w:val="18"/>
        </w:rPr>
        <w:t>https://www.ons.gov.uk/peoplepopulationandcommunity/crimeandjustice/bulletins/crimeinenglandandwales/yearendingdecember2025#robbery</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61479CA"/>
    <w:multiLevelType w:val="hybridMultilevel"/>
    <w:tmpl w:val="34A626D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3A797A37"/>
    <w:multiLevelType w:val="hybridMultilevel"/>
    <w:tmpl w:val="CF82291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4F163F88"/>
    <w:multiLevelType w:val="hybridMultilevel"/>
    <w:tmpl w:val="02143A2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723E077B"/>
    <w:multiLevelType w:val="hybridMultilevel"/>
    <w:tmpl w:val="69A8BF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AB1A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1A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1A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1A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1A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1A5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1A5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1A5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1A5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1A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1A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1A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1A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1A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1A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1A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1A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1A5F"/>
    <w:rPr>
      <w:rFonts w:eastAsiaTheme="majorEastAsia" w:cstheme="majorBidi"/>
      <w:color w:val="272727" w:themeColor="text1" w:themeTint="D8"/>
    </w:rPr>
  </w:style>
  <w:style w:type="paragraph" w:styleId="Title">
    <w:name w:val="Title"/>
    <w:basedOn w:val="Normal"/>
    <w:next w:val="Normal"/>
    <w:link w:val="TitleChar"/>
    <w:uiPriority w:val="10"/>
    <w:qFormat/>
    <w:rsid w:val="00AB1A5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1A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1A5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1A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1A5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B1A5F"/>
    <w:rPr>
      <w:i/>
      <w:iCs/>
      <w:color w:val="404040" w:themeColor="text1" w:themeTint="BF"/>
    </w:rPr>
  </w:style>
  <w:style w:type="paragraph" w:styleId="ListParagraph">
    <w:name w:val="List Paragraph"/>
    <w:basedOn w:val="Normal"/>
    <w:uiPriority w:val="34"/>
    <w:qFormat/>
    <w:rsid w:val="00AB1A5F"/>
    <w:pPr>
      <w:ind w:left="720"/>
      <w:contextualSpacing/>
    </w:pPr>
  </w:style>
  <w:style w:type="character" w:styleId="IntenseEmphasis">
    <w:name w:val="Intense Emphasis"/>
    <w:basedOn w:val="DefaultParagraphFont"/>
    <w:uiPriority w:val="21"/>
    <w:qFormat/>
    <w:rsid w:val="00AB1A5F"/>
    <w:rPr>
      <w:i/>
      <w:iCs/>
      <w:color w:val="0F4761" w:themeColor="accent1" w:themeShade="BF"/>
    </w:rPr>
  </w:style>
  <w:style w:type="paragraph" w:styleId="IntenseQuote">
    <w:name w:val="Intense Quote"/>
    <w:basedOn w:val="Normal"/>
    <w:next w:val="Normal"/>
    <w:link w:val="IntenseQuoteChar"/>
    <w:uiPriority w:val="30"/>
    <w:qFormat/>
    <w:rsid w:val="00AB1A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1A5F"/>
    <w:rPr>
      <w:i/>
      <w:iCs/>
      <w:color w:val="0F4761" w:themeColor="accent1" w:themeShade="BF"/>
    </w:rPr>
  </w:style>
  <w:style w:type="character" w:styleId="IntenseReference">
    <w:name w:val="Intense Reference"/>
    <w:basedOn w:val="DefaultParagraphFont"/>
    <w:uiPriority w:val="32"/>
    <w:qFormat/>
    <w:rsid w:val="00AB1A5F"/>
    <w:rPr>
      <w:b/>
      <w:bCs/>
      <w:smallCaps/>
      <w:color w:val="0F4761" w:themeColor="accent1" w:themeShade="BF"/>
      <w:spacing w:val="5"/>
    </w:rPr>
  </w:style>
  <w:style w:type="paragraph" w:styleId="FootnoteText">
    <w:name w:val="footnote text"/>
    <w:basedOn w:val="Normal"/>
    <w:link w:val="FootnoteTextChar"/>
    <w:uiPriority w:val="99"/>
    <w:semiHidden/>
    <w:unhideWhenUsed/>
    <w:rsid w:val="00DD689A"/>
    <w:rPr>
      <w:sz w:val="20"/>
      <w:szCs w:val="20"/>
    </w:rPr>
  </w:style>
  <w:style w:type="character" w:customStyle="1" w:styleId="FootnoteTextChar">
    <w:name w:val="Footnote Text Char"/>
    <w:basedOn w:val="DefaultParagraphFont"/>
    <w:link w:val="FootnoteText"/>
    <w:uiPriority w:val="99"/>
    <w:semiHidden/>
    <w:rsid w:val="00DD689A"/>
    <w:rPr>
      <w:sz w:val="20"/>
      <w:szCs w:val="20"/>
    </w:rPr>
  </w:style>
  <w:style w:type="character" w:styleId="FootnoteReference">
    <w:name w:val="footnote reference"/>
    <w:basedOn w:val="DefaultParagraphFont"/>
    <w:uiPriority w:val="99"/>
    <w:semiHidden/>
    <w:unhideWhenUsed/>
    <w:rsid w:val="00DD689A"/>
    <w:rPr>
      <w:vertAlign w:val="superscript"/>
    </w:rPr>
  </w:style>
  <w:style w:type="character" w:styleId="Hyperlink">
    <w:name w:val="Hyperlink"/>
    <w:basedOn w:val="DefaultParagraphFont"/>
    <w:uiPriority w:val="99"/>
    <w:unhideWhenUsed/>
    <w:rsid w:val="004E5356"/>
    <w:rPr>
      <w:color w:val="467886" w:themeColor="hyperlink"/>
      <w:u w:val="single"/>
    </w:rPr>
  </w:style>
  <w:style w:type="character" w:customStyle="1" w:styleId="UnresolvedMention">
    <w:name w:val="Unresolved Mention"/>
    <w:basedOn w:val="DefaultParagraphFont"/>
    <w:uiPriority w:val="99"/>
    <w:semiHidden/>
    <w:unhideWhenUsed/>
    <w:rsid w:val="004E5356"/>
    <w:rPr>
      <w:color w:val="605E5C"/>
      <w:shd w:val="clear" w:color="auto" w:fill="E1DFDD"/>
    </w:rPr>
  </w:style>
  <w:style w:type="character" w:styleId="CommentReference">
    <w:name w:val="annotation reference"/>
    <w:basedOn w:val="DefaultParagraphFont"/>
    <w:uiPriority w:val="99"/>
    <w:semiHidden/>
    <w:unhideWhenUsed/>
    <w:rsid w:val="00DF3287"/>
    <w:rPr>
      <w:sz w:val="16"/>
      <w:szCs w:val="16"/>
    </w:rPr>
  </w:style>
  <w:style w:type="paragraph" w:styleId="CommentText">
    <w:name w:val="annotation text"/>
    <w:basedOn w:val="Normal"/>
    <w:link w:val="CommentTextChar"/>
    <w:uiPriority w:val="99"/>
    <w:unhideWhenUsed/>
    <w:rsid w:val="00DF3287"/>
    <w:rPr>
      <w:sz w:val="20"/>
      <w:szCs w:val="20"/>
    </w:rPr>
  </w:style>
  <w:style w:type="character" w:customStyle="1" w:styleId="CommentTextChar">
    <w:name w:val="Comment Text Char"/>
    <w:basedOn w:val="DefaultParagraphFont"/>
    <w:link w:val="CommentText"/>
    <w:uiPriority w:val="99"/>
    <w:rsid w:val="00DF3287"/>
    <w:rPr>
      <w:sz w:val="20"/>
      <w:szCs w:val="20"/>
    </w:rPr>
  </w:style>
  <w:style w:type="paragraph" w:styleId="CommentSubject">
    <w:name w:val="annotation subject"/>
    <w:basedOn w:val="CommentText"/>
    <w:next w:val="CommentText"/>
    <w:link w:val="CommentSubjectChar"/>
    <w:uiPriority w:val="99"/>
    <w:semiHidden/>
    <w:unhideWhenUsed/>
    <w:rsid w:val="00DF3287"/>
    <w:rPr>
      <w:b/>
      <w:bCs/>
    </w:rPr>
  </w:style>
  <w:style w:type="character" w:customStyle="1" w:styleId="CommentSubjectChar">
    <w:name w:val="Comment Subject Char"/>
    <w:basedOn w:val="CommentTextChar"/>
    <w:link w:val="CommentSubject"/>
    <w:uiPriority w:val="99"/>
    <w:semiHidden/>
    <w:rsid w:val="00DF3287"/>
    <w:rPr>
      <w:b/>
      <w:bCs/>
      <w:sz w:val="20"/>
      <w:szCs w:val="20"/>
    </w:rPr>
  </w:style>
  <w:style w:type="paragraph" w:styleId="Revision">
    <w:name w:val="Revision"/>
    <w:hidden/>
    <w:uiPriority w:val="99"/>
    <w:semiHidden/>
    <w:rsid w:val="00DF3287"/>
  </w:style>
  <w:style w:type="paragraph" w:styleId="Footer">
    <w:name w:val="footer"/>
    <w:basedOn w:val="Normal"/>
    <w:link w:val="FooterChar"/>
    <w:uiPriority w:val="99"/>
    <w:unhideWhenUsed/>
    <w:rsid w:val="001306A1"/>
    <w:pPr>
      <w:tabs>
        <w:tab w:val="center" w:pos="4513"/>
        <w:tab w:val="right" w:pos="9026"/>
      </w:tabs>
    </w:pPr>
  </w:style>
  <w:style w:type="character" w:customStyle="1" w:styleId="FooterChar">
    <w:name w:val="Footer Char"/>
    <w:basedOn w:val="DefaultParagraphFont"/>
    <w:link w:val="Footer"/>
    <w:uiPriority w:val="99"/>
    <w:rsid w:val="001306A1"/>
  </w:style>
  <w:style w:type="character" w:styleId="PageNumber">
    <w:name w:val="page number"/>
    <w:basedOn w:val="DefaultParagraphFont"/>
    <w:uiPriority w:val="99"/>
    <w:semiHidden/>
    <w:unhideWhenUsed/>
    <w:rsid w:val="001306A1"/>
  </w:style>
  <w:style w:type="paragraph" w:styleId="Header">
    <w:name w:val="header"/>
    <w:basedOn w:val="Normal"/>
    <w:link w:val="HeaderChar"/>
    <w:uiPriority w:val="99"/>
    <w:unhideWhenUsed/>
    <w:rsid w:val="0038284B"/>
    <w:pPr>
      <w:tabs>
        <w:tab w:val="center" w:pos="4513"/>
        <w:tab w:val="right" w:pos="9026"/>
      </w:tabs>
    </w:pPr>
  </w:style>
  <w:style w:type="character" w:customStyle="1" w:styleId="HeaderChar">
    <w:name w:val="Header Char"/>
    <w:basedOn w:val="DefaultParagraphFont"/>
    <w:link w:val="Header"/>
    <w:uiPriority w:val="99"/>
    <w:rsid w:val="003828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hart" Target="charts/chart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charts/_rels/chart1.xml.rels>&#65279;<?xml version="1.0" encoding="utf-8" standalone="yes"?><Relationships xmlns="http://schemas.openxmlformats.org/package/2006/relationships"><Relationship Id="rId1" Type="http://schemas.openxmlformats.org/officeDocument/2006/relationships/package" Target="../embeddings/Microsoft_Office_Excel_Worksheet1.xlsx" /></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Impacts</a:t>
            </a:r>
            <a:r>
              <a:rPr lang="en-US" baseline="0"/>
              <a:t> on health and wellbeing</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c:v>
                </c:pt>
              </c:strCache>
            </c:strRef>
          </c:tx>
          <c:spPr>
            <a:solidFill>
              <a:schemeClr val="accent1"/>
            </a:solidFill>
            <a:ln>
              <a:noFill/>
            </a:ln>
            <a:effectLst/>
          </c:spPr>
          <c:invertIfNegative val="0"/>
          <c:cat>
            <c:strRef>
              <c:f>Sheet1!$A$2:$A$12</c:f>
              <c:strCache>
                <c:ptCount val="11"/>
                <c:pt idx="0">
                  <c:v>More fearful about becoming a victim of crime</c:v>
                </c:pt>
                <c:pt idx="1">
                  <c:v>Distressing memories of jury service sometimes come into mind</c:v>
                </c:pt>
                <c:pt idx="2">
                  <c:v>Difficulty sleeping on several occasions</c:v>
                </c:pt>
                <c:pt idx="3">
                  <c:v>Severely anxious and emotional at times</c:v>
                </c:pt>
                <c:pt idx="4">
                  <c:v>Fearful and jumpy on several occasions</c:v>
                </c:pt>
                <c:pt idx="5">
                  <c:v>Long-term distress and discomfort</c:v>
                </c:pt>
                <c:pt idx="6">
                  <c:v>Prefer to spend more time alone</c:v>
                </c:pt>
                <c:pt idx="7">
                  <c:v>Difficulty concentrating</c:v>
                </c:pt>
                <c:pt idx="8">
                  <c:v>Use alcohol or drugs to help stop thinking about jury service</c:v>
                </c:pt>
                <c:pt idx="9">
                  <c:v>Loss of appetite on more than one occasion</c:v>
                </c:pt>
                <c:pt idx="10">
                  <c:v>Difficulties in personal relationships</c:v>
                </c:pt>
              </c:strCache>
            </c:strRef>
          </c:cat>
          <c:val>
            <c:numRef>
              <c:f>Sheet1!$B$2:$B$12</c:f>
              <c:numCache>
                <c:formatCode>General</c:formatCode>
                <c:ptCount val="11"/>
                <c:pt idx="0">
                  <c:v>12.1</c:v>
                </c:pt>
                <c:pt idx="1">
                  <c:v>11.9</c:v>
                </c:pt>
                <c:pt idx="2">
                  <c:v>11.2</c:v>
                </c:pt>
                <c:pt idx="3">
                  <c:v>11.1</c:v>
                </c:pt>
                <c:pt idx="4">
                  <c:v>10.7</c:v>
                </c:pt>
                <c:pt idx="5">
                  <c:v>9.5</c:v>
                </c:pt>
                <c:pt idx="6">
                  <c:v>9.4</c:v>
                </c:pt>
                <c:pt idx="7">
                  <c:v>8.6</c:v>
                </c:pt>
                <c:pt idx="8">
                  <c:v>8.1999999999999993</c:v>
                </c:pt>
                <c:pt idx="9">
                  <c:v>7.9</c:v>
                </c:pt>
                <c:pt idx="10">
                  <c:v>7</c:v>
                </c:pt>
              </c:numCache>
            </c:numRef>
          </c:val>
          <c:extLst>
            <c:ext xmlns:c16="http://schemas.microsoft.com/office/drawing/2014/chart" uri="{C3380CC4-5D6E-409C-BE32-E72D297353CC}">
              <c16:uniqueId val="{00000000-06FC-A943-9E29-D882D753FAF6}"/>
            </c:ext>
          </c:extLst>
        </c:ser>
        <c:dLbls>
          <c:showLegendKey val="0"/>
          <c:showVal val="0"/>
          <c:showCatName val="0"/>
          <c:showSerName val="0"/>
          <c:showPercent val="0"/>
          <c:showBubbleSize val="0"/>
        </c:dLbls>
        <c:gapWidth val="219"/>
        <c:overlap val="-27"/>
        <c:axId val="796584000"/>
        <c:axId val="796574592"/>
      </c:barChart>
      <c:catAx>
        <c:axId val="7965840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96574592"/>
        <c:crosses val="autoZero"/>
        <c:auto val="0"/>
        <c:lblAlgn val="ctr"/>
        <c:lblOffset val="100"/>
        <c:noMultiLvlLbl val="0"/>
      </c:catAx>
      <c:valAx>
        <c:axId val="7965745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965840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417BCF-F45D-419E-A9A1-78EFF6D21AB8}">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SFJ0031</dc:title>
  <cp:revision>0</cp:revision>
</cp:coreProperties>
</file>