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278A4" w:rsidRPr="00372BEF" w:rsidP="00372BEF">
      <w:pPr>
        <w:rPr>
          <w:rFonts w:ascii="Verdana" w:hAnsi="Verdana"/>
          <w:b/>
          <w:bCs/>
          <w:sz w:val="28"/>
          <w:szCs w:val="28"/>
          <w:lang w:eastAsia="en-GB"/>
        </w:rPr>
      </w:pPr>
      <w:r w:rsidRPr="00372BEF">
        <w:rPr>
          <w:rFonts w:ascii="Verdana" w:hAnsi="Verdana"/>
          <w:b/>
          <w:bCs/>
          <w:sz w:val="28"/>
          <w:szCs w:val="28"/>
          <w:lang w:eastAsia="en-GB"/>
        </w:rPr>
        <w:t xml:space="preserve">Written Evidence from </w:t>
      </w:r>
      <w:r w:rsidRPr="00372BEF">
        <w:rPr>
          <w:rFonts w:ascii="Verdana" w:hAnsi="Verdana"/>
          <w:b/>
          <w:bCs/>
          <w:sz w:val="28"/>
          <w:szCs w:val="28"/>
          <w:lang w:eastAsia="en-GB"/>
        </w:rPr>
        <w:t>Scottish Courts and Tribunals Service (SFJ0016)</w:t>
      </w:r>
    </w:p>
    <w:p w:rsidR="007278A4" w:rsidRPr="00372BEF" w:rsidP="00372BEF">
      <w:pPr>
        <w:rPr>
          <w:rFonts w:ascii="Verdana" w:hAnsi="Verdana"/>
          <w:sz w:val="22"/>
          <w:szCs w:val="22"/>
          <w:lang w:eastAsia="en-GB"/>
        </w:rPr>
      </w:pPr>
    </w:p>
    <w:p w:rsidR="00375B11" w:rsidRPr="00372BEF" w:rsidP="00372BEF">
      <w:pPr>
        <w:rPr>
          <w:rFonts w:ascii="Verdana" w:hAnsi="Verdana"/>
          <w:sz w:val="22"/>
          <w:szCs w:val="22"/>
          <w:lang w:eastAsia="en-GB"/>
        </w:rPr>
      </w:pPr>
      <w:r w:rsidRPr="00372BEF">
        <w:rPr>
          <w:rFonts w:ascii="Verdana" w:hAnsi="Verdana"/>
          <w:sz w:val="22"/>
          <w:szCs w:val="22"/>
          <w:lang w:eastAsia="en-GB"/>
        </w:rPr>
        <w:t xml:space="preserve">I refer to the above </w:t>
      </w:r>
      <w:r w:rsidRPr="00372BEF" w:rsidR="00F21982">
        <w:rPr>
          <w:rFonts w:ascii="Verdana" w:hAnsi="Verdana"/>
          <w:sz w:val="22"/>
          <w:szCs w:val="22"/>
          <w:lang w:eastAsia="en-GB"/>
        </w:rPr>
        <w:t>call for evidence</w:t>
      </w:r>
      <w:r w:rsidRPr="00372BEF">
        <w:rPr>
          <w:rFonts w:ascii="Verdana" w:hAnsi="Verdana"/>
          <w:sz w:val="22"/>
          <w:szCs w:val="22"/>
          <w:lang w:eastAsia="en-GB"/>
        </w:rPr>
        <w:t xml:space="preserve"> and respond on behalf of the Scottish Courts and Tribunals Service (SCTS). This response is submitted by </w:t>
      </w:r>
      <w:r w:rsidRPr="00372BEF" w:rsidR="62831545">
        <w:rPr>
          <w:rFonts w:ascii="Verdana" w:hAnsi="Verdana"/>
          <w:sz w:val="22"/>
          <w:szCs w:val="22"/>
          <w:lang w:eastAsia="en-GB"/>
        </w:rPr>
        <w:t xml:space="preserve">the </w:t>
      </w:r>
      <w:r w:rsidRPr="00372BEF">
        <w:rPr>
          <w:rFonts w:ascii="Verdana" w:hAnsi="Verdana"/>
          <w:sz w:val="22"/>
          <w:szCs w:val="22"/>
          <w:lang w:eastAsia="en-GB"/>
        </w:rPr>
        <w:t>SCTS in its role of providing efficient and effective administration to Scotland's courts and tribunals and does not include the views of the Judiciary.</w:t>
      </w:r>
    </w:p>
    <w:p w:rsidR="00375B11" w:rsidRPr="00372BEF" w:rsidP="00372BEF">
      <w:pPr>
        <w:rPr>
          <w:rFonts w:ascii="Verdana" w:hAnsi="Verdana"/>
          <w:sz w:val="22"/>
          <w:szCs w:val="22"/>
          <w:lang w:eastAsia="en-GB"/>
        </w:rPr>
      </w:pPr>
    </w:p>
    <w:p w:rsidR="00781EFD" w:rsidRPr="00372BEF" w:rsidP="00372BEF">
      <w:pPr>
        <w:rPr>
          <w:rFonts w:ascii="Verdana" w:hAnsi="Verdana"/>
          <w:sz w:val="22"/>
          <w:szCs w:val="22"/>
          <w:lang w:eastAsia="en-GB"/>
        </w:rPr>
      </w:pPr>
      <w:r w:rsidRPr="00372BEF">
        <w:rPr>
          <w:rFonts w:ascii="Verdana" w:hAnsi="Verdana"/>
          <w:sz w:val="22"/>
          <w:szCs w:val="22"/>
          <w:lang w:eastAsia="en-GB"/>
        </w:rPr>
        <w:t xml:space="preserve">The SCTS is unable to comment on most of the questions posed </w:t>
      </w:r>
      <w:r w:rsidRPr="00372BEF" w:rsidR="00F95FEE">
        <w:rPr>
          <w:rFonts w:ascii="Verdana" w:hAnsi="Verdana"/>
          <w:sz w:val="22"/>
          <w:szCs w:val="22"/>
          <w:lang w:eastAsia="en-GB"/>
        </w:rPr>
        <w:t>however</w:t>
      </w:r>
      <w:r w:rsidRPr="00372BEF" w:rsidR="00623FED">
        <w:rPr>
          <w:rFonts w:ascii="Verdana" w:hAnsi="Verdana"/>
          <w:sz w:val="22"/>
          <w:szCs w:val="22"/>
          <w:lang w:eastAsia="en-GB"/>
        </w:rPr>
        <w:t>,</w:t>
      </w:r>
      <w:r w:rsidRPr="00372BEF" w:rsidR="00F95FEE">
        <w:rPr>
          <w:rFonts w:ascii="Verdana" w:hAnsi="Verdana"/>
          <w:sz w:val="22"/>
          <w:szCs w:val="22"/>
          <w:lang w:eastAsia="en-GB"/>
        </w:rPr>
        <w:t xml:space="preserve"> we have provided some </w:t>
      </w:r>
      <w:r w:rsidRPr="00372BEF" w:rsidR="42BE1EF2">
        <w:rPr>
          <w:rFonts w:ascii="Verdana" w:hAnsi="Verdana"/>
          <w:sz w:val="22"/>
          <w:szCs w:val="22"/>
          <w:lang w:eastAsia="en-GB"/>
        </w:rPr>
        <w:t xml:space="preserve">information </w:t>
      </w:r>
      <w:r w:rsidRPr="00372BEF" w:rsidR="00F95FEE">
        <w:rPr>
          <w:rFonts w:ascii="Verdana" w:hAnsi="Verdana"/>
          <w:sz w:val="22"/>
          <w:szCs w:val="22"/>
          <w:lang w:eastAsia="en-GB"/>
        </w:rPr>
        <w:t>below in response to question 8: “What differences are there between England and Wales, Scotland, and Northern Ireland in relation to support for jurors, and are there lessons to be learned from them, or from common law jurisdictions outside the UK?”</w:t>
      </w:r>
      <w:r w:rsidRPr="00372BEF" w:rsidR="00D975EC">
        <w:rPr>
          <w:rFonts w:ascii="Verdana" w:hAnsi="Verdana"/>
          <w:sz w:val="22"/>
          <w:szCs w:val="22"/>
          <w:lang w:eastAsia="en-GB"/>
        </w:rPr>
        <w:t>.</w:t>
      </w:r>
    </w:p>
    <w:p w:rsidR="00781EFD" w:rsidRPr="00372BEF" w:rsidP="00372BEF">
      <w:pPr>
        <w:rPr>
          <w:rFonts w:ascii="Verdana" w:hAnsi="Verdana"/>
          <w:sz w:val="22"/>
          <w:szCs w:val="22"/>
          <w:lang w:eastAsia="en-GB"/>
        </w:rPr>
      </w:pPr>
    </w:p>
    <w:p w:rsidR="00781EFD" w:rsidRPr="00372BEF" w:rsidP="00372BEF">
      <w:pPr>
        <w:rPr>
          <w:rFonts w:ascii="Verdana" w:hAnsi="Verdana"/>
          <w:b/>
          <w:bCs/>
          <w:sz w:val="22"/>
          <w:szCs w:val="22"/>
          <w:lang w:eastAsia="en-GB"/>
        </w:rPr>
      </w:pPr>
      <w:r w:rsidRPr="00372BEF">
        <w:rPr>
          <w:rFonts w:ascii="Verdana" w:hAnsi="Verdana"/>
          <w:b/>
          <w:bCs/>
          <w:sz w:val="22"/>
          <w:szCs w:val="22"/>
        </w:rPr>
        <w:t xml:space="preserve">Participation support before the trial </w:t>
      </w:r>
    </w:p>
    <w:p w:rsidR="00781EFD" w:rsidRPr="00372BEF" w:rsidP="00372BEF">
      <w:pPr>
        <w:rPr>
          <w:rFonts w:ascii="Verdana" w:hAnsi="Verdana"/>
          <w:sz w:val="22"/>
          <w:szCs w:val="22"/>
          <w:lang w:eastAsia="en-GB"/>
        </w:rPr>
      </w:pPr>
    </w:p>
    <w:p w:rsidR="00781EFD" w:rsidRPr="00372BEF" w:rsidP="00372BEF">
      <w:pPr>
        <w:rPr>
          <w:rFonts w:ascii="Verdana" w:hAnsi="Verdana"/>
          <w:sz w:val="22"/>
          <w:szCs w:val="22"/>
        </w:rPr>
      </w:pPr>
      <w:r w:rsidRPr="00372BEF">
        <w:rPr>
          <w:rFonts w:ascii="Verdana" w:hAnsi="Verdana"/>
          <w:sz w:val="22"/>
          <w:szCs w:val="22"/>
        </w:rPr>
        <w:t xml:space="preserve">The SCTS encourages prospective jurors with disabilities, accessibility requirements or support needs to contact the court as soon as they receive their citation so that individual arrangements can be discussed in advance. Dedicated Jury Liaison Officers can engage with jurors before attendance to understand requirements and identify appropriate adjustments. </w:t>
      </w:r>
    </w:p>
    <w:p w:rsidR="00781EFD" w:rsidRPr="00372BEF" w:rsidP="00372BEF">
      <w:pPr>
        <w:rPr>
          <w:rFonts w:ascii="Verdana" w:hAnsi="Verdana"/>
          <w:sz w:val="22"/>
          <w:szCs w:val="22"/>
        </w:rPr>
      </w:pPr>
    </w:p>
    <w:p w:rsidR="00140B87" w:rsidRPr="00372BEF" w:rsidP="00372BEF">
      <w:pPr>
        <w:rPr>
          <w:rFonts w:ascii="Verdana" w:hAnsi="Verdana"/>
          <w:sz w:val="22"/>
          <w:szCs w:val="22"/>
        </w:rPr>
      </w:pPr>
      <w:r w:rsidRPr="00372BEF">
        <w:rPr>
          <w:rFonts w:ascii="Verdana" w:hAnsi="Verdana"/>
          <w:sz w:val="22"/>
          <w:szCs w:val="22"/>
        </w:rPr>
        <w:t xml:space="preserve">We have </w:t>
      </w:r>
      <w:r w:rsidRPr="00372BEF" w:rsidR="6C0450F2">
        <w:rPr>
          <w:rFonts w:ascii="Verdana" w:hAnsi="Verdana"/>
          <w:sz w:val="22"/>
          <w:szCs w:val="22"/>
        </w:rPr>
        <w:t>a</w:t>
      </w:r>
      <w:r w:rsidRPr="00372BEF">
        <w:rPr>
          <w:rFonts w:ascii="Verdana" w:hAnsi="Verdana"/>
          <w:sz w:val="22"/>
          <w:szCs w:val="22"/>
        </w:rPr>
        <w:t>ccessibility information and videos available on the SCTS website</w:t>
      </w:r>
      <w:r w:rsidRPr="00372BEF">
        <w:rPr>
          <w:rFonts w:ascii="Verdana" w:hAnsi="Verdana"/>
          <w:sz w:val="22"/>
          <w:szCs w:val="22"/>
        </w:rPr>
        <w:t>:</w:t>
      </w:r>
    </w:p>
    <w:p w:rsidR="6636BF5B" w:rsidRPr="00372BEF" w:rsidP="00372BEF">
      <w:pPr>
        <w:rPr>
          <w:rFonts w:ascii="Verdana" w:hAnsi="Verdana"/>
          <w:sz w:val="22"/>
          <w:szCs w:val="22"/>
        </w:rPr>
      </w:pPr>
    </w:p>
    <w:p w:rsidR="00781EFD" w:rsidRPr="00372BEF" w:rsidP="00372BEF">
      <w:pPr>
        <w:rPr>
          <w:rFonts w:ascii="Verdana" w:hAnsi="Verdana"/>
          <w:sz w:val="22"/>
          <w:szCs w:val="22"/>
        </w:rPr>
      </w:pPr>
      <w:r>
        <w:fldChar w:fldCharType="begin"/>
      </w:r>
      <w:r>
        <w:instrText xml:space="preserve"> HYPERLINK "https://www.scotcourts.gov.uk/coming-to-court/jurors/accessibility-for-jurors/" </w:instrText>
      </w:r>
      <w:r>
        <w:fldChar w:fldCharType="separate"/>
      </w:r>
      <w:r w:rsidRPr="00372BEF">
        <w:rPr>
          <w:rStyle w:val="Hyperlink"/>
          <w:rFonts w:ascii="Verdana" w:hAnsi="Verdana"/>
          <w:color w:val="auto"/>
          <w:sz w:val="22"/>
          <w:szCs w:val="22"/>
        </w:rPr>
        <w:t>https://www.scotcourts.gov.uk/coming-to-court/jurors/accessibility-for-jurors/</w:t>
      </w:r>
      <w:r>
        <w:fldChar w:fldCharType="end"/>
      </w:r>
    </w:p>
    <w:p w:rsidR="6636BF5B" w:rsidRPr="00372BEF" w:rsidP="00372BEF">
      <w:pPr>
        <w:rPr>
          <w:rFonts w:ascii="Verdana" w:hAnsi="Verdana"/>
          <w:sz w:val="22"/>
          <w:szCs w:val="22"/>
        </w:rPr>
      </w:pPr>
    </w:p>
    <w:p w:rsidR="00781EFD" w:rsidRPr="00372BEF" w:rsidP="00372BEF">
      <w:pPr>
        <w:rPr>
          <w:rFonts w:ascii="Verdana" w:hAnsi="Verdana"/>
          <w:sz w:val="22"/>
          <w:szCs w:val="22"/>
          <w:lang w:eastAsia="en-GB"/>
        </w:rPr>
      </w:pPr>
      <w:r w:rsidRPr="00372BEF">
        <w:rPr>
          <w:rFonts w:ascii="Verdana" w:hAnsi="Verdana"/>
          <w:sz w:val="22"/>
          <w:szCs w:val="22"/>
        </w:rPr>
        <w:t xml:space="preserve">These </w:t>
      </w:r>
      <w:r w:rsidRPr="00372BEF" w:rsidR="66D74D46">
        <w:rPr>
          <w:rFonts w:ascii="Verdana" w:hAnsi="Verdana"/>
          <w:sz w:val="22"/>
          <w:szCs w:val="22"/>
        </w:rPr>
        <w:t>provide</w:t>
      </w:r>
      <w:r w:rsidRPr="00372BEF">
        <w:rPr>
          <w:rFonts w:ascii="Verdana" w:hAnsi="Verdana"/>
          <w:sz w:val="22"/>
          <w:szCs w:val="22"/>
        </w:rPr>
        <w:t xml:space="preserve"> some examples of the types of reasonable adjustments and support we can </w:t>
      </w:r>
      <w:r w:rsidRPr="00372BEF" w:rsidR="79F8E781">
        <w:rPr>
          <w:rFonts w:ascii="Verdana" w:hAnsi="Verdana"/>
          <w:sz w:val="22"/>
          <w:szCs w:val="22"/>
        </w:rPr>
        <w:t>put in place.</w:t>
      </w:r>
    </w:p>
    <w:p w:rsidR="00781EFD" w:rsidRPr="00372BEF" w:rsidP="00372BEF">
      <w:pPr>
        <w:rPr>
          <w:rFonts w:ascii="Verdana" w:hAnsi="Verdana"/>
          <w:sz w:val="22"/>
          <w:szCs w:val="22"/>
          <w:lang w:eastAsia="en-GB"/>
        </w:rPr>
      </w:pPr>
    </w:p>
    <w:p w:rsidR="00140B87" w:rsidRPr="00372BEF" w:rsidP="00372BEF">
      <w:pPr>
        <w:rPr>
          <w:rFonts w:ascii="Verdana" w:hAnsi="Verdana"/>
          <w:sz w:val="22"/>
          <w:szCs w:val="22"/>
        </w:rPr>
      </w:pPr>
      <w:r w:rsidRPr="00372BEF">
        <w:rPr>
          <w:rFonts w:ascii="Verdana" w:hAnsi="Verdana"/>
          <w:sz w:val="22"/>
          <w:szCs w:val="22"/>
        </w:rPr>
        <w:t xml:space="preserve">Prospective jurors </w:t>
      </w:r>
      <w:r w:rsidRPr="00372BEF" w:rsidR="605B2F6D">
        <w:rPr>
          <w:rFonts w:ascii="Verdana" w:hAnsi="Verdana"/>
          <w:sz w:val="22"/>
          <w:szCs w:val="22"/>
        </w:rPr>
        <w:t>can be given</w:t>
      </w:r>
      <w:r w:rsidRPr="00372BEF">
        <w:rPr>
          <w:rFonts w:ascii="Verdana" w:hAnsi="Verdana"/>
          <w:sz w:val="22"/>
          <w:szCs w:val="22"/>
        </w:rPr>
        <w:t xml:space="preserve"> the opportunity to visit the court in advance of their jury service. This allows individuals to familiarise themselves with the court environment, view court facilities, and discuss any concerns or support requirements before </w:t>
      </w:r>
      <w:r w:rsidRPr="00372BEF" w:rsidR="33FF73F0">
        <w:rPr>
          <w:rFonts w:ascii="Verdana" w:hAnsi="Verdana"/>
          <w:sz w:val="22"/>
          <w:szCs w:val="22"/>
        </w:rPr>
        <w:t xml:space="preserve">their </w:t>
      </w:r>
      <w:r w:rsidRPr="00372BEF">
        <w:rPr>
          <w:rFonts w:ascii="Verdana" w:hAnsi="Verdana"/>
          <w:sz w:val="22"/>
          <w:szCs w:val="22"/>
        </w:rPr>
        <w:t>jury service begins.</w:t>
      </w:r>
    </w:p>
    <w:p w:rsidR="6636BF5B" w:rsidRPr="00372BEF" w:rsidP="00372BEF">
      <w:pPr>
        <w:rPr>
          <w:rFonts w:ascii="Verdana" w:hAnsi="Verdana"/>
          <w:sz w:val="22"/>
          <w:szCs w:val="22"/>
        </w:rPr>
      </w:pPr>
    </w:p>
    <w:p w:rsidR="00E762D5" w:rsidRPr="00372BEF" w:rsidP="00372BEF">
      <w:pPr>
        <w:rPr>
          <w:rFonts w:ascii="Verdana" w:hAnsi="Verdana"/>
          <w:sz w:val="22"/>
          <w:szCs w:val="22"/>
        </w:rPr>
      </w:pPr>
      <w:r w:rsidRPr="00372BEF">
        <w:rPr>
          <w:rFonts w:ascii="Verdana" w:hAnsi="Verdana"/>
          <w:sz w:val="22"/>
          <w:szCs w:val="22"/>
        </w:rPr>
        <w:t>If a juror feels that, due to illness or disability, they may be unable to follow the evidence, they can apply for exemption before the start of the trial</w:t>
      </w:r>
      <w:r w:rsidRPr="00372BEF" w:rsidR="13121A0C">
        <w:rPr>
          <w:rFonts w:ascii="Verdana" w:hAnsi="Verdana"/>
          <w:sz w:val="22"/>
          <w:szCs w:val="22"/>
        </w:rPr>
        <w:t>. A</w:t>
      </w:r>
      <w:r w:rsidRPr="00372BEF">
        <w:rPr>
          <w:rFonts w:ascii="Verdana" w:hAnsi="Verdana"/>
          <w:sz w:val="22"/>
          <w:szCs w:val="22"/>
        </w:rPr>
        <w:t xml:space="preserve"> medical certificate i</w:t>
      </w:r>
      <w:r w:rsidRPr="00372BEF" w:rsidR="33657B89">
        <w:rPr>
          <w:rFonts w:ascii="Verdana" w:hAnsi="Verdana"/>
          <w:sz w:val="22"/>
          <w:szCs w:val="22"/>
        </w:rPr>
        <w:t>s required to</w:t>
      </w:r>
      <w:r w:rsidRPr="00372BEF">
        <w:rPr>
          <w:rFonts w:ascii="Verdana" w:hAnsi="Verdana"/>
          <w:sz w:val="22"/>
          <w:szCs w:val="22"/>
        </w:rPr>
        <w:t xml:space="preserve"> support the application.</w:t>
      </w:r>
    </w:p>
    <w:p w:rsidR="6636BF5B" w:rsidRPr="00372BEF" w:rsidP="00372BEF">
      <w:pPr>
        <w:rPr>
          <w:rFonts w:ascii="Verdana" w:hAnsi="Verdana"/>
          <w:sz w:val="22"/>
          <w:szCs w:val="22"/>
        </w:rPr>
      </w:pPr>
    </w:p>
    <w:p w:rsidR="00781EFD" w:rsidRPr="00372BEF" w:rsidP="00372BEF">
      <w:pPr>
        <w:rPr>
          <w:rFonts w:ascii="Verdana" w:hAnsi="Verdana"/>
          <w:sz w:val="22"/>
          <w:szCs w:val="22"/>
          <w:lang w:val="en-US"/>
        </w:rPr>
      </w:pPr>
      <w:r w:rsidRPr="00372BEF">
        <w:rPr>
          <w:rFonts w:ascii="Verdana" w:hAnsi="Verdana"/>
          <w:sz w:val="22"/>
          <w:szCs w:val="22"/>
          <w:lang w:val="en-US"/>
        </w:rPr>
        <w:t>Medical certificates from GPs for the purpose of jury service are provided free of charge in terms of The National Health Service (General Medical Services Contracts) (Scotland) Regulations 2018.</w:t>
      </w:r>
    </w:p>
    <w:p w:rsidR="00781EFD" w:rsidRPr="00372BEF" w:rsidP="00372BEF">
      <w:pPr>
        <w:rPr>
          <w:rFonts w:ascii="Verdana" w:hAnsi="Verdana"/>
          <w:sz w:val="22"/>
          <w:szCs w:val="22"/>
          <w:lang w:val="en-US"/>
        </w:rPr>
      </w:pPr>
    </w:p>
    <w:p w:rsidR="00781EFD" w:rsidRPr="00372BEF" w:rsidP="00372BEF">
      <w:pPr>
        <w:rPr>
          <w:rFonts w:ascii="Verdana" w:hAnsi="Verdana"/>
          <w:b/>
          <w:bCs/>
          <w:sz w:val="22"/>
          <w:szCs w:val="22"/>
          <w:lang w:eastAsia="en-GB"/>
        </w:rPr>
      </w:pPr>
      <w:r w:rsidRPr="00372BEF">
        <w:rPr>
          <w:rFonts w:ascii="Verdana" w:hAnsi="Verdana"/>
          <w:b/>
          <w:bCs/>
          <w:sz w:val="22"/>
          <w:szCs w:val="22"/>
        </w:rPr>
        <w:t>Participation support during the trial</w:t>
      </w:r>
    </w:p>
    <w:p w:rsidR="00781EFD" w:rsidRPr="00372BEF" w:rsidP="00372BEF">
      <w:pPr>
        <w:rPr>
          <w:rFonts w:ascii="Verdana" w:hAnsi="Verdana"/>
          <w:sz w:val="22"/>
          <w:szCs w:val="22"/>
          <w:lang w:eastAsia="en-GB"/>
        </w:rPr>
      </w:pPr>
    </w:p>
    <w:p w:rsidR="00781EFD" w:rsidRPr="00372BEF" w:rsidP="00372BEF">
      <w:pPr>
        <w:rPr>
          <w:rFonts w:ascii="Verdana" w:hAnsi="Verdana"/>
          <w:sz w:val="22"/>
          <w:szCs w:val="22"/>
          <w:lang w:eastAsia="en-GB"/>
        </w:rPr>
      </w:pPr>
      <w:r w:rsidRPr="00372BEF">
        <w:rPr>
          <w:rFonts w:ascii="Verdana" w:hAnsi="Verdana"/>
          <w:sz w:val="22"/>
          <w:szCs w:val="22"/>
        </w:rPr>
        <w:t>Most court buildings provide accessible facilities for individuals with reduced mobility, including ramps, lifts and other adaptations where required. Alternative arrangements can also be considered where the physical layout of older buildings presents challenges.</w:t>
      </w:r>
    </w:p>
    <w:p w:rsidR="00781EFD" w:rsidRPr="00372BEF" w:rsidP="00372BEF">
      <w:pPr>
        <w:rPr>
          <w:rFonts w:ascii="Verdana" w:hAnsi="Verdana"/>
          <w:sz w:val="22"/>
          <w:szCs w:val="22"/>
          <w:lang w:eastAsia="en-GB"/>
        </w:rPr>
      </w:pPr>
    </w:p>
    <w:p w:rsidR="00781EFD" w:rsidRPr="00372BEF" w:rsidP="00372BEF">
      <w:pPr>
        <w:rPr>
          <w:rFonts w:ascii="Verdana" w:hAnsi="Verdana"/>
          <w:sz w:val="22"/>
          <w:szCs w:val="22"/>
        </w:rPr>
      </w:pPr>
      <w:r w:rsidRPr="00372BEF">
        <w:rPr>
          <w:rFonts w:ascii="Verdana" w:hAnsi="Verdana"/>
          <w:sz w:val="22"/>
          <w:szCs w:val="22"/>
        </w:rPr>
        <w:t>The majority of</w:t>
      </w:r>
      <w:r w:rsidRPr="00372BEF">
        <w:rPr>
          <w:rFonts w:ascii="Verdana" w:hAnsi="Verdana"/>
          <w:sz w:val="22"/>
          <w:szCs w:val="22"/>
        </w:rPr>
        <w:t xml:space="preserve"> Scottish courtrooms are sound-</w:t>
      </w:r>
      <w:r w:rsidRPr="00372BEF">
        <w:rPr>
          <w:rFonts w:ascii="Verdana" w:hAnsi="Verdana"/>
          <w:sz w:val="22"/>
          <w:szCs w:val="22"/>
        </w:rPr>
        <w:t>enhanced</w:t>
      </w:r>
      <w:r w:rsidRPr="00372BEF">
        <w:rPr>
          <w:rFonts w:ascii="Verdana" w:hAnsi="Verdana"/>
          <w:sz w:val="22"/>
          <w:szCs w:val="22"/>
        </w:rPr>
        <w:t xml:space="preserve"> and many are equipped with hearing-assistance systems such as induction loops or Phonic Ear </w:t>
      </w:r>
      <w:r w:rsidRPr="00372BEF">
        <w:rPr>
          <w:rFonts w:ascii="Verdana" w:hAnsi="Verdana"/>
          <w:sz w:val="22"/>
          <w:szCs w:val="22"/>
        </w:rPr>
        <w:t>systems. These measures help ensure jurors can hear and follow evidence throughout proceedings</w:t>
      </w:r>
      <w:r w:rsidRPr="00372BEF" w:rsidR="00E762D5">
        <w:rPr>
          <w:rFonts w:ascii="Verdana" w:hAnsi="Verdana"/>
          <w:sz w:val="22"/>
          <w:szCs w:val="22"/>
        </w:rPr>
        <w:t>.</w:t>
      </w:r>
      <w:r w:rsidRPr="00372BEF" w:rsidR="1E5E9243">
        <w:rPr>
          <w:rFonts w:ascii="Verdana" w:hAnsi="Verdana"/>
          <w:sz w:val="22"/>
          <w:szCs w:val="22"/>
        </w:rPr>
        <w:t xml:space="preserve">  We also have portable hearing loop systems which can be </w:t>
      </w:r>
      <w:r w:rsidRPr="00372BEF" w:rsidR="2989FE80">
        <w:rPr>
          <w:rFonts w:ascii="Verdana" w:hAnsi="Verdana"/>
          <w:sz w:val="22"/>
          <w:szCs w:val="22"/>
        </w:rPr>
        <w:t>provided</w:t>
      </w:r>
      <w:r w:rsidRPr="00372BEF" w:rsidR="1E5E9243">
        <w:rPr>
          <w:rFonts w:ascii="Verdana" w:hAnsi="Verdana"/>
          <w:sz w:val="22"/>
          <w:szCs w:val="22"/>
        </w:rPr>
        <w:t xml:space="preserve"> if required on request.  </w:t>
      </w:r>
    </w:p>
    <w:p w:rsidR="00781EFD" w:rsidRPr="00372BEF" w:rsidP="00372BEF">
      <w:pPr>
        <w:rPr>
          <w:rFonts w:ascii="Verdana" w:hAnsi="Verdana"/>
          <w:sz w:val="22"/>
          <w:szCs w:val="22"/>
        </w:rPr>
      </w:pPr>
    </w:p>
    <w:p w:rsidR="003B6AC7" w:rsidRPr="00372BEF" w:rsidP="00372BEF">
      <w:pPr>
        <w:rPr>
          <w:rFonts w:ascii="Verdana" w:hAnsi="Verdana"/>
          <w:sz w:val="22"/>
          <w:szCs w:val="22"/>
        </w:rPr>
      </w:pPr>
      <w:r w:rsidRPr="00372BEF">
        <w:rPr>
          <w:rFonts w:ascii="Verdana" w:hAnsi="Verdana"/>
          <w:sz w:val="22"/>
          <w:szCs w:val="22"/>
        </w:rPr>
        <w:t>A significant recent development is the introduction of legislation enabling the appointment of a communication supporter for certain jurors</w:t>
      </w:r>
      <w:r w:rsidRPr="00372BEF" w:rsidR="4660023B">
        <w:rPr>
          <w:rFonts w:ascii="Verdana" w:hAnsi="Verdana"/>
          <w:sz w:val="22"/>
          <w:szCs w:val="22"/>
        </w:rPr>
        <w:t xml:space="preserve"> with a disability</w:t>
      </w:r>
      <w:r w:rsidRPr="00372BEF">
        <w:rPr>
          <w:rFonts w:ascii="Verdana" w:hAnsi="Verdana"/>
          <w:sz w:val="22"/>
          <w:szCs w:val="22"/>
        </w:rPr>
        <w:t>.</w:t>
      </w:r>
    </w:p>
    <w:p w:rsidR="00781EFD" w:rsidRPr="00372BEF" w:rsidP="00372BEF">
      <w:pPr>
        <w:rPr>
          <w:rFonts w:ascii="Verdana" w:hAnsi="Verdana"/>
          <w:sz w:val="22"/>
          <w:szCs w:val="22"/>
          <w:lang w:eastAsia="en-GB"/>
        </w:rPr>
      </w:pPr>
      <w:r w:rsidRPr="00372BEF">
        <w:rPr>
          <w:rFonts w:ascii="Verdana" w:hAnsi="Verdana"/>
          <w:sz w:val="22"/>
          <w:szCs w:val="22"/>
        </w:rPr>
        <w:t>For criminal trials commencing on or after 2 November 2026, a communication supporter may be appointed to assist a juror throughout the trial, including during jury deliberations. This is intended particularly to support individuals with hearing impairments and other communication difficulties who may previously have been unable to participate fully as jurors because no support</w:t>
      </w:r>
      <w:r w:rsidRPr="00372BEF" w:rsidR="296AB298">
        <w:rPr>
          <w:rFonts w:ascii="Verdana" w:hAnsi="Verdana"/>
          <w:sz w:val="22"/>
          <w:szCs w:val="22"/>
        </w:rPr>
        <w:t>er</w:t>
      </w:r>
      <w:r w:rsidRPr="00372BEF">
        <w:rPr>
          <w:rFonts w:ascii="Verdana" w:hAnsi="Verdana"/>
          <w:sz w:val="22"/>
          <w:szCs w:val="22"/>
        </w:rPr>
        <w:t xml:space="preserve"> could accompany them into the jury room.</w:t>
      </w:r>
    </w:p>
    <w:p w:rsidR="00781EFD" w:rsidRPr="00372BEF" w:rsidP="00372BEF">
      <w:pPr>
        <w:rPr>
          <w:rFonts w:ascii="Verdana" w:hAnsi="Verdana"/>
          <w:sz w:val="22"/>
          <w:szCs w:val="22"/>
          <w:lang w:eastAsia="en-GB"/>
        </w:rPr>
      </w:pPr>
    </w:p>
    <w:p w:rsidR="00781EFD" w:rsidRPr="00372BEF" w:rsidP="00372BEF">
      <w:pPr>
        <w:rPr>
          <w:rFonts w:ascii="Verdana" w:hAnsi="Verdana"/>
          <w:sz w:val="22"/>
          <w:szCs w:val="22"/>
          <w:lang w:eastAsia="en-GB"/>
        </w:rPr>
      </w:pPr>
      <w:r w:rsidRPr="00372BEF">
        <w:rPr>
          <w:rFonts w:ascii="Verdana" w:hAnsi="Verdana"/>
          <w:sz w:val="22"/>
          <w:szCs w:val="22"/>
        </w:rPr>
        <w:t xml:space="preserve">In addition, the SCTS </w:t>
      </w:r>
      <w:r w:rsidRPr="00372BEF" w:rsidR="00C40B00">
        <w:rPr>
          <w:rFonts w:ascii="Verdana" w:hAnsi="Verdana"/>
          <w:sz w:val="22"/>
          <w:szCs w:val="22"/>
        </w:rPr>
        <w:t>has</w:t>
      </w:r>
      <w:r w:rsidRPr="00372BEF">
        <w:rPr>
          <w:rFonts w:ascii="Verdana" w:hAnsi="Verdana"/>
          <w:sz w:val="22"/>
          <w:szCs w:val="22"/>
        </w:rPr>
        <w:t xml:space="preserve"> adopted trauma-informed </w:t>
      </w:r>
      <w:r w:rsidRPr="00372BEF" w:rsidR="3DDC0081">
        <w:rPr>
          <w:rFonts w:ascii="Verdana" w:hAnsi="Verdana"/>
          <w:sz w:val="22"/>
          <w:szCs w:val="22"/>
        </w:rPr>
        <w:t>practice</w:t>
      </w:r>
      <w:r w:rsidRPr="00372BEF">
        <w:rPr>
          <w:rFonts w:ascii="Verdana" w:hAnsi="Verdana"/>
          <w:sz w:val="22"/>
          <w:szCs w:val="22"/>
        </w:rPr>
        <w:t xml:space="preserve"> across its services. Although much of this work has focused on victims and witnesses, it reflects a wider recognition across the justice sector that participation in court proceedings can </w:t>
      </w:r>
      <w:r w:rsidRPr="00372BEF" w:rsidR="0F3A7674">
        <w:rPr>
          <w:rFonts w:ascii="Verdana" w:hAnsi="Verdana"/>
          <w:sz w:val="22"/>
          <w:szCs w:val="22"/>
        </w:rPr>
        <w:t xml:space="preserve">be psychologically </w:t>
      </w:r>
      <w:r w:rsidRPr="00372BEF" w:rsidR="78DA534B">
        <w:rPr>
          <w:rFonts w:ascii="Verdana" w:hAnsi="Verdana"/>
          <w:sz w:val="22"/>
          <w:szCs w:val="22"/>
        </w:rPr>
        <w:t xml:space="preserve">demanding </w:t>
      </w:r>
      <w:r w:rsidRPr="00372BEF">
        <w:rPr>
          <w:rFonts w:ascii="Verdana" w:hAnsi="Verdana"/>
          <w:sz w:val="22"/>
          <w:szCs w:val="22"/>
        </w:rPr>
        <w:t>and that support arrangements should seek to minimise harm and promote resilience.</w:t>
      </w:r>
    </w:p>
    <w:p w:rsidR="00781EFD" w:rsidRPr="00372BEF" w:rsidP="00372BEF">
      <w:pPr>
        <w:rPr>
          <w:rFonts w:ascii="Verdana" w:hAnsi="Verdana"/>
          <w:sz w:val="22"/>
          <w:szCs w:val="22"/>
          <w:lang w:eastAsia="en-GB"/>
        </w:rPr>
      </w:pPr>
    </w:p>
    <w:p w:rsidR="00781EFD" w:rsidRPr="00372BEF" w:rsidP="00372BEF">
      <w:pPr>
        <w:rPr>
          <w:rFonts w:ascii="Verdana" w:hAnsi="Verdana"/>
          <w:b/>
          <w:bCs/>
          <w:sz w:val="22"/>
          <w:szCs w:val="22"/>
          <w:lang w:eastAsia="en-GB"/>
        </w:rPr>
      </w:pPr>
      <w:r w:rsidRPr="00372BEF">
        <w:rPr>
          <w:rFonts w:ascii="Verdana" w:hAnsi="Verdana"/>
          <w:b/>
          <w:bCs/>
          <w:sz w:val="22"/>
          <w:szCs w:val="22"/>
        </w:rPr>
        <w:t>Support for jurors after the trial</w:t>
      </w:r>
    </w:p>
    <w:p w:rsidR="00781EFD" w:rsidRPr="00372BEF" w:rsidP="00372BEF">
      <w:pPr>
        <w:rPr>
          <w:rFonts w:ascii="Verdana" w:hAnsi="Verdana"/>
          <w:sz w:val="22"/>
          <w:szCs w:val="22"/>
        </w:rPr>
      </w:pPr>
    </w:p>
    <w:p w:rsidR="00781EFD" w:rsidRPr="00372BEF" w:rsidP="00372BEF">
      <w:pPr>
        <w:rPr>
          <w:rFonts w:ascii="Verdana" w:hAnsi="Verdana"/>
          <w:sz w:val="22"/>
          <w:szCs w:val="22"/>
        </w:rPr>
      </w:pPr>
      <w:r w:rsidRPr="00372BEF">
        <w:rPr>
          <w:rFonts w:ascii="Verdana" w:hAnsi="Verdana"/>
          <w:sz w:val="22"/>
          <w:szCs w:val="22"/>
        </w:rPr>
        <w:t xml:space="preserve">The SCTS recognises that jury service can expose citizens to potentially traumatic and distressing </w:t>
      </w:r>
      <w:r w:rsidRPr="00372BEF" w:rsidR="71CEADE8">
        <w:rPr>
          <w:rFonts w:ascii="Verdana" w:hAnsi="Verdana"/>
          <w:sz w:val="22"/>
          <w:szCs w:val="22"/>
        </w:rPr>
        <w:t>evidence</w:t>
      </w:r>
      <w:r w:rsidRPr="00372BEF">
        <w:rPr>
          <w:rFonts w:ascii="Verdana" w:hAnsi="Verdana"/>
          <w:sz w:val="22"/>
          <w:szCs w:val="22"/>
        </w:rPr>
        <w:t xml:space="preserve">. </w:t>
      </w:r>
    </w:p>
    <w:p w:rsidR="00781EFD" w:rsidRPr="00372BEF" w:rsidP="00372BEF">
      <w:pPr>
        <w:rPr>
          <w:rFonts w:ascii="Verdana" w:hAnsi="Verdana"/>
          <w:sz w:val="22"/>
          <w:szCs w:val="22"/>
        </w:rPr>
      </w:pPr>
    </w:p>
    <w:p w:rsidR="00C40B00" w:rsidRPr="00372BEF" w:rsidP="00372BEF">
      <w:pPr>
        <w:rPr>
          <w:rFonts w:ascii="Verdana" w:hAnsi="Verdana"/>
          <w:sz w:val="22"/>
          <w:szCs w:val="22"/>
        </w:rPr>
      </w:pPr>
      <w:r w:rsidRPr="00372BEF">
        <w:rPr>
          <w:rFonts w:ascii="Verdana" w:hAnsi="Verdana"/>
          <w:sz w:val="22"/>
          <w:szCs w:val="22"/>
        </w:rPr>
        <w:t>As a result, arrangements are in place whereby jurors may be referred, with judicial approval, to a dedicated psychological support service provided through the Rivers Centre, NHS Lothian. The service is available where the nature of the evidence heard during a trial may have had a significant emotional or psychological impact on jurors.</w:t>
      </w:r>
    </w:p>
    <w:p w:rsidR="00D975EC" w:rsidRPr="00372BEF" w:rsidP="00372BEF">
      <w:pPr>
        <w:rPr>
          <w:rFonts w:ascii="Verdana" w:hAnsi="Verdana"/>
          <w:sz w:val="22"/>
          <w:szCs w:val="22"/>
          <w:lang w:eastAsia="en-GB"/>
        </w:rPr>
      </w:pPr>
    </w:p>
    <w:p w:rsidR="000122D7" w:rsidRPr="00372BEF" w:rsidP="00372BEF">
      <w:pPr>
        <w:rPr>
          <w:rFonts w:ascii="Verdana" w:hAnsi="Verdana"/>
          <w:sz w:val="22"/>
          <w:szCs w:val="22"/>
          <w:lang w:eastAsia="en-GB"/>
        </w:rPr>
      </w:pPr>
      <w:r w:rsidRPr="00372BEF">
        <w:rPr>
          <w:rFonts w:ascii="Verdana" w:hAnsi="Verdana"/>
          <w:sz w:val="22"/>
          <w:szCs w:val="22"/>
          <w:lang w:eastAsia="en-GB"/>
        </w:rPr>
        <w:t xml:space="preserve">In summary, the SCTS seeks to support jurors </w:t>
      </w:r>
      <w:r w:rsidRPr="00372BEF" w:rsidR="276E7D0A">
        <w:rPr>
          <w:rFonts w:ascii="Verdana" w:hAnsi="Verdana"/>
          <w:sz w:val="22"/>
          <w:szCs w:val="22"/>
          <w:lang w:eastAsia="en-GB"/>
        </w:rPr>
        <w:t>throughout the</w:t>
      </w:r>
      <w:r w:rsidRPr="00372BEF">
        <w:rPr>
          <w:rFonts w:ascii="Verdana" w:hAnsi="Verdana"/>
          <w:sz w:val="22"/>
          <w:szCs w:val="22"/>
          <w:lang w:eastAsia="en-GB"/>
        </w:rPr>
        <w:t xml:space="preserve"> jury service process, from pre-attendance engagement and accessibility planning through to practical assistance during the trial and psychological support where appropriate after proceedings have concluded. Recent legislative changes enabling communication supporters for certain disabled jurors represent a significant step forward in improving accessibility and participation.</w:t>
      </w:r>
    </w:p>
    <w:p w:rsidR="000122D7" w:rsidRPr="00372BEF" w:rsidP="00372BEF">
      <w:pPr>
        <w:rPr>
          <w:rFonts w:ascii="Verdana" w:hAnsi="Verdana"/>
          <w:sz w:val="22"/>
          <w:szCs w:val="22"/>
          <w:lang w:eastAsia="en-GB"/>
        </w:rPr>
      </w:pPr>
    </w:p>
    <w:p w:rsidR="000122D7" w:rsidRPr="00372BEF" w:rsidP="00372BEF">
      <w:pPr>
        <w:rPr>
          <w:rFonts w:ascii="Verdana" w:hAnsi="Verdana"/>
          <w:sz w:val="22"/>
          <w:szCs w:val="22"/>
          <w:lang w:eastAsia="en-GB"/>
        </w:rPr>
      </w:pPr>
      <w:r w:rsidRPr="00372BEF">
        <w:rPr>
          <w:rFonts w:ascii="Verdana" w:hAnsi="Verdana"/>
          <w:sz w:val="22"/>
          <w:szCs w:val="22"/>
          <w:lang w:eastAsia="en-GB"/>
        </w:rPr>
        <w:t>Taken together, these measures reflect an ongoing commitment to reducing barriers to jury service and supporting citizens to participate effectively in Scotland's justice system.</w:t>
      </w:r>
    </w:p>
    <w:p w:rsidR="005805A0" w:rsidRPr="00372BEF" w:rsidP="00372BEF">
      <w:pPr>
        <w:rPr>
          <w:rFonts w:ascii="Verdana" w:hAnsi="Verdana"/>
          <w:sz w:val="22"/>
          <w:szCs w:val="22"/>
        </w:rPr>
      </w:pPr>
    </w:p>
    <w:p w:rsidR="006F462E" w:rsidRPr="00372BEF" w:rsidP="00372BEF">
      <w:pPr>
        <w:rPr>
          <w:rFonts w:ascii="Verdana" w:hAnsi="Verdana"/>
          <w:i/>
          <w:iCs/>
          <w:sz w:val="22"/>
          <w:szCs w:val="22"/>
        </w:rPr>
      </w:pPr>
      <w:r w:rsidRPr="00372BEF">
        <w:rPr>
          <w:rFonts w:ascii="Verdana" w:hAnsi="Verdana"/>
          <w:i/>
          <w:iCs/>
          <w:sz w:val="22"/>
          <w:szCs w:val="22"/>
        </w:rPr>
        <w:t>September 2026</w:t>
      </w:r>
      <w:r w:rsidRPr="00372BEF" w:rsidR="0044752C">
        <w:rPr>
          <w:rFonts w:ascii="Verdana" w:hAnsi="Verdana"/>
          <w:i/>
          <w:iCs/>
          <w:sz w:val="22"/>
          <w:szCs w:val="22"/>
        </w:rPr>
        <w:t xml:space="preserve"> </w:t>
      </w:r>
    </w:p>
    <w:sectPr w:rsidSect="007278A4">
      <w:footerReference w:type="default" r:id="rId9"/>
      <w:pgSz w:w="11906" w:h="16838"/>
      <w:pgMar w:top="1440" w:right="1440" w:bottom="1440" w:left="1440" w:header="630" w:footer="345"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78A4" w:rsidRPr="009549B2" w:rsidP="007278A4">
    <w:pPr>
      <w:pStyle w:val="Footer"/>
      <w:tabs>
        <w:tab w:val="clear" w:pos="4153"/>
        <w:tab w:val="clear" w:pos="8306"/>
        <w:tab w:val="right" w:pos="8931"/>
        <w:tab w:val="right" w:pos="9072"/>
      </w:tabs>
      <w:ind w:right="-382"/>
      <w:rPr>
        <w:rFonts w:ascii="Arial" w:hAnsi="Arial" w:cs="Arial"/>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AD5F79"/>
    <w:multiLevelType w:val="hybridMultilevel"/>
    <w:tmpl w:val="5EEE3536"/>
    <w:lvl w:ilvl="0">
      <w:start w:val="1"/>
      <w:numFmt w:val="bullet"/>
      <w:lvlText w:val=""/>
      <w:lvlJc w:val="left"/>
      <w:pPr>
        <w:ind w:left="-393" w:hanging="57"/>
      </w:pPr>
      <w:rPr>
        <w:rFonts w:ascii="Symbol" w:hAnsi="Symbol" w:hint="default"/>
      </w:rPr>
    </w:lvl>
    <w:lvl w:ilvl="1">
      <w:start w:val="1"/>
      <w:numFmt w:val="bullet"/>
      <w:lvlText w:val="o"/>
      <w:lvlJc w:val="left"/>
      <w:pPr>
        <w:ind w:left="990" w:hanging="360"/>
      </w:pPr>
      <w:rPr>
        <w:rFonts w:ascii="Courier New" w:hAnsi="Courier New" w:cs="Courier New" w:hint="default"/>
      </w:rPr>
    </w:lvl>
    <w:lvl w:ilvl="2">
      <w:start w:val="1"/>
      <w:numFmt w:val="bullet"/>
      <w:lvlText w:val=""/>
      <w:lvlJc w:val="left"/>
      <w:pPr>
        <w:ind w:left="1710" w:hanging="360"/>
      </w:pPr>
      <w:rPr>
        <w:rFonts w:ascii="Wingdings" w:hAnsi="Wingdings" w:hint="default"/>
      </w:rPr>
    </w:lvl>
    <w:lvl w:ilvl="3">
      <w:start w:val="1"/>
      <w:numFmt w:val="bullet"/>
      <w:lvlText w:val=""/>
      <w:lvlJc w:val="left"/>
      <w:pPr>
        <w:ind w:left="2430" w:hanging="360"/>
      </w:pPr>
      <w:rPr>
        <w:rFonts w:ascii="Symbol" w:hAnsi="Symbol" w:hint="default"/>
      </w:rPr>
    </w:lvl>
    <w:lvl w:ilvl="4">
      <w:start w:val="1"/>
      <w:numFmt w:val="bullet"/>
      <w:lvlText w:val="o"/>
      <w:lvlJc w:val="left"/>
      <w:pPr>
        <w:ind w:left="3150" w:hanging="360"/>
      </w:pPr>
      <w:rPr>
        <w:rFonts w:ascii="Courier New" w:hAnsi="Courier New" w:cs="Courier New" w:hint="default"/>
      </w:rPr>
    </w:lvl>
    <w:lvl w:ilvl="5">
      <w:start w:val="1"/>
      <w:numFmt w:val="bullet"/>
      <w:lvlText w:val=""/>
      <w:lvlJc w:val="left"/>
      <w:pPr>
        <w:ind w:left="3870" w:hanging="360"/>
      </w:pPr>
      <w:rPr>
        <w:rFonts w:ascii="Wingdings" w:hAnsi="Wingdings" w:hint="default"/>
      </w:rPr>
    </w:lvl>
    <w:lvl w:ilvl="6">
      <w:start w:val="1"/>
      <w:numFmt w:val="bullet"/>
      <w:lvlText w:val=""/>
      <w:lvlJc w:val="left"/>
      <w:pPr>
        <w:ind w:left="4590" w:hanging="360"/>
      </w:pPr>
      <w:rPr>
        <w:rFonts w:ascii="Symbol" w:hAnsi="Symbol" w:hint="default"/>
      </w:rPr>
    </w:lvl>
    <w:lvl w:ilvl="7">
      <w:start w:val="1"/>
      <w:numFmt w:val="bullet"/>
      <w:lvlText w:val="o"/>
      <w:lvlJc w:val="left"/>
      <w:pPr>
        <w:ind w:left="5310" w:hanging="360"/>
      </w:pPr>
      <w:rPr>
        <w:rFonts w:ascii="Courier New" w:hAnsi="Courier New" w:cs="Courier New" w:hint="default"/>
      </w:rPr>
    </w:lvl>
    <w:lvl w:ilvl="8">
      <w:start w:val="1"/>
      <w:numFmt w:val="bullet"/>
      <w:lvlText w:val=""/>
      <w:lvlJc w:val="left"/>
      <w:pPr>
        <w:ind w:left="6030" w:hanging="360"/>
      </w:pPr>
      <w:rPr>
        <w:rFonts w:ascii="Wingdings" w:hAnsi="Wingdings" w:hint="default"/>
      </w:rPr>
    </w:lvl>
  </w:abstractNum>
  <w:abstractNum w:abstractNumId="1">
    <w:nsid w:val="43AE3759"/>
    <w:multiLevelType w:val="hybridMultilevel"/>
    <w:tmpl w:val="25DCABCE"/>
    <w:lvl w:ilvl="0">
      <w:start w:val="4"/>
      <w:numFmt w:val="decimal"/>
      <w:lvlText w:val="%1"/>
      <w:lvlJc w:val="left"/>
      <w:pPr>
        <w:ind w:left="1720" w:hanging="840"/>
      </w:pPr>
      <w:rPr>
        <w:rFonts w:ascii="Times New Roman" w:eastAsia="Times New Roman" w:hAnsi="Times New Roman" w:cs="Times New Roman" w:hint="default"/>
        <w:b/>
        <w:bCs/>
        <w:i w:val="0"/>
        <w:iCs w:val="0"/>
        <w:spacing w:val="0"/>
        <w:w w:val="100"/>
        <w:sz w:val="23"/>
        <w:szCs w:val="23"/>
        <w:lang w:val="en-US" w:eastAsia="en-US" w:bidi="ar-SA"/>
      </w:rPr>
    </w:lvl>
    <w:lvl w:ilvl="1">
      <w:start w:val="1"/>
      <w:numFmt w:val="decimal"/>
      <w:lvlText w:val="(%2)"/>
      <w:lvlJc w:val="left"/>
      <w:pPr>
        <w:ind w:left="1724" w:hanging="560"/>
      </w:pPr>
      <w:rPr>
        <w:rFonts w:ascii="Times New Roman" w:eastAsia="Times New Roman" w:hAnsi="Times New Roman" w:cs="Times New Roman" w:hint="default"/>
        <w:b w:val="0"/>
        <w:bCs w:val="0"/>
        <w:i w:val="0"/>
        <w:iCs w:val="0"/>
        <w:spacing w:val="0"/>
        <w:w w:val="99"/>
        <w:sz w:val="23"/>
        <w:szCs w:val="23"/>
        <w:lang w:val="en-US" w:eastAsia="en-US" w:bidi="ar-SA"/>
      </w:rPr>
    </w:lvl>
    <w:lvl w:ilvl="2">
      <w:start w:val="1"/>
      <w:numFmt w:val="lowerLetter"/>
      <w:lvlText w:val="(%3)"/>
      <w:lvlJc w:val="left"/>
      <w:pPr>
        <w:ind w:left="2284" w:hanging="440"/>
      </w:pPr>
      <w:rPr>
        <w:rFonts w:ascii="Times New Roman" w:eastAsia="Times New Roman" w:hAnsi="Times New Roman" w:cs="Times New Roman" w:hint="default"/>
        <w:b w:val="0"/>
        <w:bCs w:val="0"/>
        <w:i w:val="0"/>
        <w:iCs w:val="0"/>
        <w:spacing w:val="0"/>
        <w:w w:val="100"/>
        <w:sz w:val="23"/>
        <w:szCs w:val="23"/>
        <w:lang w:val="en-US" w:eastAsia="en-US" w:bidi="ar-SA"/>
      </w:rPr>
    </w:lvl>
    <w:lvl w:ilvl="3">
      <w:start w:val="1"/>
      <w:numFmt w:val="lowerRoman"/>
      <w:lvlText w:val="(%4)"/>
      <w:lvlJc w:val="left"/>
      <w:pPr>
        <w:ind w:left="2844" w:hanging="440"/>
      </w:pPr>
      <w:rPr>
        <w:rFonts w:ascii="Times New Roman" w:eastAsia="Times New Roman" w:hAnsi="Times New Roman" w:cs="Times New Roman" w:hint="default"/>
        <w:b w:val="0"/>
        <w:bCs w:val="0"/>
        <w:i w:val="0"/>
        <w:iCs w:val="0"/>
        <w:spacing w:val="0"/>
        <w:w w:val="100"/>
        <w:sz w:val="23"/>
        <w:szCs w:val="23"/>
        <w:lang w:val="en-US" w:eastAsia="en-US" w:bidi="ar-SA"/>
      </w:rPr>
    </w:lvl>
    <w:lvl w:ilvl="4">
      <w:start w:val="0"/>
      <w:numFmt w:val="bullet"/>
      <w:lvlText w:val="•"/>
      <w:lvlJc w:val="left"/>
      <w:pPr>
        <w:ind w:left="4646" w:hanging="440"/>
      </w:pPr>
      <w:rPr>
        <w:rFonts w:hint="default"/>
        <w:lang w:val="en-US" w:eastAsia="en-US" w:bidi="ar-SA"/>
      </w:rPr>
    </w:lvl>
    <w:lvl w:ilvl="5">
      <w:start w:val="0"/>
      <w:numFmt w:val="bullet"/>
      <w:lvlText w:val="•"/>
      <w:lvlJc w:val="left"/>
      <w:pPr>
        <w:ind w:left="5549" w:hanging="440"/>
      </w:pPr>
      <w:rPr>
        <w:rFonts w:hint="default"/>
        <w:lang w:val="en-US" w:eastAsia="en-US" w:bidi="ar-SA"/>
      </w:rPr>
    </w:lvl>
    <w:lvl w:ilvl="6">
      <w:start w:val="0"/>
      <w:numFmt w:val="bullet"/>
      <w:lvlText w:val="•"/>
      <w:lvlJc w:val="left"/>
      <w:pPr>
        <w:ind w:left="6452" w:hanging="440"/>
      </w:pPr>
      <w:rPr>
        <w:rFonts w:hint="default"/>
        <w:lang w:val="en-US" w:eastAsia="en-US" w:bidi="ar-SA"/>
      </w:rPr>
    </w:lvl>
    <w:lvl w:ilvl="7">
      <w:start w:val="0"/>
      <w:numFmt w:val="bullet"/>
      <w:lvlText w:val="•"/>
      <w:lvlJc w:val="left"/>
      <w:pPr>
        <w:ind w:left="7355" w:hanging="440"/>
      </w:pPr>
      <w:rPr>
        <w:rFonts w:hint="default"/>
        <w:lang w:val="en-US" w:eastAsia="en-US" w:bidi="ar-SA"/>
      </w:rPr>
    </w:lvl>
    <w:lvl w:ilvl="8">
      <w:start w:val="0"/>
      <w:numFmt w:val="bullet"/>
      <w:lvlText w:val="•"/>
      <w:lvlJc w:val="left"/>
      <w:pPr>
        <w:ind w:left="8259" w:hanging="440"/>
      </w:pPr>
      <w:rPr>
        <w:rFonts w:hint="default"/>
        <w:lang w:val="en-US" w:eastAsia="en-US" w:bidi="ar-SA"/>
      </w:rPr>
    </w:lvl>
  </w:abstractNum>
  <w:abstractNum w:abstractNumId="2">
    <w:nsid w:val="482A2FA1"/>
    <w:multiLevelType w:val="multilevel"/>
    <w:tmpl w:val="C0680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687AE9"/>
    <w:multiLevelType w:val="hybridMultilevel"/>
    <w:tmpl w:val="13BEA9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5F91044B"/>
    <w:multiLevelType w:val="hybridMultilevel"/>
    <w:tmpl w:val="E7843F14"/>
    <w:lvl w:ilvl="0">
      <w:start w:val="0"/>
      <w:numFmt w:val="bullet"/>
      <w:lvlText w:val="-"/>
      <w:lvlJc w:val="left"/>
      <w:pPr>
        <w:ind w:left="-90" w:hanging="360"/>
      </w:pPr>
      <w:rPr>
        <w:rFonts w:ascii="Arial" w:eastAsia="Calibri" w:hAnsi="Arial" w:cs="Arial" w:hint="default"/>
      </w:rPr>
    </w:lvl>
    <w:lvl w:ilvl="1" w:tentative="1">
      <w:start w:val="1"/>
      <w:numFmt w:val="bullet"/>
      <w:lvlText w:val="o"/>
      <w:lvlJc w:val="left"/>
      <w:pPr>
        <w:ind w:left="630" w:hanging="360"/>
      </w:pPr>
      <w:rPr>
        <w:rFonts w:ascii="Courier New" w:hAnsi="Courier New" w:cs="Courier New" w:hint="default"/>
      </w:rPr>
    </w:lvl>
    <w:lvl w:ilvl="2" w:tentative="1">
      <w:start w:val="1"/>
      <w:numFmt w:val="bullet"/>
      <w:lvlText w:val=""/>
      <w:lvlJc w:val="left"/>
      <w:pPr>
        <w:ind w:left="1350" w:hanging="360"/>
      </w:pPr>
      <w:rPr>
        <w:rFonts w:ascii="Wingdings" w:hAnsi="Wingdings" w:hint="default"/>
      </w:rPr>
    </w:lvl>
    <w:lvl w:ilvl="3" w:tentative="1">
      <w:start w:val="1"/>
      <w:numFmt w:val="bullet"/>
      <w:lvlText w:val=""/>
      <w:lvlJc w:val="left"/>
      <w:pPr>
        <w:ind w:left="2070" w:hanging="360"/>
      </w:pPr>
      <w:rPr>
        <w:rFonts w:ascii="Symbol" w:hAnsi="Symbol" w:hint="default"/>
      </w:rPr>
    </w:lvl>
    <w:lvl w:ilvl="4" w:tentative="1">
      <w:start w:val="1"/>
      <w:numFmt w:val="bullet"/>
      <w:lvlText w:val="o"/>
      <w:lvlJc w:val="left"/>
      <w:pPr>
        <w:ind w:left="2790" w:hanging="360"/>
      </w:pPr>
      <w:rPr>
        <w:rFonts w:ascii="Courier New" w:hAnsi="Courier New" w:cs="Courier New" w:hint="default"/>
      </w:rPr>
    </w:lvl>
    <w:lvl w:ilvl="5" w:tentative="1">
      <w:start w:val="1"/>
      <w:numFmt w:val="bullet"/>
      <w:lvlText w:val=""/>
      <w:lvlJc w:val="left"/>
      <w:pPr>
        <w:ind w:left="3510" w:hanging="360"/>
      </w:pPr>
      <w:rPr>
        <w:rFonts w:ascii="Wingdings" w:hAnsi="Wingdings" w:hint="default"/>
      </w:rPr>
    </w:lvl>
    <w:lvl w:ilvl="6" w:tentative="1">
      <w:start w:val="1"/>
      <w:numFmt w:val="bullet"/>
      <w:lvlText w:val=""/>
      <w:lvlJc w:val="left"/>
      <w:pPr>
        <w:ind w:left="4230" w:hanging="360"/>
      </w:pPr>
      <w:rPr>
        <w:rFonts w:ascii="Symbol" w:hAnsi="Symbol" w:hint="default"/>
      </w:rPr>
    </w:lvl>
    <w:lvl w:ilvl="7" w:tentative="1">
      <w:start w:val="1"/>
      <w:numFmt w:val="bullet"/>
      <w:lvlText w:val="o"/>
      <w:lvlJc w:val="left"/>
      <w:pPr>
        <w:ind w:left="4950" w:hanging="360"/>
      </w:pPr>
      <w:rPr>
        <w:rFonts w:ascii="Courier New" w:hAnsi="Courier New" w:cs="Courier New" w:hint="default"/>
      </w:rPr>
    </w:lvl>
    <w:lvl w:ilvl="8" w:tentative="1">
      <w:start w:val="1"/>
      <w:numFmt w:val="bullet"/>
      <w:lvlText w:val=""/>
      <w:lvlJc w:val="left"/>
      <w:pPr>
        <w:ind w:left="5670" w:hanging="360"/>
      </w:pPr>
      <w:rPr>
        <w:rFonts w:ascii="Wingdings" w:hAnsi="Wingdings" w:hint="default"/>
      </w:rPr>
    </w:lvl>
  </w:abstractNum>
  <w:abstractNum w:abstractNumId="5">
    <w:nsid w:val="7710797F"/>
    <w:multiLevelType w:val="hybridMultilevel"/>
    <w:tmpl w:val="B91E2FAC"/>
    <w:lvl w:ilvl="0">
      <w:start w:val="1"/>
      <w:numFmt w:val="bullet"/>
      <w:lvlText w:val=""/>
      <w:lvlJc w:val="left"/>
      <w:pPr>
        <w:ind w:left="270" w:hanging="360"/>
      </w:pPr>
      <w:rPr>
        <w:rFonts w:ascii="Symbol" w:hAnsi="Symbol" w:hint="default"/>
      </w:rPr>
    </w:lvl>
    <w:lvl w:ilvl="1" w:tentative="1">
      <w:start w:val="1"/>
      <w:numFmt w:val="bullet"/>
      <w:lvlText w:val="o"/>
      <w:lvlJc w:val="left"/>
      <w:pPr>
        <w:ind w:left="990" w:hanging="360"/>
      </w:pPr>
      <w:rPr>
        <w:rFonts w:ascii="Courier New" w:hAnsi="Courier New" w:cs="Courier New" w:hint="default"/>
      </w:rPr>
    </w:lvl>
    <w:lvl w:ilvl="2" w:tentative="1">
      <w:start w:val="1"/>
      <w:numFmt w:val="bullet"/>
      <w:lvlText w:val=""/>
      <w:lvlJc w:val="left"/>
      <w:pPr>
        <w:ind w:left="1710" w:hanging="360"/>
      </w:pPr>
      <w:rPr>
        <w:rFonts w:ascii="Wingdings" w:hAnsi="Wingdings" w:hint="default"/>
      </w:rPr>
    </w:lvl>
    <w:lvl w:ilvl="3" w:tentative="1">
      <w:start w:val="1"/>
      <w:numFmt w:val="bullet"/>
      <w:lvlText w:val=""/>
      <w:lvlJc w:val="left"/>
      <w:pPr>
        <w:ind w:left="2430" w:hanging="360"/>
      </w:pPr>
      <w:rPr>
        <w:rFonts w:ascii="Symbol" w:hAnsi="Symbol" w:hint="default"/>
      </w:rPr>
    </w:lvl>
    <w:lvl w:ilvl="4" w:tentative="1">
      <w:start w:val="1"/>
      <w:numFmt w:val="bullet"/>
      <w:lvlText w:val="o"/>
      <w:lvlJc w:val="left"/>
      <w:pPr>
        <w:ind w:left="3150" w:hanging="360"/>
      </w:pPr>
      <w:rPr>
        <w:rFonts w:ascii="Courier New" w:hAnsi="Courier New" w:cs="Courier New" w:hint="default"/>
      </w:rPr>
    </w:lvl>
    <w:lvl w:ilvl="5" w:tentative="1">
      <w:start w:val="1"/>
      <w:numFmt w:val="bullet"/>
      <w:lvlText w:val=""/>
      <w:lvlJc w:val="left"/>
      <w:pPr>
        <w:ind w:left="3870" w:hanging="360"/>
      </w:pPr>
      <w:rPr>
        <w:rFonts w:ascii="Wingdings" w:hAnsi="Wingdings" w:hint="default"/>
      </w:rPr>
    </w:lvl>
    <w:lvl w:ilvl="6" w:tentative="1">
      <w:start w:val="1"/>
      <w:numFmt w:val="bullet"/>
      <w:lvlText w:val=""/>
      <w:lvlJc w:val="left"/>
      <w:pPr>
        <w:ind w:left="4590" w:hanging="360"/>
      </w:pPr>
      <w:rPr>
        <w:rFonts w:ascii="Symbol" w:hAnsi="Symbol" w:hint="default"/>
      </w:rPr>
    </w:lvl>
    <w:lvl w:ilvl="7" w:tentative="1">
      <w:start w:val="1"/>
      <w:numFmt w:val="bullet"/>
      <w:lvlText w:val="o"/>
      <w:lvlJc w:val="left"/>
      <w:pPr>
        <w:ind w:left="5310" w:hanging="360"/>
      </w:pPr>
      <w:rPr>
        <w:rFonts w:ascii="Courier New" w:hAnsi="Courier New" w:cs="Courier New" w:hint="default"/>
      </w:rPr>
    </w:lvl>
    <w:lvl w:ilvl="8" w:tentative="1">
      <w:start w:val="1"/>
      <w:numFmt w:val="bullet"/>
      <w:lvlText w:val=""/>
      <w:lvlJc w:val="left"/>
      <w:pPr>
        <w:ind w:left="6030" w:hanging="360"/>
      </w:pPr>
      <w:rPr>
        <w:rFonts w:ascii="Wingdings" w:hAnsi="Wingdings" w:hint="default"/>
      </w:rPr>
    </w:lvl>
  </w:abstractNum>
  <w:num w:numId="1">
    <w:abstractNumId w:val="0"/>
  </w:num>
  <w:num w:numId="2">
    <w:abstractNumId w:val="1"/>
  </w:num>
  <w:num w:numId="3">
    <w:abstractNumId w:val="0"/>
  </w:num>
  <w:num w:numId="4">
    <w:abstractNumId w:val="5"/>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en-US"/>
    </w:rPr>
  </w:style>
  <w:style w:type="paragraph" w:styleId="Heading2">
    <w:name w:val="heading 2"/>
    <w:basedOn w:val="Normal"/>
    <w:link w:val="Heading2Char"/>
    <w:uiPriority w:val="1"/>
    <w:qFormat/>
    <w:rsid w:val="00FB1D5F"/>
    <w:pPr>
      <w:widowControl w:val="0"/>
      <w:autoSpaceDE w:val="0"/>
      <w:autoSpaceDN w:val="0"/>
      <w:ind w:left="722"/>
      <w:outlineLvl w:val="1"/>
    </w:pPr>
    <w:rPr>
      <w:b/>
      <w:bCs/>
      <w:sz w:val="23"/>
      <w:szCs w:val="23"/>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style>
  <w:style w:type="table" w:styleId="TableGrid">
    <w:name w:val="Table Grid"/>
    <w:basedOn w:val="TableNormal"/>
    <w:rsid w:val="00817F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EB4C54"/>
    <w:rPr>
      <w:color w:val="0000FF"/>
      <w:u w:val="single"/>
    </w:rPr>
  </w:style>
  <w:style w:type="paragraph" w:styleId="DocumentMap">
    <w:name w:val="Document Map"/>
    <w:basedOn w:val="Normal"/>
    <w:semiHidden/>
    <w:rsid w:val="00034392"/>
    <w:pPr>
      <w:shd w:val="clear" w:color="auto" w:fill="000080"/>
    </w:pPr>
    <w:rPr>
      <w:rFonts w:ascii="Tahoma" w:hAnsi="Tahoma" w:cs="Tahoma"/>
    </w:rPr>
  </w:style>
  <w:style w:type="paragraph" w:styleId="BalloonText">
    <w:name w:val="Balloon Text"/>
    <w:basedOn w:val="Normal"/>
    <w:semiHidden/>
    <w:rsid w:val="000C774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FE30EB"/>
    <w:rPr>
      <w:b/>
      <w:bCs/>
    </w:rPr>
  </w:style>
  <w:style w:type="character" w:customStyle="1" w:styleId="CommentTextChar">
    <w:name w:val="Comment Text Char"/>
    <w:link w:val="CommentText"/>
    <w:uiPriority w:val="99"/>
    <w:semiHidden/>
    <w:rsid w:val="00FE30EB"/>
    <w:rPr>
      <w:lang w:eastAsia="en-US"/>
    </w:rPr>
  </w:style>
  <w:style w:type="character" w:customStyle="1" w:styleId="CommentSubjectChar">
    <w:name w:val="Comment Subject Char"/>
    <w:link w:val="CommentSubject"/>
    <w:uiPriority w:val="99"/>
    <w:semiHidden/>
    <w:rsid w:val="00FE30EB"/>
    <w:rPr>
      <w:b/>
      <w:bCs/>
      <w:lang w:eastAsia="en-US"/>
    </w:rPr>
  </w:style>
  <w:style w:type="character" w:styleId="FollowedHyperlink">
    <w:name w:val="FollowedHyperlink"/>
    <w:uiPriority w:val="99"/>
    <w:semiHidden/>
    <w:unhideWhenUsed/>
    <w:rsid w:val="00FD63A7"/>
    <w:rPr>
      <w:color w:val="954F72"/>
      <w:u w:val="single"/>
    </w:rPr>
  </w:style>
  <w:style w:type="character" w:customStyle="1" w:styleId="Heading2Char">
    <w:name w:val="Heading 2 Char"/>
    <w:link w:val="Heading2"/>
    <w:uiPriority w:val="1"/>
    <w:rsid w:val="00FB1D5F"/>
    <w:rPr>
      <w:b/>
      <w:bCs/>
      <w:sz w:val="23"/>
      <w:szCs w:val="23"/>
      <w:lang w:val="en-US" w:eastAsia="en-US"/>
    </w:rPr>
  </w:style>
  <w:style w:type="paragraph" w:styleId="Revision">
    <w:name w:val="Revision"/>
    <w:hidden/>
    <w:uiPriority w:val="99"/>
    <w:semiHidden/>
    <w:rsid w:val="00A7147F"/>
    <w:rPr>
      <w:lang w:eastAsia="en-US"/>
    </w:rPr>
  </w:style>
  <w:style w:type="character" w:customStyle="1" w:styleId="UnresolvedMention">
    <w:name w:val="Unresolved Mention"/>
    <w:uiPriority w:val="99"/>
    <w:semiHidden/>
    <w:unhideWhenUsed/>
    <w:rsid w:val="00D02F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Support for Jurors</TermName>
          <TermId xmlns="http://schemas.microsoft.com/office/infopath/2007/PartnerControls">6fa102cc-dbc2-48e9-b8cd-3316e2d6a99d</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104</Value>
      <Value>5</Value>
      <Value>107</Value>
      <Value>48</Value>
      <Value>2</Value>
    </TaxCatchAll>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Written Evidence - Published</TermName>
          <TermId xmlns="http://schemas.microsoft.com/office/infopath/2007/PartnerControls">ac123c11-8ea8-4b0a-98ae-a876ca2a8f4d</TermId>
        </TermInfo>
      </Terms>
    </c10fc15a1e374d7faacfa4b870e47730>
    <Document_x0020_Status1 xmlns="70d2f4a9-7027-4c8b-acc6-1861eab93b19">N/A</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70d2f4a9-7027-4c8b-acc6-1861eab93b19">6PPEJCM636SJ-584431973-2987</_dlc_DocId>
    <_dlc_DocIdUrl xmlns="70d2f4a9-7027-4c8b-acc6-1861eab93b19">
      <Url>https://hopuk.sharepoint.com/sites/hlc-justhome/_layouts/15/DocIdRedir.aspx?ID=6PPEJCM636SJ-584431973-2987</Url>
      <Description>6PPEJCM636SJ-584431973-2987</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9E774DA837D5E4988ABDB920ADC7BB6" ma:contentTypeVersion="144" ma:contentTypeDescription="Create a new document." ma:contentTypeScope="" ma:versionID="f5e179220205e2dafb8c2f55e5da945a">
  <xsd:schema xmlns:xsd="http://www.w3.org/2001/XMLSchema" xmlns:xs="http://www.w3.org/2001/XMLSchema" xmlns:p="http://schemas.microsoft.com/office/2006/metadata/properties" xmlns:ns2="70d2f4a9-7027-4c8b-acc6-1861eab93b19" xmlns:ns3="b535201f-9ff9-4942-b1f3-db261a23edb3" xmlns:ns4="4600776d-0a3c-44b4-bff2-0ceaafb13046" targetNamespace="http://schemas.microsoft.com/office/2006/metadata/properties" ma:root="true" ma:fieldsID="cd2dc85f8cffc048df8f039e1b3c559b" ns2:_="" ns3:_="" ns4:_="">
    <xsd:import namespace="70d2f4a9-7027-4c8b-acc6-1861eab93b19"/>
    <xsd:import namespace="b535201f-9ff9-4942-b1f3-db261a23edb3"/>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edc898bf3bb343549b83ac391d519ef2" minOccurs="0"/>
                <xsd:element ref="ns4:e6f926d7f5b14a74bee86c3452d91372" minOccurs="0"/>
                <xsd:element ref="ns4:c4838c65c76546ae93d5703426802f7f" minOccurs="0"/>
                <xsd:element ref="ns4:j6c5b17cd04246da82e5604daf08bc68" minOccurs="0"/>
                <xsd:element ref="ns2:_dlc_DocId" minOccurs="0"/>
                <xsd:element ref="ns4:g3ef09377e3444258679b6035a1ff93a" minOccurs="0"/>
                <xsd:element ref="ns2:_dlc_DocIdUrl" minOccurs="0"/>
                <xsd:element ref="ns4:cd0fc526a5c840319a97fd94028e9904" minOccurs="0"/>
                <xsd:element ref="ns2:_dlc_DocIdPersistId" minOccurs="0"/>
                <xsd:element ref="ns4:k5b153ee974a4a57a7568e533217f2cb" minOccurs="0"/>
                <xsd:element ref="ns4:TaxCatchAll" minOccurs="0"/>
                <xsd:element ref="ns2:c10fc15a1e374d7faacfa4b870e47730"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edc898bf3bb343549b83ac391d519ef2" ma:index="15" ma:taxonomy="true" ma:internalName="edc898bf3bb343549b83ac391d519ef2" ma:taxonomyFieldName="Inquiry" ma:displayName="Inquiry" ma:readOnly="false" ma:default="52;#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c10fc15a1e374d7faacfa4b870e47730" ma:index="31" ma:taxonomy="true" ma:internalName="c10fc15a1e374d7faacfa4b870e47730" ma:taxonomyFieldName="Document_x0020_Type" ma:displayName="Document Type" ma:readOnly="false" ma:default="25;#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35201f-9ff9-4942-b1f3-db261a23edb3"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e6f926d7f5b14a74bee86c3452d91372" ma:index="18" nillable="true" ma:taxonomy="true" ma:internalName="e6f926d7f5b14a74bee86c3452d91372" ma:taxonomyFieldName="Sessions" ma:displayName="Sessions" ma:default="104;#2026-27|fa5079ca-fd3f-4f9f-9e9e-7726fbbe0838"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594a5970-6dd9-4a02-8897-29dc74b615e8}"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964C525-8595-445C-A851-EC63D02A3BCA}">
  <ds:schemaRefs>
    <ds:schemaRef ds:uri="http://schemas.microsoft.com/sharepoint/v3/contenttype/forms"/>
  </ds:schemaRefs>
</ds:datastoreItem>
</file>

<file path=customXml/itemProps2.xml><?xml version="1.0" encoding="utf-8"?>
<ds:datastoreItem xmlns:ds="http://schemas.openxmlformats.org/officeDocument/2006/customXml" ds:itemID="{CE493373-8577-49FB-8DF1-27789BB06B26}">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3.xml><?xml version="1.0" encoding="utf-8"?>
<ds:datastoreItem xmlns:ds="http://schemas.openxmlformats.org/officeDocument/2006/customXml" ds:itemID="{93D3AC22-E662-44D6-987A-C7F1F6B5A1D9}">
  <ds:schemaRefs>
    <ds:schemaRef ds:uri="http://schemas.openxmlformats.org/officeDocument/2006/bibliography"/>
  </ds:schemaRefs>
</ds:datastoreItem>
</file>

<file path=customXml/itemProps4.xml><?xml version="1.0" encoding="utf-8"?>
<ds:datastoreItem xmlns:ds="http://schemas.openxmlformats.org/officeDocument/2006/customXml" ds:itemID="{920558A7-E7A4-49CF-AD7D-49B82AEFF4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b535201f-9ff9-4942-b1f3-db261a23edb3"/>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FE1F279-5E4B-498F-9BB7-B18C29CA9C5F}">
  <ds:schemaRefs>
    <ds:schemaRef ds:uri="http://schemas.microsoft.com/sharepoint/events"/>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SFJ0016</dc:title>
  <cp:revision>0</cp:revision>
</cp:coreProperties>
</file>