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C323A" w:rsidRPr="008C323A" w:rsidP="008C323A">
      <w:pPr>
        <w:ind w:left="720"/>
        <w:jc w:val="center"/>
        <w:rPr>
          <w:b/>
          <w:bCs/>
        </w:rPr>
      </w:pPr>
      <w:r>
        <w:rPr>
          <w:b/>
          <w:bCs/>
        </w:rPr>
        <w:t xml:space="preserve">Written evidence by </w:t>
      </w:r>
      <w:r w:rsidRPr="00580DEC" w:rsidR="006B06BC">
        <w:rPr>
          <w:b/>
          <w:bCs/>
        </w:rPr>
        <w:t>Professor Anne West</w:t>
      </w:r>
      <w:r>
        <w:rPr>
          <w:b/>
          <w:bCs/>
        </w:rPr>
        <w:t xml:space="preserve"> &amp; </w:t>
      </w:r>
      <w:r w:rsidRPr="00052BDA" w:rsidR="006B06BC">
        <w:rPr>
          <w:b/>
          <w:bCs/>
        </w:rPr>
        <w:t xml:space="preserve">Dr David Wolfe </w:t>
      </w:r>
      <w:r>
        <w:rPr>
          <w:b/>
          <w:bCs/>
        </w:rPr>
        <w:t>(</w:t>
      </w:r>
      <w:r w:rsidRPr="008C323A">
        <w:rPr>
          <w:b/>
          <w:bCs/>
        </w:rPr>
        <w:t>ECA0171</w:t>
      </w:r>
      <w:r>
        <w:rPr>
          <w:b/>
          <w:bCs/>
        </w:rPr>
        <w:t>)</w:t>
      </w:r>
    </w:p>
    <w:p w:rsidR="006B06BC" w:rsidRPr="00052BDA" w:rsidP="008C323A">
      <w:pPr>
        <w:jc w:val="center"/>
        <w:rPr>
          <w:b/>
          <w:bCs/>
        </w:rPr>
      </w:pPr>
    </w:p>
    <w:p w:rsidR="002E45DE" w:rsidP="007A485C">
      <w:r>
        <w:t xml:space="preserve">Anne West and David Wolfe have carried out research relating to two specific </w:t>
      </w:r>
      <w:r w:rsidR="006B06BC">
        <w:t xml:space="preserve">issues </w:t>
      </w:r>
      <w:r w:rsidR="006316C2">
        <w:t xml:space="preserve">of interest to the </w:t>
      </w:r>
      <w:r w:rsidR="0041629C">
        <w:t>I</w:t>
      </w:r>
      <w:r w:rsidR="00EB0DEC">
        <w:t>nquiry</w:t>
      </w:r>
      <w:r>
        <w:t xml:space="preserve">: </w:t>
      </w:r>
      <w:r w:rsidR="007A485C">
        <w:t xml:space="preserve">school autonomy, governance and accountability and school admissions. </w:t>
      </w:r>
      <w:r>
        <w:t>This submission addresses each in turn.</w:t>
      </w:r>
    </w:p>
    <w:p w:rsidR="006E146B" w:rsidRPr="002C71B7" w:rsidP="002C71B7">
      <w:pPr>
        <w:pStyle w:val="ListParagraph"/>
        <w:numPr>
          <w:ilvl w:val="0"/>
          <w:numId w:val="5"/>
        </w:numPr>
        <w:tabs>
          <w:tab w:val="num" w:pos="720"/>
        </w:tabs>
        <w:rPr>
          <w:b/>
          <w:bCs/>
        </w:rPr>
      </w:pPr>
      <w:r w:rsidRPr="002C71B7">
        <w:rPr>
          <w:b/>
          <w:bCs/>
        </w:rPr>
        <w:t>School autonomy, governance and accountability</w:t>
      </w:r>
    </w:p>
    <w:p w:rsidR="00EB0DEC" w:rsidP="00EB0DEC">
      <w:pPr>
        <w:tabs>
          <w:tab w:val="num" w:pos="720"/>
        </w:tabs>
      </w:pPr>
      <w:r>
        <w:t>T</w:t>
      </w:r>
      <w:r w:rsidR="00521143">
        <w:t xml:space="preserve">here are two </w:t>
      </w:r>
      <w:r w:rsidR="00E00C8C">
        <w:t>“</w:t>
      </w:r>
      <w:r w:rsidR="00521143">
        <w:t>systems</w:t>
      </w:r>
      <w:r w:rsidR="00E00C8C">
        <w:t>”</w:t>
      </w:r>
      <w:r w:rsidR="00521143">
        <w:t xml:space="preserve"> of </w:t>
      </w:r>
      <w:r w:rsidR="00DB22B9">
        <w:t xml:space="preserve">state-funded </w:t>
      </w:r>
      <w:r w:rsidR="00E00C8C">
        <w:t>schools</w:t>
      </w:r>
      <w:r w:rsidR="006E146B">
        <w:t xml:space="preserve"> in England</w:t>
      </w:r>
      <w:r w:rsidR="00521143">
        <w:t xml:space="preserve">: local </w:t>
      </w:r>
      <w:r w:rsidRPr="00C917A0" w:rsidR="00C917A0">
        <w:t>authority-maintained schools</w:t>
      </w:r>
      <w:r w:rsidR="00521143">
        <w:t xml:space="preserve"> and a</w:t>
      </w:r>
      <w:r w:rsidRPr="00C917A0" w:rsidR="00C917A0">
        <w:t>cadem</w:t>
      </w:r>
      <w:r w:rsidR="00841C7B">
        <w:t>ies</w:t>
      </w:r>
      <w:r>
        <w:t xml:space="preserve">. </w:t>
      </w:r>
      <w:r w:rsidR="00521143">
        <w:t>Over 80</w:t>
      </w:r>
      <w:r w:rsidR="00BD4977">
        <w:t xml:space="preserve"> per cent</w:t>
      </w:r>
      <w:r w:rsidR="00521143">
        <w:t xml:space="preserve"> of secondary schools are academies a</w:t>
      </w:r>
      <w:r w:rsidR="00DB22B9">
        <w:t xml:space="preserve">s are </w:t>
      </w:r>
      <w:r w:rsidR="00521143">
        <w:t>nearly half of primary schools</w:t>
      </w:r>
      <w:r>
        <w:t xml:space="preserve"> (DfE, 2026</w:t>
      </w:r>
      <w:r w:rsidR="00E32903">
        <w:t>a</w:t>
      </w:r>
      <w:r>
        <w:t>)</w:t>
      </w:r>
      <w:r w:rsidR="00047AC3">
        <w:t xml:space="preserve">. </w:t>
      </w:r>
      <w:r w:rsidRPr="00537A68" w:rsidR="00537A68">
        <w:t>Academies</w:t>
      </w:r>
      <w:r w:rsidR="0041629C">
        <w:t xml:space="preserve"> a</w:t>
      </w:r>
      <w:r w:rsidR="006E146B">
        <w:t>re</w:t>
      </w:r>
      <w:r>
        <w:t>, in law,</w:t>
      </w:r>
      <w:r w:rsidRPr="00537A68" w:rsidR="00537A68">
        <w:t xml:space="preserve"> </w:t>
      </w:r>
      <w:r w:rsidR="00841C7B">
        <w:t xml:space="preserve">state-funded </w:t>
      </w:r>
      <w:r w:rsidRPr="00537A68" w:rsidR="00537A68">
        <w:t>“independent schools” run by not-for-profit private trusts (exempt charities)</w:t>
      </w:r>
      <w:r w:rsidR="00E00C8C">
        <w:t xml:space="preserve"> </w:t>
      </w:r>
      <w:r w:rsidR="006470BE">
        <w:t xml:space="preserve">and </w:t>
      </w:r>
      <w:r w:rsidR="00E00C8C">
        <w:t>not permitted to charge fees</w:t>
      </w:r>
      <w:r w:rsidRPr="00537A68" w:rsidR="00537A68">
        <w:t xml:space="preserve">. Academy trusts register as companies with Companies </w:t>
      </w:r>
      <w:r w:rsidRPr="00537A68">
        <w:t>House</w:t>
      </w:r>
      <w:r w:rsidR="00E00C8C">
        <w:t xml:space="preserve"> and </w:t>
      </w:r>
      <w:r w:rsidRPr="00537A68" w:rsidR="00537A68">
        <w:t>are subject to company and charity law</w:t>
      </w:r>
      <w:r w:rsidR="0041629C">
        <w:t xml:space="preserve"> and some aspects of education law</w:t>
      </w:r>
      <w:r w:rsidRPr="00537A68" w:rsidR="00537A68">
        <w:t xml:space="preserve">. </w:t>
      </w:r>
      <w:r w:rsidR="00E00C8C">
        <w:t>They are</w:t>
      </w:r>
      <w:r w:rsidRPr="00537A68" w:rsidR="00537A68">
        <w:t xml:space="preserve"> controlled and funded directly </w:t>
      </w:r>
      <w:r w:rsidR="00841C7B">
        <w:t xml:space="preserve">through </w:t>
      </w:r>
      <w:r w:rsidRPr="00537A68" w:rsidR="00537A68">
        <w:t xml:space="preserve">a contract, or “funding agreement”, between the trust and the Secretary of State for Education. </w:t>
      </w:r>
      <w:r w:rsidRPr="00444227">
        <w:t xml:space="preserve">A single academy trust (SAT) runs a single </w:t>
      </w:r>
      <w:r w:rsidRPr="00444227" w:rsidR="00537A68">
        <w:t>academy under contract,</w:t>
      </w:r>
      <w:r w:rsidRPr="00444227">
        <w:t xml:space="preserve"> whilst a </w:t>
      </w:r>
      <w:r w:rsidRPr="00444227" w:rsidR="00537A68">
        <w:t xml:space="preserve">Multi-Academy Trust (MAT) </w:t>
      </w:r>
      <w:r w:rsidRPr="00444227">
        <w:t xml:space="preserve">runs </w:t>
      </w:r>
      <w:r w:rsidRPr="00444227" w:rsidR="00283782">
        <w:t>several</w:t>
      </w:r>
      <w:r w:rsidRPr="00444227">
        <w:t xml:space="preserve"> </w:t>
      </w:r>
      <w:r w:rsidRPr="00444227" w:rsidR="00537A68">
        <w:t>academies under a single contract</w:t>
      </w:r>
      <w:r w:rsidRPr="00444227" w:rsidR="00BC03A0">
        <w:t xml:space="preserve"> (West &amp; Wolfe, </w:t>
      </w:r>
      <w:r w:rsidRPr="00444227" w:rsidR="00324548">
        <w:t>2019</w:t>
      </w:r>
      <w:r w:rsidRPr="00444227" w:rsidR="00BC03A0">
        <w:t>)</w:t>
      </w:r>
      <w:r w:rsidRPr="00444227" w:rsidR="00537A68">
        <w:t>.</w:t>
      </w:r>
      <w:r w:rsidRPr="00537A68" w:rsidR="00537A68">
        <w:t xml:space="preserve"> </w:t>
      </w:r>
      <w:r w:rsidR="002E45DE">
        <w:t>By 2026, m</w:t>
      </w:r>
      <w:r w:rsidR="006316C2">
        <w:t xml:space="preserve">ost </w:t>
      </w:r>
      <w:r w:rsidR="00B07092">
        <w:t xml:space="preserve">secondary </w:t>
      </w:r>
      <w:r w:rsidRPr="00537A68">
        <w:t xml:space="preserve">academies </w:t>
      </w:r>
      <w:r w:rsidR="002E45DE">
        <w:t xml:space="preserve">were </w:t>
      </w:r>
      <w:r w:rsidRPr="00537A68">
        <w:t xml:space="preserve">part of a </w:t>
      </w:r>
      <w:r>
        <w:t>MAT</w:t>
      </w:r>
      <w:r w:rsidR="006316C2">
        <w:t xml:space="preserve"> (</w:t>
      </w:r>
      <w:r w:rsidRPr="00537A68">
        <w:t>Plaister, 202</w:t>
      </w:r>
      <w:r w:rsidR="00B07092">
        <w:t>6</w:t>
      </w:r>
      <w:r w:rsidRPr="00537A68">
        <w:t>).</w:t>
      </w:r>
    </w:p>
    <w:p w:rsidR="00A74C2D" w:rsidP="00537A68">
      <w:pPr>
        <w:tabs>
          <w:tab w:val="num" w:pos="720"/>
        </w:tabs>
      </w:pPr>
      <w:r w:rsidRPr="00537A68">
        <w:t xml:space="preserve">Academies </w:t>
      </w:r>
      <w:r w:rsidR="00E00C8C">
        <w:t>hav</w:t>
      </w:r>
      <w:r w:rsidR="0041629C">
        <w:t>e</w:t>
      </w:r>
      <w:r w:rsidR="00E00C8C">
        <w:t xml:space="preserve"> certain </w:t>
      </w:r>
      <w:r w:rsidRPr="00537A68">
        <w:t>“freedoms”</w:t>
      </w:r>
      <w:r>
        <w:t xml:space="preserve"> </w:t>
      </w:r>
      <w:r w:rsidR="00047AC3">
        <w:t>(West et al., 202</w:t>
      </w:r>
      <w:r w:rsidR="00E32903">
        <w:t>4</w:t>
      </w:r>
      <w:r w:rsidR="00047AC3">
        <w:t xml:space="preserve">) </w:t>
      </w:r>
      <w:r w:rsidR="0041629C">
        <w:t xml:space="preserve">compared with </w:t>
      </w:r>
      <w:r w:rsidR="00E00C8C">
        <w:t>maintained schools</w:t>
      </w:r>
      <w:r w:rsidR="0041629C">
        <w:t>, alt</w:t>
      </w:r>
      <w:r w:rsidR="002C71B7">
        <w:t xml:space="preserve">hough </w:t>
      </w:r>
      <w:r w:rsidR="00F87ADC">
        <w:t xml:space="preserve">the </w:t>
      </w:r>
      <w:r w:rsidR="00047AC3">
        <w:t xml:space="preserve">Children’s Wellbeing and Schools </w:t>
      </w:r>
      <w:r w:rsidR="00EB0DEC">
        <w:t xml:space="preserve">Act </w:t>
      </w:r>
      <w:r w:rsidR="00E00C8C">
        <w:t xml:space="preserve">2026 will result in </w:t>
      </w:r>
      <w:r w:rsidR="00CA64DB">
        <w:t xml:space="preserve">greater </w:t>
      </w:r>
      <w:r w:rsidR="00047AC3">
        <w:t xml:space="preserve">alignment (e.g., </w:t>
      </w:r>
      <w:r w:rsidR="002C71B7">
        <w:t>regarding the curriculum, teacher qualifications).</w:t>
      </w:r>
      <w:r>
        <w:t xml:space="preserve"> </w:t>
      </w:r>
    </w:p>
    <w:p w:rsidR="002E45DE" w:rsidP="00537A68">
      <w:pPr>
        <w:tabs>
          <w:tab w:val="num" w:pos="720"/>
        </w:tabs>
        <w:rPr>
          <w:i/>
          <w:iCs/>
        </w:rPr>
      </w:pPr>
      <w:r>
        <w:rPr>
          <w:i/>
          <w:iCs/>
        </w:rPr>
        <w:t>G</w:t>
      </w:r>
      <w:r w:rsidRPr="001712F2" w:rsidR="00537A68">
        <w:rPr>
          <w:i/>
          <w:iCs/>
        </w:rPr>
        <w:t xml:space="preserve">overnance </w:t>
      </w:r>
      <w:r>
        <w:rPr>
          <w:i/>
          <w:iCs/>
        </w:rPr>
        <w:t>maintained schools and academies</w:t>
      </w:r>
    </w:p>
    <w:p w:rsidR="00537A68" w:rsidRPr="00537A68" w:rsidP="00537A68">
      <w:pPr>
        <w:tabs>
          <w:tab w:val="num" w:pos="720"/>
        </w:tabs>
      </w:pPr>
      <w:r w:rsidRPr="00537A68">
        <w:t>The governance of maintained schools and academies varies as does governance between academies</w:t>
      </w:r>
      <w:r w:rsidR="001712F2">
        <w:t xml:space="preserve"> (Wolfe, 2013</w:t>
      </w:r>
      <w:r w:rsidR="0041629C">
        <w:t>; West &amp; Wolfe, 2019</w:t>
      </w:r>
      <w:r w:rsidR="001712F2">
        <w:t>)</w:t>
      </w:r>
      <w:r w:rsidRPr="00537A68">
        <w:t>. Following the 1944 Education Act</w:t>
      </w:r>
      <w:r w:rsidR="001712F2">
        <w:t>,</w:t>
      </w:r>
      <w:r w:rsidRPr="00537A68">
        <w:t xml:space="preserve"> state funded schools in England were largely controlled – and maintained – by local</w:t>
      </w:r>
      <w:r w:rsidR="002E45DE">
        <w:t xml:space="preserve"> authorities</w:t>
      </w:r>
      <w:r w:rsidRPr="00537A68">
        <w:t>.</w:t>
      </w:r>
      <w:r>
        <w:t xml:space="preserve"> T</w:t>
      </w:r>
      <w:r w:rsidRPr="00537A68">
        <w:t xml:space="preserve">he 1986 Education Act (No 2) established maintained school governing bodies as freestanding legal entities, with responsibility for running </w:t>
      </w:r>
      <w:r w:rsidR="001712F2">
        <w:t>these</w:t>
      </w:r>
      <w:r w:rsidRPr="00537A68">
        <w:t xml:space="preserve"> schools (</w:t>
      </w:r>
      <w:r w:rsidR="00EB0DEC">
        <w:t xml:space="preserve">e.g., </w:t>
      </w:r>
      <w:r w:rsidRPr="00537A68">
        <w:t>community, voluntary controlled, voluntary aided)</w:t>
      </w:r>
      <w:r w:rsidR="00B502D4">
        <w:t xml:space="preserve"> (West et al., 2024)</w:t>
      </w:r>
      <w:r w:rsidR="00634E5D">
        <w:t>.</w:t>
      </w:r>
      <w:r w:rsidRPr="00537A68">
        <w:t xml:space="preserve"> </w:t>
      </w:r>
    </w:p>
    <w:p w:rsidR="007803E8" w:rsidP="00537A68">
      <w:pPr>
        <w:tabs>
          <w:tab w:val="num" w:pos="720"/>
        </w:tabs>
      </w:pPr>
      <w:r>
        <w:t>A</w:t>
      </w:r>
      <w:r w:rsidRPr="00537A68" w:rsidR="00537A68">
        <w:t>cademy trusts</w:t>
      </w:r>
      <w:r w:rsidR="00841C7B">
        <w:t xml:space="preserve"> are </w:t>
      </w:r>
      <w:r w:rsidR="00634E5D">
        <w:t xml:space="preserve">founded </w:t>
      </w:r>
      <w:r w:rsidRPr="00537A68" w:rsidR="00537A68">
        <w:t xml:space="preserve">by members who can be appointed by a foundation/sponsor body, a church </w:t>
      </w:r>
      <w:r w:rsidRPr="00537A68" w:rsidR="00402417">
        <w:t>diocese,</w:t>
      </w:r>
      <w:r w:rsidRPr="00537A68" w:rsidR="00537A68">
        <w:t xml:space="preserve"> or existing members. Members have a key role in appointing trustees, directors (</w:t>
      </w:r>
      <w:r w:rsidR="0041629C">
        <w:t>i.e., trustees</w:t>
      </w:r>
      <w:r w:rsidRPr="00537A68" w:rsidR="00537A68">
        <w:t xml:space="preserve"> of church academy trusts) and any local governing body (LGB) that the trust board </w:t>
      </w:r>
      <w:r w:rsidR="000A1415">
        <w:t xml:space="preserve">chooses </w:t>
      </w:r>
      <w:r w:rsidRPr="00537A68" w:rsidR="00537A68">
        <w:t>to establish. All trusts should have places reserved for parents/carers</w:t>
      </w:r>
      <w:r w:rsidR="00B502D4">
        <w:t xml:space="preserve"> (West et al., 2024)</w:t>
      </w:r>
      <w:r w:rsidR="002E45DE">
        <w:t>.</w:t>
      </w:r>
      <w:r w:rsidR="00B502D4">
        <w:t xml:space="preserve"> </w:t>
      </w:r>
    </w:p>
    <w:p w:rsidR="002C71B7" w:rsidP="00537A68">
      <w:pPr>
        <w:tabs>
          <w:tab w:val="num" w:pos="720"/>
        </w:tabs>
      </w:pPr>
      <w:r>
        <w:t>Trust boards run academy trusts</w:t>
      </w:r>
      <w:r w:rsidR="00D468F9">
        <w:t>, but their experience of education may be limited</w:t>
      </w:r>
      <w:r>
        <w:t>. West et al. (2024) in their qualitative research</w:t>
      </w:r>
      <w:r w:rsidR="00B502D4">
        <w:t xml:space="preserve"> </w:t>
      </w:r>
      <w:r w:rsidRPr="00537A68" w:rsidR="00537A68">
        <w:t xml:space="preserve">found that some, if not all, trustees in the academy trusts in their </w:t>
      </w:r>
      <w:r>
        <w:t>sample</w:t>
      </w:r>
      <w:r w:rsidRPr="00537A68" w:rsidR="00537A68">
        <w:t xml:space="preserve"> were appointed by members. </w:t>
      </w:r>
      <w:r w:rsidR="0041629C">
        <w:t xml:space="preserve">The number </w:t>
      </w:r>
      <w:r w:rsidRPr="00537A68" w:rsidR="00537A68">
        <w:t xml:space="preserve">ranged from 3 to 10 and </w:t>
      </w:r>
      <w:r>
        <w:t xml:space="preserve">they </w:t>
      </w:r>
      <w:r w:rsidRPr="00537A68" w:rsidR="00537A68">
        <w:t xml:space="preserve">overlapped with trustees, contrary to DfE guidance. </w:t>
      </w:r>
      <w:r>
        <w:t>M</w:t>
      </w:r>
      <w:r w:rsidRPr="00537A68" w:rsidR="00537A68">
        <w:t>ost trustees in non-religious MATs held corporate positions</w:t>
      </w:r>
      <w:r w:rsidR="00324548">
        <w:t xml:space="preserve"> or were retired</w:t>
      </w:r>
      <w:r w:rsidRPr="00537A68" w:rsidR="00537A68">
        <w:t xml:space="preserve">. SAT trustees were more diverse, </w:t>
      </w:r>
      <w:r w:rsidR="00324548">
        <w:t>including</w:t>
      </w:r>
      <w:r w:rsidRPr="00537A68" w:rsidR="00537A68">
        <w:t xml:space="preserve"> parents, school staff and community trustees. Religious academy trust boards comprised predominantly diocesan trustees who were retired or in corporate roles. </w:t>
      </w:r>
      <w:r>
        <w:t>G</w:t>
      </w:r>
      <w:r w:rsidRPr="00537A68" w:rsidR="00537A68">
        <w:t xml:space="preserve">overnors of </w:t>
      </w:r>
      <w:r w:rsidR="00E5449B">
        <w:t xml:space="preserve">statutory governing </w:t>
      </w:r>
      <w:r w:rsidR="00E5449B">
        <w:t xml:space="preserve">bodies of </w:t>
      </w:r>
      <w:r w:rsidRPr="00537A68" w:rsidR="00537A68">
        <w:t>non-religious maintained schools were more likely to be in education-related occupations</w:t>
      </w:r>
      <w:r>
        <w:t>.</w:t>
      </w:r>
    </w:p>
    <w:p w:rsidR="00537A68" w:rsidRPr="001712F2" w:rsidP="00537A68">
      <w:pPr>
        <w:tabs>
          <w:tab w:val="num" w:pos="720"/>
        </w:tabs>
        <w:rPr>
          <w:i/>
          <w:iCs/>
        </w:rPr>
      </w:pPr>
      <w:r w:rsidRPr="001712F2">
        <w:rPr>
          <w:i/>
          <w:iCs/>
        </w:rPr>
        <w:t xml:space="preserve">Governance at the school level </w:t>
      </w:r>
    </w:p>
    <w:p w:rsidR="00537A68" w:rsidRPr="00537A68" w:rsidP="00537A68">
      <w:pPr>
        <w:tabs>
          <w:tab w:val="num" w:pos="720"/>
        </w:tabs>
      </w:pPr>
      <w:r w:rsidRPr="00537A68">
        <w:t xml:space="preserve">The governing body of a maintained school is a </w:t>
      </w:r>
      <w:r w:rsidRPr="00537A68" w:rsidR="006E69FD">
        <w:t>free-standing</w:t>
      </w:r>
      <w:r w:rsidRPr="00537A68">
        <w:t xml:space="preserve"> legal entity. Decisions are taken by the school governing body and agendas and minutes of meetings must, by statute, be made available for public scrutiny (The School Governance (Roles, Procedures and Allowances) (England) Regulations 2013 section 15(2)). Decisions regarding maintained schools are taken by local authorities and overseen by elected local councillors who operate in meetings subject to “public participation” obligations, with minutes again being publicly available (</w:t>
      </w:r>
      <w:r w:rsidR="007803E8">
        <w:t>W</w:t>
      </w:r>
      <w:r w:rsidRPr="00537A68">
        <w:t xml:space="preserve">est </w:t>
      </w:r>
      <w:r w:rsidR="00FF0570">
        <w:t>&amp;</w:t>
      </w:r>
      <w:r w:rsidRPr="00537A68">
        <w:t xml:space="preserve"> Wolfe, 2019). </w:t>
      </w:r>
    </w:p>
    <w:p w:rsidR="00D2308A" w:rsidP="00537A68">
      <w:pPr>
        <w:tabs>
          <w:tab w:val="num" w:pos="720"/>
        </w:tabs>
      </w:pPr>
      <w:r>
        <w:t xml:space="preserve">With </w:t>
      </w:r>
      <w:r w:rsidR="000A1415">
        <w:t xml:space="preserve">academies, the </w:t>
      </w:r>
      <w:r w:rsidRPr="00537A68" w:rsidR="00537A68">
        <w:t>trust board is the legal entity.</w:t>
      </w:r>
      <w:r w:rsidR="000A1415">
        <w:t xml:space="preserve"> </w:t>
      </w:r>
      <w:r w:rsidRPr="00537A68" w:rsidR="00537A68">
        <w:t xml:space="preserve">The board </w:t>
      </w:r>
      <w:r w:rsidR="000A1415">
        <w:t xml:space="preserve">can </w:t>
      </w:r>
      <w:r w:rsidRPr="00537A68" w:rsidR="00537A68">
        <w:t>delegate certain responsibilities to the executive leader – the principal or headteacher in a SAT and the Chief Executive in a MAT, who heads the management team</w:t>
      </w:r>
      <w:r w:rsidR="00FE1E4E">
        <w:t>.</w:t>
      </w:r>
      <w:r w:rsidRPr="00537A68" w:rsidR="00537A68">
        <w:t xml:space="preserve"> </w:t>
      </w:r>
      <w:r w:rsidR="00CA64DB">
        <w:t>But i</w:t>
      </w:r>
      <w:r w:rsidRPr="00537A68" w:rsidR="00537A68">
        <w:t xml:space="preserve">ndividual schools </w:t>
      </w:r>
      <w:r w:rsidR="00CA64DB">
        <w:t xml:space="preserve">within a MAT </w:t>
      </w:r>
      <w:r w:rsidRPr="00537A68" w:rsidR="00537A68">
        <w:t>have no legal identity</w:t>
      </w:r>
      <w:r w:rsidR="00F76E96">
        <w:t xml:space="preserve"> with t</w:t>
      </w:r>
      <w:r w:rsidRPr="00537A68" w:rsidR="00537A68">
        <w:t>heir activities</w:t>
      </w:r>
      <w:r w:rsidR="00F76E96">
        <w:t xml:space="preserve"> being </w:t>
      </w:r>
      <w:r w:rsidRPr="00537A68" w:rsidR="00537A68">
        <w:t xml:space="preserve">overseen ultimately by the trust board. The trust board </w:t>
      </w:r>
      <w:r w:rsidR="000A1415">
        <w:t xml:space="preserve">can </w:t>
      </w:r>
      <w:r w:rsidR="00FF0570">
        <w:t>choose to</w:t>
      </w:r>
      <w:r w:rsidR="001F14BC">
        <w:t xml:space="preserve"> establish </w:t>
      </w:r>
      <w:r w:rsidR="00F87ADC">
        <w:t xml:space="preserve">an LGB. This </w:t>
      </w:r>
      <w:r w:rsidR="00AE3FCC">
        <w:t xml:space="preserve">might </w:t>
      </w:r>
      <w:r w:rsidRPr="00F87ADC" w:rsidR="00AE3FCC">
        <w:rPr>
          <w:i/>
          <w:iCs/>
        </w:rPr>
        <w:t xml:space="preserve">appear </w:t>
      </w:r>
      <w:r w:rsidR="00AE3FCC">
        <w:t xml:space="preserve">similar to </w:t>
      </w:r>
      <w:r w:rsidRPr="00537A68" w:rsidR="00537A68">
        <w:t xml:space="preserve">maintained school’s governing </w:t>
      </w:r>
      <w:r w:rsidRPr="00537A68" w:rsidR="006E69FD">
        <w:t>body,</w:t>
      </w:r>
      <w:r w:rsidRPr="00537A68" w:rsidR="00537A68">
        <w:t xml:space="preserve"> but it has no legal status</w:t>
      </w:r>
      <w:r w:rsidR="001712F2">
        <w:t xml:space="preserve">: </w:t>
      </w:r>
      <w:r w:rsidRPr="00537A68" w:rsidR="00537A68">
        <w:t xml:space="preserve">its responsibilities </w:t>
      </w:r>
      <w:r w:rsidR="001712F2">
        <w:t xml:space="preserve">are </w:t>
      </w:r>
      <w:r w:rsidRPr="00537A68" w:rsidR="00537A68">
        <w:t xml:space="preserve">determined </w:t>
      </w:r>
      <w:r w:rsidR="00F4605E">
        <w:t xml:space="preserve">solely </w:t>
      </w:r>
      <w:r w:rsidRPr="00537A68" w:rsidR="00537A68">
        <w:t xml:space="preserve">by the </w:t>
      </w:r>
      <w:r w:rsidR="00FF0570">
        <w:t xml:space="preserve">trust’s </w:t>
      </w:r>
      <w:r w:rsidR="00F87ADC">
        <w:t xml:space="preserve">chosen </w:t>
      </w:r>
      <w:r w:rsidRPr="00537A68" w:rsidR="00537A68">
        <w:t>scheme of delegation (</w:t>
      </w:r>
      <w:r w:rsidR="00B502D4">
        <w:t>West et al., 2024</w:t>
      </w:r>
      <w:r w:rsidR="00C807C7">
        <w:t>; 2025</w:t>
      </w:r>
      <w:r w:rsidRPr="00537A68" w:rsidR="00537A68">
        <w:t xml:space="preserve">). </w:t>
      </w:r>
    </w:p>
    <w:p w:rsidR="001712F2" w:rsidP="00537A68">
      <w:pPr>
        <w:tabs>
          <w:tab w:val="num" w:pos="720"/>
        </w:tabs>
      </w:pPr>
      <w:r>
        <w:t>D</w:t>
      </w:r>
      <w:r w:rsidR="00D2308A">
        <w:t xml:space="preserve">epending on the </w:t>
      </w:r>
      <w:r w:rsidR="001F14BC">
        <w:t xml:space="preserve">trust’s scheme of delegation, </w:t>
      </w:r>
      <w:r w:rsidR="00D2308A">
        <w:t>the</w:t>
      </w:r>
      <w:r w:rsidRPr="00537A68" w:rsidR="00537A68">
        <w:t xml:space="preserve"> LGB may have very little delegated power</w:t>
      </w:r>
      <w:r w:rsidR="00DB6C79">
        <w:t xml:space="preserve"> (including having no role in key matters like budget setting and headteacher appointment)</w:t>
      </w:r>
      <w:r w:rsidRPr="00537A68" w:rsidR="00537A68">
        <w:t xml:space="preserve">. </w:t>
      </w:r>
      <w:r>
        <w:t>Some</w:t>
      </w:r>
      <w:r w:rsidRPr="00537A68" w:rsidR="00537A68">
        <w:t xml:space="preserve"> MATs (such as those run by religious bodies) </w:t>
      </w:r>
      <w:r w:rsidR="00D2308A">
        <w:t xml:space="preserve">have </w:t>
      </w:r>
      <w:r w:rsidRPr="00537A68" w:rsidR="00537A68">
        <w:t xml:space="preserve">put in place LGBs (for previously voluntary-aided schools) which </w:t>
      </w:r>
      <w:r w:rsidRPr="006E69FD" w:rsidR="00537A68">
        <w:rPr>
          <w:i/>
          <w:iCs/>
        </w:rPr>
        <w:t>appear</w:t>
      </w:r>
      <w:r w:rsidRPr="00537A68" w:rsidR="00537A68">
        <w:t xml:space="preserve"> like maintained school “stakeholder” governing bod</w:t>
      </w:r>
      <w:r w:rsidR="00D2308A">
        <w:t>ies, but the trust board</w:t>
      </w:r>
      <w:r w:rsidRPr="00537A68" w:rsidR="00537A68">
        <w:t xml:space="preserve"> retain</w:t>
      </w:r>
      <w:r w:rsidR="00D2308A">
        <w:t>s</w:t>
      </w:r>
      <w:r w:rsidRPr="00537A68" w:rsidR="00537A68">
        <w:t xml:space="preserve"> all meaningful control </w:t>
      </w:r>
      <w:r w:rsidR="00CA64DB">
        <w:t xml:space="preserve">such that the real power still lies with faith-appointed trustees </w:t>
      </w:r>
      <w:r>
        <w:t>(West et al., 2024)</w:t>
      </w:r>
      <w:r>
        <w:t>.</w:t>
      </w:r>
    </w:p>
    <w:p w:rsidR="00F87ADC" w:rsidP="00D2308A">
      <w:pPr>
        <w:tabs>
          <w:tab w:val="num" w:pos="720"/>
        </w:tabs>
      </w:pPr>
      <w:r w:rsidRPr="00537A68">
        <w:t>The DfE has direct oversight of the governance of academies</w:t>
      </w:r>
      <w:r w:rsidR="001F14BC">
        <w:t xml:space="preserve"> via </w:t>
      </w:r>
      <w:r w:rsidRPr="00537A68">
        <w:t>Regional Directors (HM Government, 2022)</w:t>
      </w:r>
      <w:r w:rsidR="001F14BC">
        <w:t xml:space="preserve"> who are civil servants. The</w:t>
      </w:r>
      <w:r w:rsidR="00FF0570">
        <w:t xml:space="preserve">ir brief is </w:t>
      </w:r>
      <w:r w:rsidRPr="00537A68" w:rsidR="00D2308A">
        <w:t>wide-ranging</w:t>
      </w:r>
      <w:r w:rsidRPr="00537A68">
        <w:t xml:space="preserve"> </w:t>
      </w:r>
      <w:r w:rsidR="001F14BC">
        <w:t xml:space="preserve">but there is </w:t>
      </w:r>
      <w:r w:rsidRPr="00537A68">
        <w:t>no requirement for open process or public or parliamentary scrutiny of their actions</w:t>
      </w:r>
      <w:r>
        <w:t xml:space="preserve"> in contrast to local authorities.</w:t>
      </w:r>
    </w:p>
    <w:p w:rsidR="00D910FB" w:rsidRPr="00D910FB" w:rsidP="00D910FB">
      <w:pPr>
        <w:tabs>
          <w:tab w:val="num" w:pos="720"/>
        </w:tabs>
        <w:rPr>
          <w:i/>
          <w:iCs/>
        </w:rPr>
      </w:pPr>
      <w:r w:rsidRPr="00D910FB">
        <w:rPr>
          <w:i/>
          <w:iCs/>
        </w:rPr>
        <w:t xml:space="preserve">Governance and funding </w:t>
      </w:r>
    </w:p>
    <w:p w:rsidR="00283782" w:rsidP="00D910FB">
      <w:pPr>
        <w:tabs>
          <w:tab w:val="num" w:pos="720"/>
        </w:tabs>
      </w:pPr>
      <w:r>
        <w:t>M</w:t>
      </w:r>
      <w:r w:rsidRPr="00537A68" w:rsidR="00D910FB">
        <w:t>aintained schools and academ</w:t>
      </w:r>
      <w:r>
        <w:t>ies</w:t>
      </w:r>
      <w:r w:rsidRPr="00537A68" w:rsidR="00D910FB">
        <w:t xml:space="preserve"> </w:t>
      </w:r>
      <w:r>
        <w:t>are funded differently</w:t>
      </w:r>
      <w:r w:rsidR="00FF0570">
        <w:t xml:space="preserve"> (West et al., 202</w:t>
      </w:r>
      <w:r w:rsidR="0057144C">
        <w:t>5</w:t>
      </w:r>
      <w:r w:rsidR="00FF0570">
        <w:t>)</w:t>
      </w:r>
      <w:r w:rsidRPr="00537A68" w:rsidR="00D910FB">
        <w:t xml:space="preserve">. Local authorities </w:t>
      </w:r>
      <w:r>
        <w:t xml:space="preserve">receive funds from central government for education </w:t>
      </w:r>
      <w:r w:rsidR="00F87ADC">
        <w:t xml:space="preserve">determined by the </w:t>
      </w:r>
      <w:r>
        <w:t xml:space="preserve">national funding formula, which they </w:t>
      </w:r>
      <w:r w:rsidRPr="00537A68" w:rsidR="00D910FB">
        <w:t>distribute to schools they maintain in accordance with government regulations.</w:t>
      </w:r>
      <w:r w:rsidR="00F87ADC">
        <w:t xml:space="preserve"> </w:t>
      </w:r>
      <w:r w:rsidRPr="00537A68" w:rsidR="00D910FB">
        <w:t xml:space="preserve">Academy trusts receive funding directly from the </w:t>
      </w:r>
      <w:r w:rsidR="0057144C">
        <w:t>DfE</w:t>
      </w:r>
      <w:r w:rsidRPr="00537A68" w:rsidR="00D910FB">
        <w:t xml:space="preserve">. </w:t>
      </w:r>
      <w:r>
        <w:t xml:space="preserve">In the case of a school that is part of a </w:t>
      </w:r>
      <w:r w:rsidRPr="00537A68" w:rsidR="00D910FB">
        <w:t xml:space="preserve">MAT, </w:t>
      </w:r>
      <w:r w:rsidR="0057144C">
        <w:t xml:space="preserve">a percentage of </w:t>
      </w:r>
      <w:r>
        <w:t xml:space="preserve">its budget is </w:t>
      </w:r>
      <w:r w:rsidR="0057144C">
        <w:t xml:space="preserve">often </w:t>
      </w:r>
      <w:r w:rsidRPr="00537A68" w:rsidR="00D910FB">
        <w:t>“top slice</w:t>
      </w:r>
      <w:r w:rsidR="0057144C">
        <w:t>d</w:t>
      </w:r>
      <w:r w:rsidRPr="00537A68" w:rsidR="00D910FB">
        <w:t xml:space="preserve">” </w:t>
      </w:r>
      <w:r>
        <w:t xml:space="preserve">by the trust to </w:t>
      </w:r>
      <w:r w:rsidRPr="00537A68" w:rsidR="00D910FB">
        <w:t xml:space="preserve">fund central costs (Browne Jacobson </w:t>
      </w:r>
      <w:r w:rsidR="007803E8">
        <w:t>&amp;</w:t>
      </w:r>
      <w:r w:rsidRPr="00537A68" w:rsidR="00D910FB">
        <w:t xml:space="preserve"> NAHT, 2023). A MAT can also amalgamate </w:t>
      </w:r>
      <w:r w:rsidR="0057144C">
        <w:t xml:space="preserve">its </w:t>
      </w:r>
      <w:r w:rsidRPr="00537A68" w:rsidR="00D910FB">
        <w:t xml:space="preserve">general annual grant </w:t>
      </w:r>
      <w:r w:rsidR="0057144C">
        <w:t xml:space="preserve">from the DfE </w:t>
      </w:r>
      <w:r w:rsidRPr="00537A68" w:rsidR="00D910FB">
        <w:t>for its academies to form one central fund</w:t>
      </w:r>
      <w:r>
        <w:t xml:space="preserve">, which it then </w:t>
      </w:r>
      <w:r w:rsidRPr="00537A68" w:rsidR="00D910FB">
        <w:t>distribute</w:t>
      </w:r>
      <w:r>
        <w:t>s</w:t>
      </w:r>
      <w:r w:rsidRPr="00537A68" w:rsidR="00D910FB">
        <w:t xml:space="preserve"> to schools in the MAT </w:t>
      </w:r>
      <w:r>
        <w:t xml:space="preserve">as it sees fit </w:t>
      </w:r>
      <w:r w:rsidRPr="00537A68" w:rsidR="00D910FB">
        <w:t>(</w:t>
      </w:r>
      <w:r w:rsidR="00324548">
        <w:t>DfE</w:t>
      </w:r>
      <w:r w:rsidRPr="00537A68" w:rsidR="00D910FB">
        <w:t>, 202</w:t>
      </w:r>
      <w:r w:rsidR="00324548">
        <w:t>6</w:t>
      </w:r>
      <w:r w:rsidR="00E32903">
        <w:t>b</w:t>
      </w:r>
      <w:r w:rsidRPr="00537A68" w:rsidR="00D910FB">
        <w:t>)</w:t>
      </w:r>
      <w:r>
        <w:t xml:space="preserve">. </w:t>
      </w:r>
      <w:r w:rsidR="00FF0570">
        <w:t xml:space="preserve">This can be detrimental to </w:t>
      </w:r>
      <w:r w:rsidRPr="00537A68" w:rsidR="00D910FB">
        <w:t xml:space="preserve">schools </w:t>
      </w:r>
      <w:r w:rsidR="0057144C">
        <w:t>wh</w:t>
      </w:r>
      <w:r>
        <w:t xml:space="preserve">ich </w:t>
      </w:r>
      <w:r w:rsidR="0057144C">
        <w:t xml:space="preserve">are </w:t>
      </w:r>
      <w:r w:rsidRPr="00537A68" w:rsidR="00D910FB">
        <w:t>negatively affected</w:t>
      </w:r>
      <w:r w:rsidR="00FF0570">
        <w:t xml:space="preserve"> </w:t>
      </w:r>
      <w:r w:rsidRPr="00537A68" w:rsidR="00D910FB">
        <w:t xml:space="preserve">(Browne Jacobson </w:t>
      </w:r>
      <w:r w:rsidR="007803E8">
        <w:t>&amp;</w:t>
      </w:r>
      <w:r w:rsidRPr="00537A68" w:rsidR="00D910FB">
        <w:t xml:space="preserve"> NAHT, 2023)</w:t>
      </w:r>
      <w:r>
        <w:t xml:space="preserve"> and can mean that schools do not get equivalent funding to maintained schools in the local authority</w:t>
      </w:r>
      <w:r w:rsidR="00F87ADC">
        <w:t xml:space="preserve"> (West et al., 2025)</w:t>
      </w:r>
      <w:r>
        <w:t>.</w:t>
      </w:r>
    </w:p>
    <w:p w:rsidR="00FF0570" w:rsidP="00FF0570">
      <w:r w:rsidRPr="00537A68">
        <w:t xml:space="preserve">The pupil premium grant is a separate funding stream providing funding to individual schools primarily to raise the attainment of disadvantaged pupils (those who are/have been eligible for free school meals). </w:t>
      </w:r>
      <w:r w:rsidR="00DB6C79">
        <w:t>M</w:t>
      </w:r>
      <w:r w:rsidRPr="00537A68">
        <w:t xml:space="preserve">aintained schools and SATs have autonomy regarding how best to use this funding, but this is not necessarily the case with MATs which may – or may not – give schools in the MAT autonomy (West et al., 2024). </w:t>
      </w:r>
    </w:p>
    <w:p w:rsidR="00D910FB" w:rsidRPr="00537A68" w:rsidP="00D910FB">
      <w:pPr>
        <w:tabs>
          <w:tab w:val="num" w:pos="720"/>
        </w:tabs>
        <w:rPr>
          <w:i/>
          <w:iCs/>
        </w:rPr>
      </w:pPr>
      <w:r w:rsidRPr="00537A68">
        <w:rPr>
          <w:i/>
          <w:iCs/>
        </w:rPr>
        <w:t xml:space="preserve">Accounting for income and expenditure </w:t>
      </w:r>
    </w:p>
    <w:p w:rsidR="00D910FB" w:rsidRPr="00537A68" w:rsidP="00D910FB">
      <w:pPr>
        <w:tabs>
          <w:tab w:val="num" w:pos="720"/>
        </w:tabs>
      </w:pPr>
      <w:r w:rsidRPr="00537A68">
        <w:t>Accounting for income and expenditure also varies between maintained schools and academies. Maintained school governing bodies must provide their local authorities with a financial statement, in accordance with the Consistent Financial Reporting (England) Regulations 2012 and in compliance with the established accounting practices of the local authority (</w:t>
      </w:r>
      <w:r w:rsidR="0057144C">
        <w:t>DfE, 2026</w:t>
      </w:r>
      <w:r w:rsidR="00E32903">
        <w:t>c</w:t>
      </w:r>
      <w:r w:rsidR="0057144C">
        <w:t>)</w:t>
      </w:r>
      <w:r w:rsidRPr="00537A68">
        <w:t xml:space="preserve">. </w:t>
      </w:r>
    </w:p>
    <w:p w:rsidR="00DF3CE3" w:rsidP="00D910FB">
      <w:pPr>
        <w:tabs>
          <w:tab w:val="num" w:pos="720"/>
        </w:tabs>
      </w:pPr>
      <w:r>
        <w:t>A</w:t>
      </w:r>
      <w:r w:rsidRPr="00537A68" w:rsidR="00D910FB">
        <w:t xml:space="preserve">cademy trusts are companies with autonomy over their financial transactions. Financial governance issues are overseen by the </w:t>
      </w:r>
      <w:r w:rsidR="001F14BC">
        <w:t>DfE w</w:t>
      </w:r>
      <w:r w:rsidRPr="00537A68" w:rsidR="00D910FB">
        <w:t>hich issues periodic Academies Trust Handbook</w:t>
      </w:r>
      <w:r w:rsidR="0057144C">
        <w:t>s</w:t>
      </w:r>
      <w:r w:rsidR="001F14BC">
        <w:t>.</w:t>
      </w:r>
      <w:r w:rsidRPr="00537A68" w:rsidR="00D910FB">
        <w:t xml:space="preserve"> The trust must prepare an annual report and accounts in accord</w:t>
      </w:r>
      <w:r w:rsidR="00283782">
        <w:t>ance</w:t>
      </w:r>
      <w:r w:rsidRPr="00537A68" w:rsidR="00D910FB">
        <w:t xml:space="preserve"> with the Charity Commission’s Statement of Recommended Practice and </w:t>
      </w:r>
      <w:r w:rsidR="002F0E6F">
        <w:t>DfE’</w:t>
      </w:r>
      <w:r w:rsidRPr="00537A68" w:rsidR="00D910FB">
        <w:t>s Accounts Direction. The accounts themselves must be audited (</w:t>
      </w:r>
      <w:r w:rsidR="002F0E6F">
        <w:t>DfE, 2026</w:t>
      </w:r>
      <w:r w:rsidR="00E32903">
        <w:t>b</w:t>
      </w:r>
      <w:r w:rsidRPr="00537A68" w:rsidR="00D910FB">
        <w:t>).</w:t>
      </w:r>
      <w:r w:rsidR="00283782">
        <w:t xml:space="preserve"> </w:t>
      </w:r>
    </w:p>
    <w:p w:rsidR="007C3F46" w:rsidRPr="007C3F46" w:rsidP="00962A8C">
      <w:pPr>
        <w:tabs>
          <w:tab w:val="num" w:pos="720"/>
        </w:tabs>
        <w:rPr>
          <w:i/>
          <w:iCs/>
        </w:rPr>
      </w:pPr>
      <w:r>
        <w:rPr>
          <w:i/>
          <w:iCs/>
        </w:rPr>
        <w:t>Summary and i</w:t>
      </w:r>
      <w:r w:rsidR="00D16B3B">
        <w:rPr>
          <w:i/>
          <w:iCs/>
        </w:rPr>
        <w:t>ssues regarding governance</w:t>
      </w:r>
    </w:p>
    <w:p w:rsidR="00A74C2D" w:rsidP="00A74C2D">
      <w:pPr>
        <w:tabs>
          <w:tab w:val="num" w:pos="720"/>
        </w:tabs>
      </w:pPr>
      <w:r w:rsidRPr="00537A68">
        <w:t>The</w:t>
      </w:r>
      <w:r w:rsidR="00D16B3B">
        <w:t xml:space="preserve"> </w:t>
      </w:r>
      <w:r w:rsidRPr="00537A68">
        <w:t xml:space="preserve">two parallel </w:t>
      </w:r>
      <w:r w:rsidR="00A23B5D">
        <w:t>school systems</w:t>
      </w:r>
      <w:r>
        <w:t xml:space="preserve"> </w:t>
      </w:r>
      <w:r w:rsidR="00D16B3B">
        <w:t>in England</w:t>
      </w:r>
      <w:r w:rsidRPr="00537A68">
        <w:t xml:space="preserve"> – maintained schools and academy trusts</w:t>
      </w:r>
      <w:r w:rsidR="009A547F">
        <w:t xml:space="preserve"> –</w:t>
      </w:r>
      <w:r w:rsidRPr="00537A68">
        <w:t xml:space="preserve"> </w:t>
      </w:r>
      <w:r w:rsidR="00D16B3B">
        <w:t>have</w:t>
      </w:r>
      <w:r w:rsidR="009A547F">
        <w:t xml:space="preserve"> </w:t>
      </w:r>
      <w:r w:rsidR="00D16B3B">
        <w:t xml:space="preserve">separate rules, leading </w:t>
      </w:r>
      <w:r w:rsidRPr="00537A68">
        <w:t>to inconsistent approaches</w:t>
      </w:r>
      <w:r>
        <w:t>,</w:t>
      </w:r>
      <w:r w:rsidRPr="00537A68">
        <w:t xml:space="preserve"> a lack of coherence and a lack of transparency</w:t>
      </w:r>
      <w:r w:rsidR="00DB6C79">
        <w:t>. Many apparent similarities (such the existence of governing bodies) are illusory</w:t>
      </w:r>
      <w:r w:rsidRPr="00537A68">
        <w:t xml:space="preserve">. </w:t>
      </w:r>
      <w:r w:rsidR="00DB6C79">
        <w:t>M</w:t>
      </w:r>
      <w:r w:rsidRPr="00537A68">
        <w:t xml:space="preserve">aintained schools </w:t>
      </w:r>
      <w:r w:rsidR="00DB6C79">
        <w:t>essentially follow a stakeholder model. Academies are</w:t>
      </w:r>
      <w:r w:rsidR="006103F4">
        <w:t xml:space="preserve"> </w:t>
      </w:r>
      <w:r w:rsidRPr="00537A68">
        <w:t xml:space="preserve">predominantly corporate or </w:t>
      </w:r>
      <w:r w:rsidR="007803E8">
        <w:t>religious/</w:t>
      </w:r>
      <w:r w:rsidRPr="00537A68">
        <w:t>corporate (</w:t>
      </w:r>
      <w:r w:rsidR="007803E8">
        <w:t xml:space="preserve">cf., </w:t>
      </w:r>
      <w:r w:rsidRPr="00537A68">
        <w:t>West et al., 2024).</w:t>
      </w:r>
      <w:r>
        <w:t xml:space="preserve"> </w:t>
      </w:r>
    </w:p>
    <w:p w:rsidR="00962A8C" w:rsidP="00962A8C">
      <w:pPr>
        <w:tabs>
          <w:tab w:val="num" w:pos="720"/>
        </w:tabs>
      </w:pPr>
      <w:r w:rsidRPr="00537A68">
        <w:t xml:space="preserve">The variation </w:t>
      </w:r>
      <w:r w:rsidR="00D16B3B">
        <w:t xml:space="preserve">arises </w:t>
      </w:r>
      <w:r w:rsidR="00012BD0">
        <w:t>because m</w:t>
      </w:r>
      <w:r w:rsidRPr="00537A68">
        <w:t xml:space="preserve">aintained schools are subject to </w:t>
      </w:r>
      <w:r w:rsidR="00DB6C79">
        <w:t xml:space="preserve">statutory </w:t>
      </w:r>
      <w:r w:rsidR="00012BD0">
        <w:t xml:space="preserve">education law, </w:t>
      </w:r>
      <w:r w:rsidRPr="00537A68">
        <w:t xml:space="preserve">public process and transparency by means of </w:t>
      </w:r>
      <w:r w:rsidR="00F87ADC">
        <w:t>l</w:t>
      </w:r>
      <w:r w:rsidRPr="00537A68">
        <w:t xml:space="preserve">egislative provision. They are public providers of education. </w:t>
      </w:r>
      <w:r w:rsidR="00D16B3B">
        <w:t xml:space="preserve">This </w:t>
      </w:r>
      <w:r w:rsidR="00283782">
        <w:t>contrasts with</w:t>
      </w:r>
      <w:r w:rsidR="00D16B3B">
        <w:t xml:space="preserve"> academ</w:t>
      </w:r>
      <w:r w:rsidR="00012BD0">
        <w:t xml:space="preserve">y trusts </w:t>
      </w:r>
      <w:r w:rsidR="00D16B3B">
        <w:t>which are private companies</w:t>
      </w:r>
      <w:r w:rsidR="00012BD0">
        <w:t xml:space="preserve">, subject to </w:t>
      </w:r>
      <w:r w:rsidR="00F87ADC">
        <w:t xml:space="preserve">contract law, </w:t>
      </w:r>
      <w:r w:rsidR="00012BD0">
        <w:t>company law, charity law and some education legislation</w:t>
      </w:r>
      <w:r w:rsidR="00F87ADC">
        <w:t xml:space="preserve">; as such, they are </w:t>
      </w:r>
      <w:r w:rsidR="00012BD0">
        <w:t>n</w:t>
      </w:r>
      <w:r w:rsidR="00D16B3B">
        <w:t xml:space="preserve">ot subject to transparency regarding the </w:t>
      </w:r>
      <w:r w:rsidRPr="00537A68">
        <w:t>establishment of academy trust boards</w:t>
      </w:r>
      <w:r w:rsidR="00012BD0">
        <w:t xml:space="preserve"> or their decision making</w:t>
      </w:r>
      <w:r w:rsidR="00F87ADC">
        <w:t xml:space="preserve">, nor are they </w:t>
      </w:r>
      <w:r w:rsidRPr="00537A68">
        <w:t>subject to public process</w:t>
      </w:r>
      <w:r w:rsidR="00D16B3B">
        <w:t xml:space="preserve">, in contrast to </w:t>
      </w:r>
      <w:r w:rsidRPr="00537A68">
        <w:t>maintained school governing bodies</w:t>
      </w:r>
      <w:r w:rsidR="00B744F0">
        <w:t>. The latter are ob</w:t>
      </w:r>
      <w:r w:rsidRPr="00537A68">
        <w:t xml:space="preserve">liged by statute to make available minutes of meetings and decisions, so meeting public accountability requirements (West </w:t>
      </w:r>
      <w:r w:rsidR="00270740">
        <w:t>&amp;</w:t>
      </w:r>
      <w:r w:rsidRPr="00537A68">
        <w:t xml:space="preserve"> Yaghi, 2024). </w:t>
      </w:r>
    </w:p>
    <w:p w:rsidR="00962A8C" w:rsidP="00962A8C">
      <w:pPr>
        <w:tabs>
          <w:tab w:val="num" w:pos="720"/>
        </w:tabs>
      </w:pPr>
      <w:r w:rsidRPr="00537A68">
        <w:t xml:space="preserve">As both maintained schools and academy trusts are funded by the taxpayer, a similar degree of transparency and public process seems </w:t>
      </w:r>
      <w:r w:rsidR="00012BD0">
        <w:t xml:space="preserve">not only logical but also </w:t>
      </w:r>
      <w:r w:rsidRPr="00537A68">
        <w:t>highly desirable.</w:t>
      </w:r>
      <w:r>
        <w:t xml:space="preserve"> </w:t>
      </w:r>
      <w:r w:rsidR="00C379ED">
        <w:t xml:space="preserve">A particular concern from the point of view of a parent or other member of the community, such as a local councillor or member of parliament, is that it </w:t>
      </w:r>
      <w:r w:rsidRPr="00537A68">
        <w:t xml:space="preserve">can be difficult to establish how the school is run, by whom and on what basis. In the case of a maintained school, it is possible to obtain minutes of meetings and decisions made by the governing body. In the case of an academy trust, funding agreements with schemes of delegation are </w:t>
      </w:r>
      <w:r w:rsidR="00DE1C3A">
        <w:t xml:space="preserve">generally </w:t>
      </w:r>
      <w:r w:rsidRPr="00537A68">
        <w:t xml:space="preserve">publicly available but </w:t>
      </w:r>
      <w:r w:rsidR="00DE1C3A">
        <w:t xml:space="preserve">not </w:t>
      </w:r>
      <w:r w:rsidRPr="00537A68">
        <w:t>decisions regarding the school’s management</w:t>
      </w:r>
      <w:r w:rsidR="00D16B3B">
        <w:t xml:space="preserve">, </w:t>
      </w:r>
      <w:r w:rsidR="00012BD0">
        <w:t>decision making</w:t>
      </w:r>
      <w:r w:rsidR="00402417">
        <w:t>,</w:t>
      </w:r>
      <w:r w:rsidR="00B744F0">
        <w:t xml:space="preserve"> </w:t>
      </w:r>
      <w:r w:rsidR="0038205C">
        <w:t>or</w:t>
      </w:r>
      <w:r w:rsidR="00012BD0">
        <w:t xml:space="preserve"> </w:t>
      </w:r>
      <w:r w:rsidR="00D16B3B">
        <w:t>procurement</w:t>
      </w:r>
      <w:r w:rsidRPr="00537A68">
        <w:t>. In short, there is no accountability to the community served by the school</w:t>
      </w:r>
      <w:r w:rsidR="00D16B3B">
        <w:t xml:space="preserve"> and no </w:t>
      </w:r>
      <w:r w:rsidRPr="00537A68">
        <w:t xml:space="preserve">accountability by the MAT trust board other than to the DfE (and church bodies in the case </w:t>
      </w:r>
      <w:r w:rsidRPr="00537A68">
        <w:t xml:space="preserve">of religious trusts). </w:t>
      </w:r>
      <w:r>
        <w:t>As such the notion that a school is run by and for its local community no longer exists.</w:t>
      </w:r>
    </w:p>
    <w:p w:rsidR="00C22B26" w:rsidRPr="00537A68" w:rsidP="00C22B26">
      <w:pPr>
        <w:tabs>
          <w:tab w:val="num" w:pos="720"/>
        </w:tabs>
      </w:pPr>
      <w:r w:rsidRPr="00537A68">
        <w:t>As regard</w:t>
      </w:r>
      <w:r w:rsidR="0038205C">
        <w:t>s</w:t>
      </w:r>
      <w:r w:rsidRPr="00537A68">
        <w:t xml:space="preserve"> financial arrangements, </w:t>
      </w:r>
      <w:r w:rsidR="00660723">
        <w:t xml:space="preserve">there are different systems in place, and although company accounts are publicly </w:t>
      </w:r>
      <w:r w:rsidR="00B744F0">
        <w:t>available,</w:t>
      </w:r>
      <w:r w:rsidR="00660723">
        <w:t xml:space="preserve"> they are at the level of the </w:t>
      </w:r>
      <w:r w:rsidR="00C379ED">
        <w:t>trust board, the legal entity</w:t>
      </w:r>
      <w:r w:rsidR="007803E8">
        <w:t>,</w:t>
      </w:r>
      <w:r w:rsidR="00660723">
        <w:t xml:space="preserve"> as is the case with other private companies</w:t>
      </w:r>
      <w:r w:rsidRPr="00537A68">
        <w:t>. Furthermore, a national funding formula was introduced with a view to allocating funding</w:t>
      </w:r>
      <w:r w:rsidR="00B744F0">
        <w:t xml:space="preserve"> to</w:t>
      </w:r>
      <w:r w:rsidRPr="00537A68">
        <w:t xml:space="preserve"> schools based on </w:t>
      </w:r>
      <w:r w:rsidRPr="00537A68" w:rsidR="00D16B3B">
        <w:t>need,</w:t>
      </w:r>
      <w:r w:rsidRPr="00537A68">
        <w:t xml:space="preserve"> but this has been negated by the fact that MATs are allowed to pool funds across schools and behind closed doors; this is in marked contrast to maintained schools.</w:t>
      </w:r>
    </w:p>
    <w:p w:rsidR="00C22B26" w:rsidRPr="00537A68" w:rsidP="00C22B26">
      <w:pPr>
        <w:tabs>
          <w:tab w:val="num" w:pos="720"/>
        </w:tabs>
      </w:pPr>
      <w:r>
        <w:t>A</w:t>
      </w:r>
      <w:r w:rsidR="00D16B3B">
        <w:t xml:space="preserve"> </w:t>
      </w:r>
      <w:r w:rsidRPr="00537A68">
        <w:t>common rule book for all state-funded schools would ensure that there is less fragmentation across different school types</w:t>
      </w:r>
      <w:r>
        <w:t>. Some changes have taken place following the Children’s Wellbeing and Schools Act 202</w:t>
      </w:r>
      <w:r w:rsidR="00F87ADC">
        <w:t>6</w:t>
      </w:r>
      <w:r>
        <w:t xml:space="preserve"> but there </w:t>
      </w:r>
      <w:r w:rsidR="00B744F0">
        <w:t xml:space="preserve">remains </w:t>
      </w:r>
      <w:r>
        <w:t>a lack of coherence in the system</w:t>
      </w:r>
      <w:r w:rsidR="00B744F0">
        <w:t xml:space="preserve">. This </w:t>
      </w:r>
      <w:r>
        <w:t xml:space="preserve">we argue requires returning a </w:t>
      </w:r>
      <w:r w:rsidR="00DE1C3A">
        <w:t xml:space="preserve">local </w:t>
      </w:r>
      <w:r w:rsidRPr="00537A68">
        <w:t>legal identity to schools that are part of MATs</w:t>
      </w:r>
      <w:r w:rsidR="00DE1C3A">
        <w:t xml:space="preserve"> (a particular issue with MATs which span the country)</w:t>
      </w:r>
      <w:r>
        <w:t>. This would give schools that are part of academy trusts similar autonomy to that of maintained schools and SATs</w:t>
      </w:r>
      <w:r w:rsidRPr="00537A68">
        <w:t xml:space="preserve">. </w:t>
      </w:r>
      <w:r>
        <w:t>Moreover, a</w:t>
      </w:r>
      <w:r w:rsidRPr="00537A68">
        <w:t xml:space="preserve"> statutory stakeholder model of governance for all individual schools</w:t>
      </w:r>
      <w:r>
        <w:t xml:space="preserve"> – with a governing body comprising </w:t>
      </w:r>
      <w:r w:rsidR="0054071E">
        <w:t xml:space="preserve">for example staff, parents, </w:t>
      </w:r>
      <w:r>
        <w:t xml:space="preserve">locally elected officials and the wider local community – </w:t>
      </w:r>
      <w:r w:rsidRPr="00537A68">
        <w:t>would</w:t>
      </w:r>
      <w:r>
        <w:t xml:space="preserve"> </w:t>
      </w:r>
      <w:r w:rsidRPr="00537A68">
        <w:t xml:space="preserve">provide representation of key stakeholders as is the case for maintained schools. This </w:t>
      </w:r>
      <w:r w:rsidR="00A103DC">
        <w:t xml:space="preserve">would </w:t>
      </w:r>
      <w:r w:rsidRPr="00537A68">
        <w:t xml:space="preserve">acknowledge the importance of the school as an institution, and also the pupils, teachers, parents and </w:t>
      </w:r>
      <w:r>
        <w:t>local</w:t>
      </w:r>
      <w:r w:rsidR="0054071E">
        <w:t xml:space="preserve"> community i</w:t>
      </w:r>
      <w:r>
        <w:t xml:space="preserve">t </w:t>
      </w:r>
      <w:r w:rsidRPr="00537A68">
        <w:t>serves</w:t>
      </w:r>
      <w:r>
        <w:t xml:space="preserve"> </w:t>
      </w:r>
      <w:r w:rsidRPr="00537A68">
        <w:t>(</w:t>
      </w:r>
      <w:r w:rsidR="007803E8">
        <w:t>cf.,</w:t>
      </w:r>
      <w:r>
        <w:t xml:space="preserve"> </w:t>
      </w:r>
      <w:r w:rsidRPr="00537A68">
        <w:t xml:space="preserve">West et al., 2024). </w:t>
      </w:r>
    </w:p>
    <w:p w:rsidR="007172D5" w:rsidRPr="001F14BC" w:rsidP="001F14BC">
      <w:pPr>
        <w:pStyle w:val="ListParagraph"/>
        <w:numPr>
          <w:ilvl w:val="0"/>
          <w:numId w:val="5"/>
        </w:numPr>
        <w:tabs>
          <w:tab w:val="num" w:pos="720"/>
        </w:tabs>
        <w:rPr>
          <w:b/>
          <w:bCs/>
        </w:rPr>
      </w:pPr>
      <w:r w:rsidRPr="001F14BC">
        <w:rPr>
          <w:b/>
          <w:bCs/>
        </w:rPr>
        <w:t>School admissions</w:t>
      </w:r>
    </w:p>
    <w:p w:rsidR="007C492D" w:rsidP="007172D5">
      <w:pPr>
        <w:tabs>
          <w:tab w:val="num" w:pos="720"/>
        </w:tabs>
      </w:pPr>
      <w:r w:rsidRPr="00D910FB">
        <w:t xml:space="preserve">The White Paper states that the operation of banding will be </w:t>
      </w:r>
      <w:r w:rsidR="004F54EF">
        <w:t xml:space="preserve">made clearer </w:t>
      </w:r>
      <w:r w:rsidRPr="00D910FB">
        <w:t>‘by requiring schools to set out more details about how their arrangements work in practice and tightening the rules that ensure banding produces representative intakes’</w:t>
      </w:r>
      <w:r w:rsidR="0038205C">
        <w:t xml:space="preserve"> (p. 47)</w:t>
      </w:r>
      <w:r w:rsidRPr="00D910FB">
        <w:t>.</w:t>
      </w:r>
      <w:r w:rsidR="00C379ED">
        <w:t xml:space="preserve"> </w:t>
      </w:r>
      <w:r>
        <w:t xml:space="preserve">It also </w:t>
      </w:r>
      <w:r>
        <w:t xml:space="preserve">encourages prioritising </w:t>
      </w:r>
      <w:r w:rsidR="004F54EF">
        <w:t xml:space="preserve">the admission of </w:t>
      </w:r>
      <w:r>
        <w:t xml:space="preserve">children </w:t>
      </w:r>
      <w:r w:rsidRPr="00D910FB">
        <w:t>eligible for the pupil premium</w:t>
      </w:r>
      <w:r>
        <w:t>.</w:t>
      </w:r>
    </w:p>
    <w:p w:rsidR="007172D5" w:rsidP="007172D5">
      <w:pPr>
        <w:tabs>
          <w:tab w:val="num" w:pos="720"/>
        </w:tabs>
      </w:pPr>
      <w:r>
        <w:t>In this section, w</w:t>
      </w:r>
      <w:r>
        <w:t>e compare admissions arrangements between schools of different types, address banding and the prioritisation of children from disadvantaged backgrounds</w:t>
      </w:r>
      <w:r w:rsidR="00B744F0">
        <w:t>, before o</w:t>
      </w:r>
      <w:r>
        <w:t>utlin</w:t>
      </w:r>
      <w:r w:rsidR="00B744F0">
        <w:t xml:space="preserve">ing </w:t>
      </w:r>
      <w:r>
        <w:t>key issues</w:t>
      </w:r>
      <w:r>
        <w:t>.</w:t>
      </w:r>
    </w:p>
    <w:p w:rsidR="007172D5" w:rsidP="00537A68">
      <w:pPr>
        <w:tabs>
          <w:tab w:val="num" w:pos="720"/>
        </w:tabs>
        <w:rPr>
          <w:i/>
          <w:iCs/>
        </w:rPr>
      </w:pPr>
      <w:r>
        <w:rPr>
          <w:i/>
          <w:iCs/>
        </w:rPr>
        <w:t>Admission arrangements: maintained schools and academy trusts</w:t>
      </w:r>
    </w:p>
    <w:p w:rsidR="00537A68" w:rsidRPr="00537A68" w:rsidP="00537A68">
      <w:pPr>
        <w:tabs>
          <w:tab w:val="num" w:pos="720"/>
        </w:tabs>
      </w:pPr>
      <w:r w:rsidRPr="00537A68">
        <w:t xml:space="preserve">Admissions arrangements differ between maintained schools and academy trusts. Admissions policies are the responsibility of the </w:t>
      </w:r>
      <w:r w:rsidR="007803E8">
        <w:t xml:space="preserve">local authority </w:t>
      </w:r>
      <w:r w:rsidRPr="00537A68">
        <w:t>in the case of maintained community and voluntary-controlled schools, the school governing body in the case of voluntary aided (and foundation) schools and the trust board in the case of SATs and MAT</w:t>
      </w:r>
      <w:r w:rsidR="00C379ED">
        <w:t>s</w:t>
      </w:r>
      <w:r w:rsidRPr="00537A68">
        <w:t xml:space="preserve">. </w:t>
      </w:r>
      <w:r w:rsidR="00C379ED">
        <w:t xml:space="preserve">Associated with the </w:t>
      </w:r>
      <w:r w:rsidRPr="00537A68">
        <w:t xml:space="preserve">School Standards and Framework Act 1998, periodic School Admission Codes </w:t>
      </w:r>
      <w:r w:rsidR="00C379ED">
        <w:t>are issued</w:t>
      </w:r>
      <w:r w:rsidR="004F54EF">
        <w:t xml:space="preserve"> for state-funded schools. </w:t>
      </w:r>
      <w:r w:rsidRPr="00537A68">
        <w:t>The Conservative-Liberal Democrat government revised the Code in 2012</w:t>
      </w:r>
      <w:r w:rsidR="00130A01">
        <w:t xml:space="preserve"> </w:t>
      </w:r>
      <w:r w:rsidR="006316C2">
        <w:t>to</w:t>
      </w:r>
      <w:r w:rsidR="00130A01">
        <w:t xml:space="preserve"> allow </w:t>
      </w:r>
      <w:r w:rsidRPr="00537A68">
        <w:t>for derogations from the Code for newly converted academies and new provision academies (free schools)</w:t>
      </w:r>
      <w:r w:rsidR="00D910FB">
        <w:t xml:space="preserve"> (West et al., 2025). </w:t>
      </w:r>
      <w:r w:rsidRPr="00537A68">
        <w:t>The Academies Commission (2013) subsequently expressed concerns regarding the lack of transparency with derogations.</w:t>
      </w:r>
    </w:p>
    <w:p w:rsidR="00962A8C" w:rsidP="00537A68">
      <w:pPr>
        <w:tabs>
          <w:tab w:val="num" w:pos="720"/>
        </w:tabs>
      </w:pPr>
      <w:r w:rsidRPr="00537A68">
        <w:t xml:space="preserve">With the </w:t>
      </w:r>
      <w:r w:rsidR="00DE1C3A">
        <w:t>growth in</w:t>
      </w:r>
      <w:r w:rsidRPr="00537A68">
        <w:t xml:space="preserve"> MATs a further issue has arisen, namely whether the needs of local communities are being met. Unlike </w:t>
      </w:r>
      <w:r w:rsidR="007803E8">
        <w:t>local authorities</w:t>
      </w:r>
      <w:r w:rsidRPr="00537A68">
        <w:t xml:space="preserve">, which have a local (democratic) base </w:t>
      </w:r>
      <w:r w:rsidRPr="00537A68">
        <w:t xml:space="preserve">and a wider responsibility for the well-being of the communities they serve, there is no equivalent for MATs. MATs can run schools over a very wide area with no other connection to any local community and no wider obligation in relation to the meeting the needs of </w:t>
      </w:r>
      <w:r w:rsidR="007C492D">
        <w:t>a given area</w:t>
      </w:r>
      <w:r w:rsidRPr="00537A68">
        <w:t xml:space="preserve">. </w:t>
      </w:r>
      <w:r w:rsidR="00130A01">
        <w:t xml:space="preserve">Indeed, the prioritisation of </w:t>
      </w:r>
      <w:r w:rsidR="00D910FB">
        <w:t xml:space="preserve">children from primary schools in the MAT over children from nearby primary schools has been a matter of concern to the </w:t>
      </w:r>
      <w:r w:rsidRPr="004F54EF" w:rsidR="00D910FB">
        <w:t>O</w:t>
      </w:r>
      <w:r w:rsidRPr="004F54EF" w:rsidR="007C492D">
        <w:t>ffice of the Schools Adjudicator</w:t>
      </w:r>
      <w:r w:rsidR="00D910FB">
        <w:t xml:space="preserve"> </w:t>
      </w:r>
      <w:r w:rsidR="007C492D">
        <w:t>(</w:t>
      </w:r>
      <w:r w:rsidR="004F54EF">
        <w:t xml:space="preserve">OSA, 2016; see </w:t>
      </w:r>
      <w:r w:rsidR="00D910FB">
        <w:t>also West et al., 2024).</w:t>
      </w:r>
      <w:r>
        <w:t xml:space="preserve"> </w:t>
      </w:r>
    </w:p>
    <w:p w:rsidR="003A1D45" w:rsidP="00537A68">
      <w:pPr>
        <w:tabs>
          <w:tab w:val="num" w:pos="720"/>
        </w:tabs>
        <w:rPr>
          <w:i/>
          <w:iCs/>
        </w:rPr>
      </w:pPr>
      <w:r w:rsidRPr="003A1D45">
        <w:rPr>
          <w:i/>
          <w:iCs/>
        </w:rPr>
        <w:t>Banding</w:t>
      </w:r>
    </w:p>
    <w:p w:rsidR="003A1D45" w:rsidRPr="001F14BC" w:rsidP="003A1D45">
      <w:pPr>
        <w:tabs>
          <w:tab w:val="num" w:pos="720"/>
        </w:tabs>
      </w:pPr>
      <w:r w:rsidRPr="001F14BC">
        <w:t xml:space="preserve">Pupil banding is a ‘system of oversubscription criteria in which all children applying for a place at a banding school are placed into ability bands based on their performance in a test or other assessment’ (DfE, 2021, p. 44). </w:t>
      </w:r>
      <w:r w:rsidRPr="001F14BC" w:rsidR="00EF23EB">
        <w:t xml:space="preserve">It can </w:t>
      </w:r>
      <w:r w:rsidRPr="001F14BC">
        <w:t xml:space="preserve">be used to produce an intake that is representative of: a) the full range of ability of applicants for the school(s); b) the range of ability of children in the local area; or c) the national ability range (s.1.25). </w:t>
      </w:r>
    </w:p>
    <w:p w:rsidR="003A1D45" w:rsidRPr="001F14BC" w:rsidP="003A1D45">
      <w:pPr>
        <w:tabs>
          <w:tab w:val="num" w:pos="720"/>
        </w:tabs>
      </w:pPr>
      <w:r w:rsidRPr="001F14BC">
        <w:t>B</w:t>
      </w:r>
      <w:r w:rsidRPr="001F14BC" w:rsidR="00EF23EB">
        <w:t xml:space="preserve">anding </w:t>
      </w:r>
      <w:r w:rsidRPr="001F14BC">
        <w:t xml:space="preserve">was first introduced </w:t>
      </w:r>
      <w:r w:rsidRPr="001F14BC" w:rsidR="00EF23EB">
        <w:t xml:space="preserve">in the </w:t>
      </w:r>
      <w:r w:rsidRPr="001F14BC">
        <w:t xml:space="preserve">former </w:t>
      </w:r>
      <w:r w:rsidRPr="001F14BC" w:rsidR="00EF23EB">
        <w:t xml:space="preserve">Inner London Education Authority as it sought to achieve mixed ability intakes </w:t>
      </w:r>
      <w:r w:rsidR="0086429D">
        <w:t xml:space="preserve">for </w:t>
      </w:r>
      <w:r w:rsidR="00B744F0">
        <w:t xml:space="preserve">its </w:t>
      </w:r>
      <w:r w:rsidR="0086429D">
        <w:t>comprehensive schools</w:t>
      </w:r>
      <w:r w:rsidR="007C492D">
        <w:t xml:space="preserve">. Recent research focusing on London </w:t>
      </w:r>
      <w:r w:rsidRPr="001F14BC" w:rsidR="00EF23EB">
        <w:t>(West &amp; Rushworth, 2025)</w:t>
      </w:r>
      <w:r w:rsidR="007C492D">
        <w:t xml:space="preserve"> found that </w:t>
      </w:r>
      <w:r w:rsidRPr="001F14BC">
        <w:t xml:space="preserve">only two local authorities </w:t>
      </w:r>
      <w:r w:rsidR="007C492D">
        <w:t xml:space="preserve">still </w:t>
      </w:r>
      <w:r w:rsidRPr="001F14BC">
        <w:t>used banding across the authority. Tower Hamlets uses banding based on the local distribution of ability and virtually all schools</w:t>
      </w:r>
      <w:r w:rsidR="007C492D">
        <w:t>/ trusts</w:t>
      </w:r>
      <w:r w:rsidRPr="001F14BC">
        <w:t xml:space="preserve"> participate. Hackney also uses </w:t>
      </w:r>
      <w:r w:rsidRPr="001F14BC" w:rsidR="007C492D">
        <w:t>banding,</w:t>
      </w:r>
      <w:r w:rsidRPr="001F14BC">
        <w:t xml:space="preserve"> but individual schools/trusts use a national distribution of ability in contrast to maintained schools which use the local distribution. </w:t>
      </w:r>
      <w:r w:rsidR="007C492D">
        <w:t xml:space="preserve">In addition, </w:t>
      </w:r>
      <w:r w:rsidR="004F54EF">
        <w:t xml:space="preserve">across London, </w:t>
      </w:r>
      <w:r w:rsidRPr="001F14BC">
        <w:t>some individual schools/trusts have introduced banding at school level</w:t>
      </w:r>
      <w:r w:rsidR="004F54EF">
        <w:t xml:space="preserve">; most of these are </w:t>
      </w:r>
      <w:r w:rsidRPr="001F14BC">
        <w:t>in inner London</w:t>
      </w:r>
      <w:r w:rsidRPr="001F14BC">
        <w:t>, but a small number</w:t>
      </w:r>
      <w:r w:rsidR="004F54EF">
        <w:t xml:space="preserve"> are</w:t>
      </w:r>
      <w:r w:rsidRPr="001F14BC">
        <w:t xml:space="preserve"> in </w:t>
      </w:r>
      <w:r w:rsidRPr="001F14BC">
        <w:t xml:space="preserve">outer London </w:t>
      </w:r>
      <w:r w:rsidR="007C492D">
        <w:t xml:space="preserve">mainly in </w:t>
      </w:r>
      <w:r w:rsidRPr="001F14BC">
        <w:t>local authorities with grammar schools</w:t>
      </w:r>
      <w:r w:rsidRPr="001F14BC">
        <w:t xml:space="preserve">. One large </w:t>
      </w:r>
      <w:r w:rsidRPr="001F14BC">
        <w:t xml:space="preserve">MAT also introduced banding in six of its schools. There </w:t>
      </w:r>
      <w:r w:rsidR="004F54EF">
        <w:t xml:space="preserve">is </w:t>
      </w:r>
      <w:r w:rsidRPr="001F14BC">
        <w:t xml:space="preserve">variation in terms of the way banding </w:t>
      </w:r>
      <w:r w:rsidR="004F54EF">
        <w:t xml:space="preserve">is </w:t>
      </w:r>
      <w:r w:rsidRPr="001F14BC">
        <w:t xml:space="preserve">used in practice. </w:t>
      </w:r>
      <w:r w:rsidRPr="001F14BC">
        <w:t xml:space="preserve">Some schools/trusts used the </w:t>
      </w:r>
      <w:r w:rsidRPr="001F14BC">
        <w:t xml:space="preserve">national distribution </w:t>
      </w:r>
      <w:r w:rsidRPr="001F14BC">
        <w:t>and some</w:t>
      </w:r>
      <w:r w:rsidRPr="001F14BC">
        <w:t xml:space="preserve"> </w:t>
      </w:r>
      <w:r w:rsidR="00B744F0">
        <w:t xml:space="preserve">the </w:t>
      </w:r>
      <w:r w:rsidRPr="001F14BC">
        <w:t>test scores of applicants to the school.</w:t>
      </w:r>
    </w:p>
    <w:p w:rsidR="00C74200" w:rsidP="002C71B7">
      <w:pPr>
        <w:tabs>
          <w:tab w:val="num" w:pos="720"/>
        </w:tabs>
      </w:pPr>
      <w:r>
        <w:t>Our</w:t>
      </w:r>
      <w:r w:rsidRPr="001F14BC" w:rsidR="002C71B7">
        <w:t xml:space="preserve"> findings raise issues about the different ways in which banding is carried out. Clearly an approach that is used by all secondary schools in an area and involves children being assessed once during school time rather than multiple times, is likely to be less stressful for the children concerned. Moreover, using the local rather than the national distribution of ability to allocate children to bands should increase the likelihood that all schools in a</w:t>
      </w:r>
      <w:r w:rsidR="00DE1C3A">
        <w:t xml:space="preserve">n </w:t>
      </w:r>
      <w:r w:rsidRPr="001F14BC" w:rsidR="002C71B7">
        <w:t>area have intakes with a broadly similar range of ability.</w:t>
      </w:r>
      <w:r>
        <w:t xml:space="preserve"> </w:t>
      </w:r>
      <w:r w:rsidRPr="001F14BC" w:rsidR="002C71B7">
        <w:t>Indeed, research has revealed that segregation is lower in areas with local authority wide banding (</w:t>
      </w:r>
      <w:r>
        <w:t>Gorard et al., 2003).</w:t>
      </w:r>
    </w:p>
    <w:p w:rsidR="00FF0570" w:rsidRPr="00FF0570" w:rsidP="00FF0570">
      <w:pPr>
        <w:rPr>
          <w:i/>
          <w:iCs/>
        </w:rPr>
      </w:pPr>
      <w:r w:rsidRPr="00FF0570">
        <w:rPr>
          <w:i/>
          <w:iCs/>
        </w:rPr>
        <w:t>Prioritising disadvantaged pupils</w:t>
      </w:r>
    </w:p>
    <w:p w:rsidR="00CD3247" w:rsidP="00BC03A0">
      <w:r>
        <w:t>Prioritising children eligible for the pupil premium is rarely used</w:t>
      </w:r>
      <w:r w:rsidR="007C492D">
        <w:t xml:space="preserve"> as an oversubscription criterion</w:t>
      </w:r>
      <w:r>
        <w:t>. F</w:t>
      </w:r>
      <w:r w:rsidRPr="003F50B7">
        <w:t>or admission in 2020/21, 5</w:t>
      </w:r>
      <w:r w:rsidR="00BD4977">
        <w:t xml:space="preserve"> per cent</w:t>
      </w:r>
      <w:r w:rsidRPr="003F50B7">
        <w:t xml:space="preserve"> of secondary schools (170) </w:t>
      </w:r>
      <w:r w:rsidR="007C492D">
        <w:t xml:space="preserve">prioritised </w:t>
      </w:r>
      <w:r w:rsidR="004F54EF">
        <w:t xml:space="preserve">this group </w:t>
      </w:r>
      <w:r w:rsidR="00BC03A0">
        <w:t>(Burgess et al., 2023); m</w:t>
      </w:r>
      <w:r>
        <w:t>ost were grammar schools which were incentivised to prioritise disadvantaged children</w:t>
      </w:r>
      <w:r w:rsidR="00BC03A0">
        <w:t xml:space="preserve"> in order to benefit from </w:t>
      </w:r>
      <w:r w:rsidR="00B502D4">
        <w:t>the selective schools</w:t>
      </w:r>
      <w:r w:rsidR="004F54EF">
        <w:t>,</w:t>
      </w:r>
      <w:r w:rsidR="00B502D4">
        <w:t xml:space="preserve"> expansion fund (DfE, 2019)</w:t>
      </w:r>
      <w:r w:rsidR="00B744F0">
        <w:t>,</w:t>
      </w:r>
      <w:r w:rsidR="00B502D4">
        <w:t xml:space="preserve"> </w:t>
      </w:r>
      <w:r w:rsidR="007C492D">
        <w:t>or free schools (new academies) whose admissions were determined in conjunction with the DfE</w:t>
      </w:r>
      <w:r w:rsidR="00D16B3B">
        <w:t xml:space="preserve"> (</w:t>
      </w:r>
      <w:r>
        <w:t>West et al., 2025).</w:t>
      </w:r>
    </w:p>
    <w:p w:rsidR="003A1D45" w:rsidRPr="001F14BC" w:rsidP="00537A68">
      <w:pPr>
        <w:tabs>
          <w:tab w:val="num" w:pos="720"/>
        </w:tabs>
        <w:rPr>
          <w:i/>
          <w:iCs/>
        </w:rPr>
      </w:pPr>
      <w:r w:rsidRPr="001F14BC">
        <w:rPr>
          <w:i/>
          <w:iCs/>
        </w:rPr>
        <w:t>Issues regarding admissions</w:t>
      </w:r>
    </w:p>
    <w:p w:rsidR="00537A68" w:rsidRPr="00537A68" w:rsidP="00537A68">
      <w:pPr>
        <w:tabs>
          <w:tab w:val="num" w:pos="720"/>
        </w:tabs>
      </w:pPr>
      <w:r>
        <w:t>S</w:t>
      </w:r>
      <w:r w:rsidRPr="00537A68">
        <w:t>chools/trusts that are their own admission authorities</w:t>
      </w:r>
      <w:r w:rsidR="003A1D45">
        <w:t xml:space="preserve"> (academies, voluntary-aided, foundation</w:t>
      </w:r>
      <w:r w:rsidRPr="00537A68">
        <w:t xml:space="preserve"> </w:t>
      </w:r>
      <w:r w:rsidR="003A1D45">
        <w:t xml:space="preserve">schools) </w:t>
      </w:r>
      <w:r w:rsidRPr="00537A68">
        <w:t>must allocate places on the basis of their published oversubscription criteria</w:t>
      </w:r>
      <w:r w:rsidR="00EF23EB">
        <w:t xml:space="preserve">. However, </w:t>
      </w:r>
      <w:r w:rsidR="00CD3247">
        <w:t>the</w:t>
      </w:r>
      <w:r w:rsidR="00EF23EB">
        <w:t xml:space="preserve"> school/trust that makes the decision </w:t>
      </w:r>
      <w:r w:rsidRPr="00537A68">
        <w:t>regarding who meets the admissions criteria and therefore who should be offered a place</w:t>
      </w:r>
      <w:r w:rsidR="00EF23EB">
        <w:t xml:space="preserve">; these decisions are made behind </w:t>
      </w:r>
      <w:r w:rsidRPr="00537A68">
        <w:t>closed doors and not subject to public scrutiny</w:t>
      </w:r>
      <w:r w:rsidR="00C22B26">
        <w:t>. This could be overcome if</w:t>
      </w:r>
      <w:r w:rsidR="00CD3247">
        <w:t xml:space="preserve"> –</w:t>
      </w:r>
      <w:r w:rsidR="00C22B26">
        <w:t xml:space="preserve"> as</w:t>
      </w:r>
      <w:r w:rsidR="00CD3247">
        <w:t xml:space="preserve"> </w:t>
      </w:r>
      <w:r w:rsidR="00C22B26">
        <w:t xml:space="preserve">happens with some academy trusts – the </w:t>
      </w:r>
      <w:r w:rsidRPr="00537A68">
        <w:t>trust asks the local authority to take on this role on its behalf.</w:t>
      </w:r>
    </w:p>
    <w:p w:rsidR="004F54EF" w:rsidRPr="00537A68" w:rsidP="004F54EF">
      <w:pPr>
        <w:tabs>
          <w:tab w:val="num" w:pos="720"/>
        </w:tabs>
      </w:pPr>
      <w:r>
        <w:t>W</w:t>
      </w:r>
      <w:r w:rsidRPr="00537A68" w:rsidR="00537A68">
        <w:t>ith the expansion of academies, school admissions have become more complex</w:t>
      </w:r>
      <w:r w:rsidR="00BB0CA2">
        <w:t xml:space="preserve"> </w:t>
      </w:r>
      <w:r w:rsidRPr="00537A68" w:rsidR="00BB0CA2">
        <w:t>(Academies Commission, 2013</w:t>
      </w:r>
      <w:r w:rsidR="00BC03A0">
        <w:t>;</w:t>
      </w:r>
      <w:r w:rsidRPr="00537A68" w:rsidR="00BB0CA2">
        <w:t xml:space="preserve"> West </w:t>
      </w:r>
      <w:r w:rsidR="00BB0CA2">
        <w:t xml:space="preserve">&amp; </w:t>
      </w:r>
      <w:r w:rsidRPr="00537A68" w:rsidR="00BB0CA2">
        <w:t>Hind, 2016</w:t>
      </w:r>
      <w:r w:rsidR="00BB0CA2">
        <w:t>)</w:t>
      </w:r>
      <w:r w:rsidR="00CD3247">
        <w:t xml:space="preserve"> and more challenging for parents</w:t>
      </w:r>
      <w:r w:rsidR="00FE456B">
        <w:t xml:space="preserve">. The fact that the </w:t>
      </w:r>
      <w:r w:rsidRPr="00537A68" w:rsidR="00537A68">
        <w:t>DfE approves the admissions criteria of an academy in isolation, not in terms of how it might affect other schools in the locality</w:t>
      </w:r>
      <w:r w:rsidR="00BC03A0">
        <w:t xml:space="preserve"> adds to the complexity</w:t>
      </w:r>
      <w:r w:rsidR="00FE456B">
        <w:t xml:space="preserve"> for parents seeking to navigate the system of multiple admission authorities, each with their own criteria. One further anomaly is that the L</w:t>
      </w:r>
      <w:r w:rsidRPr="00537A68">
        <w:t xml:space="preserve">ocal Government Ombudsman has no authority in relation to </w:t>
      </w:r>
      <w:r w:rsidR="00FE456B">
        <w:t xml:space="preserve">complaints regarding </w:t>
      </w:r>
      <w:r w:rsidRPr="00537A68">
        <w:t>admission</w:t>
      </w:r>
      <w:r w:rsidR="00FE456B">
        <w:t xml:space="preserve">s to </w:t>
      </w:r>
      <w:r w:rsidRPr="00537A68">
        <w:t>academ</w:t>
      </w:r>
      <w:r w:rsidR="00FE456B">
        <w:t xml:space="preserve">ies, </w:t>
      </w:r>
      <w:r w:rsidRPr="00537A68">
        <w:t>unlike maintained schools</w:t>
      </w:r>
      <w:r w:rsidR="00444227">
        <w:t xml:space="preserve"> so parents who apply to the majority of secondary schools in the country do not have access to this form of redress </w:t>
      </w:r>
      <w:r w:rsidRPr="00537A68">
        <w:t xml:space="preserve">(West </w:t>
      </w:r>
      <w:r>
        <w:t>&amp;</w:t>
      </w:r>
      <w:r w:rsidRPr="00537A68">
        <w:t xml:space="preserve"> Wolfe, 2019). </w:t>
      </w:r>
    </w:p>
    <w:p w:rsidR="00537A68" w:rsidRPr="00537A68" w:rsidP="00537A68">
      <w:pPr>
        <w:tabs>
          <w:tab w:val="num" w:pos="720"/>
        </w:tabs>
      </w:pPr>
      <w:r>
        <w:t>We see</w:t>
      </w:r>
      <w:r w:rsidR="00654B79">
        <w:t xml:space="preserve"> </w:t>
      </w:r>
      <w:r w:rsidRPr="00537A68">
        <w:t xml:space="preserve">a strong argument for admission arrangements to be simplified and co-ordinated at a local level to ensure that all children in the community have access to available schools and that admissions policies are agreed at a local level. </w:t>
      </w:r>
      <w:r w:rsidR="00C22B26">
        <w:t xml:space="preserve">This goes beyond the notion of co-operation in the Children’s Wellbeing and Schools </w:t>
      </w:r>
      <w:r w:rsidR="00654B79">
        <w:t xml:space="preserve">Act </w:t>
      </w:r>
      <w:r w:rsidR="00C22B26">
        <w:t xml:space="preserve">2026. </w:t>
      </w:r>
      <w:r w:rsidRPr="00537A68">
        <w:t>A</w:t>
      </w:r>
      <w:r>
        <w:t xml:space="preserve"> more coherent </w:t>
      </w:r>
      <w:r w:rsidRPr="00537A68">
        <w:t xml:space="preserve">option would be for the local authority to allocate places – based on the school’s/trust’s own admissions criteria – so reducing concerns regarding decisions on allocation being taken by individual schools/trusts “behind closed doors” </w:t>
      </w:r>
      <w:r w:rsidR="00444227">
        <w:t xml:space="preserve">with the </w:t>
      </w:r>
      <w:r w:rsidR="00BC03A0">
        <w:t>potential for</w:t>
      </w:r>
      <w:r w:rsidRPr="00537A68">
        <w:t xml:space="preserve"> covert selection.</w:t>
      </w:r>
    </w:p>
    <w:p w:rsidR="00BF5141" w:rsidRPr="00BF5141" w:rsidP="006B06BC">
      <w:pPr>
        <w:tabs>
          <w:tab w:val="num" w:pos="720"/>
        </w:tabs>
        <w:rPr>
          <w:b/>
          <w:bCs/>
        </w:rPr>
      </w:pPr>
      <w:r w:rsidRPr="00BF5141">
        <w:rPr>
          <w:b/>
          <w:bCs/>
        </w:rPr>
        <w:t>References</w:t>
      </w:r>
    </w:p>
    <w:p w:rsidR="001548C4" w:rsidRPr="0064584D" w:rsidP="0023371D">
      <w:r w:rsidRPr="00E32903">
        <w:t>Academies Commission (2013). Unleashing greatness - Getting the best from an academised system</w:t>
      </w:r>
      <w:r w:rsidRPr="00E32903" w:rsidR="008637DF">
        <w:t>.</w:t>
      </w:r>
      <w:r w:rsidRPr="00E32903">
        <w:t xml:space="preserve"> RSA &amp; Pearson. </w:t>
      </w:r>
      <w:r>
        <w:fldChar w:fldCharType="begin"/>
      </w:r>
      <w:r>
        <w:instrText xml:space="preserve"> HYPERLINK "https://www.education-uk.org/documents/pdfs/2013-academies-commission.pdf" </w:instrText>
      </w:r>
      <w:r>
        <w:fldChar w:fldCharType="separate"/>
      </w:r>
      <w:r w:rsidRPr="0064584D">
        <w:rPr>
          <w:rStyle w:val="Hyperlink"/>
        </w:rPr>
        <w:t>https://www.education-uk.org/documents/pdfs/2013-academies-commission.pdf</w:t>
      </w:r>
      <w:r>
        <w:fldChar w:fldCharType="end"/>
      </w:r>
    </w:p>
    <w:p w:rsidR="001548C4" w:rsidP="0023371D">
      <w:r w:rsidRPr="0064584D">
        <w:t xml:space="preserve">Browne Jacobson &amp; NAHT (2023). </w:t>
      </w:r>
      <w:r w:rsidRPr="00E32903">
        <w:t>Understanding academy trusts</w:t>
      </w:r>
      <w:r w:rsidRPr="00E32903" w:rsidR="008637DF">
        <w:t>.</w:t>
      </w:r>
      <w:r w:rsidRPr="00E32903">
        <w:t xml:space="preserve"> Brown Jacobson LLP. </w:t>
      </w:r>
      <w:r>
        <w:fldChar w:fldCharType="begin"/>
      </w:r>
      <w:r>
        <w:instrText xml:space="preserve"> HYPERLINK "https://www.naht.org.uk/Portals/0/PDF's/Unprotected%20advice/Understanding%20academy%20trusts%20-%2008.03.23.pdf?ver=2023-03-08-114632-493" </w:instrText>
      </w:r>
      <w:r>
        <w:fldChar w:fldCharType="separate"/>
      </w:r>
      <w:r w:rsidRPr="00D740A8" w:rsidR="007803E8">
        <w:rPr>
          <w:rStyle w:val="Hyperlink"/>
        </w:rPr>
        <w:t>https://www.naht.org.uk/Portals/0/PDF's/Unprotected%20advice/Understanding%20academy%20trusts%20-%2008.03.23.pdf?ver=2023-03-08-114632-493</w:t>
      </w:r>
      <w:r>
        <w:fldChar w:fldCharType="end"/>
      </w:r>
    </w:p>
    <w:p w:rsidR="001548C4" w:rsidP="0023371D">
      <w:r w:rsidRPr="00E32903">
        <w:t>Burgess, S. et al. (2023). School admissions in England: The rules schools choose on which pupils to admit</w:t>
      </w:r>
      <w:r w:rsidRPr="00E32903" w:rsidR="008637DF">
        <w:t>.</w:t>
      </w:r>
      <w:r w:rsidRPr="00E32903">
        <w:t xml:space="preserve"> University of Bristol. </w:t>
      </w:r>
      <w:r>
        <w:fldChar w:fldCharType="begin"/>
      </w:r>
      <w:r>
        <w:instrText xml:space="preserve"> HYPERLINK "https://bristol.ac.uk/media-library/sites/economics/documents/admissioncriteria.pdf" </w:instrText>
      </w:r>
      <w:r>
        <w:fldChar w:fldCharType="separate"/>
      </w:r>
      <w:r w:rsidRPr="00C52575" w:rsidR="00D80B09">
        <w:rPr>
          <w:rStyle w:val="Hyperlink"/>
        </w:rPr>
        <w:t>https://bristol.ac.uk/media-library/sites/economics/documents/admissioncriteria.pdf</w:t>
      </w:r>
      <w:r>
        <w:fldChar w:fldCharType="end"/>
      </w:r>
    </w:p>
    <w:p w:rsidR="00B502D4" w:rsidP="0023371D">
      <w:r w:rsidRPr="00E32903">
        <w:t>DfE (2019)</w:t>
      </w:r>
      <w:r w:rsidR="0064584D">
        <w:t>.</w:t>
      </w:r>
      <w:r w:rsidRPr="00E32903">
        <w:t xml:space="preserve"> Selective schools expansion fund. </w:t>
      </w:r>
      <w:r>
        <w:fldChar w:fldCharType="begin"/>
      </w:r>
      <w:r>
        <w:instrText xml:space="preserve"> HYPERLINK "https://assets.publishing.service.gov.uk/media/5c66e730ed915d4a37b42228/Selective_schools_expansion_fund_-_Information_for_applicants.pdf" </w:instrText>
      </w:r>
      <w:r>
        <w:fldChar w:fldCharType="separate"/>
      </w:r>
      <w:r w:rsidRPr="00E32903">
        <w:rPr>
          <w:rStyle w:val="Hyperlink"/>
        </w:rPr>
        <w:t>https://assets.publishing.service.gov.uk/media/5c66e730ed915d4a37b42228/Selective_schools_expansion_fund_-_Information_for_applicants.pdf</w:t>
      </w:r>
      <w:r>
        <w:fldChar w:fldCharType="end"/>
      </w:r>
    </w:p>
    <w:p w:rsidR="0064584D" w:rsidRPr="0076655D" w:rsidP="0064584D">
      <w:r w:rsidRPr="0076655D">
        <w:t>DfE (2021)</w:t>
      </w:r>
      <w:r>
        <w:t>.</w:t>
      </w:r>
      <w:r w:rsidRPr="0076655D">
        <w:t xml:space="preserve"> School Admissions Code</w:t>
      </w:r>
      <w:r>
        <w:t xml:space="preserve">. </w:t>
      </w:r>
      <w:r>
        <w:fldChar w:fldCharType="begin"/>
      </w:r>
      <w:r>
        <w:instrText xml:space="preserve"> HYPERLINK "https://www.gov.uk/government/publications/school-admissions-code--2" </w:instrText>
      </w:r>
      <w:r>
        <w:fldChar w:fldCharType="separate"/>
      </w:r>
      <w:r w:rsidRPr="0076655D">
        <w:rPr>
          <w:rStyle w:val="Hyperlink"/>
          <w:color w:val="auto"/>
        </w:rPr>
        <w:t>https://www.gov.uk/government/publications/school-admissions-code--2</w:t>
      </w:r>
      <w:r>
        <w:fldChar w:fldCharType="end"/>
      </w:r>
    </w:p>
    <w:p w:rsidR="008637DF" w:rsidP="0023371D">
      <w:r w:rsidRPr="00E32903">
        <w:t>DfE (2026</w:t>
      </w:r>
      <w:r w:rsidR="00473046">
        <w:t>a</w:t>
      </w:r>
      <w:r w:rsidRPr="00E32903">
        <w:t>)</w:t>
      </w:r>
      <w:r w:rsidR="00473046">
        <w:t>.</w:t>
      </w:r>
      <w:r w:rsidRPr="00E32903">
        <w:t xml:space="preserve"> Schools, pupils and their characteristics. </w:t>
      </w:r>
      <w:r>
        <w:fldChar w:fldCharType="begin"/>
      </w:r>
      <w:r>
        <w:instrText xml:space="preserve"> HYPERLINK "https://explore-education-statistics.service.gov.uk/find-statistics/school-pupils-and-their-characteristics/2025-26" </w:instrText>
      </w:r>
      <w:r>
        <w:fldChar w:fldCharType="separate"/>
      </w:r>
      <w:r w:rsidRPr="00C52575" w:rsidR="00473046">
        <w:rPr>
          <w:rStyle w:val="Hyperlink"/>
        </w:rPr>
        <w:t>https://explore-education-statistics.service.gov.uk/find-statistics/school-pupils-and-their-characteristics/2025-26</w:t>
      </w:r>
      <w:r>
        <w:fldChar w:fldCharType="end"/>
      </w:r>
    </w:p>
    <w:p w:rsidR="0057144C" w:rsidRPr="00E32903" w:rsidP="0023371D">
      <w:r w:rsidRPr="00E32903">
        <w:t>DfE (2026</w:t>
      </w:r>
      <w:r w:rsidR="00473046">
        <w:t>b</w:t>
      </w:r>
      <w:r w:rsidRPr="00E32903">
        <w:t>)</w:t>
      </w:r>
      <w:r w:rsidRPr="00E32903" w:rsidR="00444227">
        <w:t>.</w:t>
      </w:r>
      <w:r w:rsidRPr="00E32903">
        <w:t xml:space="preserve"> Academy trust handbook 2026</w:t>
      </w:r>
      <w:r w:rsidRPr="00E32903" w:rsidR="00444227">
        <w:t xml:space="preserve">. </w:t>
      </w:r>
      <w:r>
        <w:fldChar w:fldCharType="begin"/>
      </w:r>
      <w:r>
        <w:instrText xml:space="preserve"> HYPERLINK "https://www.gov.uk/government/publications/academy-trust-handbook/academy-trust-handbook-2026-effective-from-1-october-2026" </w:instrText>
      </w:r>
      <w:r>
        <w:fldChar w:fldCharType="separate"/>
      </w:r>
      <w:r w:rsidRPr="00E32903" w:rsidR="00E32903">
        <w:rPr>
          <w:rStyle w:val="Hyperlink"/>
        </w:rPr>
        <w:t>https://www.gov.uk/government/publications/academy-trust-handbook/academy-trust-handbook-2026-effective-from-1-october-2026</w:t>
      </w:r>
      <w:r>
        <w:fldChar w:fldCharType="end"/>
      </w:r>
    </w:p>
    <w:p w:rsidR="006E69FD" w:rsidRPr="00E32903" w:rsidP="0023371D">
      <w:r w:rsidRPr="00E32903">
        <w:t>DfE</w:t>
      </w:r>
      <w:r w:rsidRPr="00E32903" w:rsidR="001548C4">
        <w:t xml:space="preserve"> (202</w:t>
      </w:r>
      <w:r w:rsidRPr="00E32903">
        <w:t>6</w:t>
      </w:r>
      <w:r w:rsidR="00473046">
        <w:t>c</w:t>
      </w:r>
      <w:r w:rsidRPr="00E32903" w:rsidR="001548C4">
        <w:t xml:space="preserve">). Consistent financial reporting (CFR) framework. </w:t>
      </w:r>
      <w:r>
        <w:fldChar w:fldCharType="begin"/>
      </w:r>
      <w:r>
        <w:instrText xml:space="preserve"> HYPERLINK "https://www.gov.uk/guidance/consistent-financial-reporting-framework-cfr" </w:instrText>
      </w:r>
      <w:r>
        <w:fldChar w:fldCharType="separate"/>
      </w:r>
      <w:r w:rsidRPr="00E32903">
        <w:rPr>
          <w:rStyle w:val="Hyperlink"/>
        </w:rPr>
        <w:t>https://www.gov.uk/guidance/consistent-financial-reporting-framework-cfr</w:t>
      </w:r>
      <w:r>
        <w:fldChar w:fldCharType="end"/>
      </w:r>
    </w:p>
    <w:p w:rsidR="00C74200" w:rsidRPr="00E32903" w:rsidP="0023371D">
      <w:pPr>
        <w:rPr>
          <w:rFonts w:cs="Times New Roman"/>
          <w:shd w:val="clear" w:color="auto" w:fill="FFFFFF"/>
        </w:rPr>
      </w:pPr>
      <w:r w:rsidRPr="00E32903">
        <w:rPr>
          <w:rFonts w:cs="Times New Roman"/>
        </w:rPr>
        <w:t>Gorard, S., Taylor, C. &amp; Fitz, J. (2003)</w:t>
      </w:r>
      <w:r w:rsidRPr="00E32903" w:rsidR="008637DF">
        <w:rPr>
          <w:rFonts w:cs="Times New Roman"/>
        </w:rPr>
        <w:t>.</w:t>
      </w:r>
      <w:r w:rsidRPr="00E32903">
        <w:rPr>
          <w:rFonts w:cs="Times New Roman"/>
        </w:rPr>
        <w:t xml:space="preserve"> Schools, Markets and Choice Policies</w:t>
      </w:r>
      <w:r w:rsidRPr="00E32903" w:rsidR="00E32903">
        <w:rPr>
          <w:rFonts w:cs="Times New Roman"/>
        </w:rPr>
        <w:t>.</w:t>
      </w:r>
      <w:r w:rsidRPr="00E32903">
        <w:rPr>
          <w:rFonts w:cs="Times New Roman"/>
          <w:shd w:val="clear" w:color="auto" w:fill="FFFFFF"/>
        </w:rPr>
        <w:t xml:space="preserve"> Routledge</w:t>
      </w:r>
      <w:r w:rsidRPr="00E32903" w:rsidR="008637DF">
        <w:rPr>
          <w:rFonts w:cs="Times New Roman"/>
          <w:shd w:val="clear" w:color="auto" w:fill="FFFFFF"/>
        </w:rPr>
        <w:t>.</w:t>
      </w:r>
    </w:p>
    <w:p w:rsidR="001548C4" w:rsidP="0023371D">
      <w:r w:rsidRPr="00E32903">
        <w:t>HM Government (2022). Opportunity for all: strong schools with great teachers for your child. CP 650</w:t>
      </w:r>
      <w:r w:rsidR="00D80B09">
        <w:t>.</w:t>
      </w:r>
      <w:r w:rsidRPr="00E32903">
        <w:t xml:space="preserve"> H</w:t>
      </w:r>
      <w:r w:rsidRPr="00E32903" w:rsidR="006316C2">
        <w:t xml:space="preserve">MSO. </w:t>
      </w:r>
      <w:r>
        <w:fldChar w:fldCharType="begin"/>
      </w:r>
      <w:r>
        <w:instrText xml:space="preserve"> HYPERLINK "https://assets.publishing.service.gov.uk/government/uploads/system/uploads/attachment_data/file/1063602/Opportunity_for_all_strong_schools_with_great_teachers_for_your_child__print_version_.pdf" </w:instrText>
      </w:r>
      <w:r>
        <w:fldChar w:fldCharType="separate"/>
      </w:r>
      <w:r w:rsidRPr="00E32903">
        <w:rPr>
          <w:rStyle w:val="Hyperlink"/>
        </w:rPr>
        <w:t>https://assets.publishing.service.gov.uk/government/uploads/system/uploads/attachment_data/file/1063602/Opportunity_for_all_strong_schools_with_great_teachers_for_your_child__print_version_.pdf</w:t>
      </w:r>
      <w:r>
        <w:fldChar w:fldCharType="end"/>
      </w:r>
      <w:r w:rsidRPr="00E32903">
        <w:t>.</w:t>
      </w:r>
    </w:p>
    <w:p w:rsidR="0064584D" w:rsidP="0023371D">
      <w:r>
        <w:t xml:space="preserve">Office of the Schools Adjudicator (2016) </w:t>
      </w:r>
      <w:r w:rsidRPr="0064584D">
        <w:t>Annual Report September 2015 to August 2016</w:t>
      </w:r>
      <w:r w:rsidR="00402417">
        <w:t>.</w:t>
      </w:r>
      <w:r w:rsidRPr="0064584D" w:rsidR="00402417">
        <w:t xml:space="preserve"> </w:t>
      </w:r>
      <w:r>
        <w:fldChar w:fldCharType="begin"/>
      </w:r>
      <w:r>
        <w:instrText xml:space="preserve"> HYPERLINK "https://webarchive.nationalarchives.gov.uk/ukgwa/20200103130705/https:/www.gov.uk/government/publications/osa-annual-report" </w:instrText>
      </w:r>
      <w:r>
        <w:fldChar w:fldCharType="separate"/>
      </w:r>
      <w:r w:rsidRPr="00D740A8" w:rsidR="007803E8">
        <w:rPr>
          <w:rStyle w:val="Hyperlink"/>
        </w:rPr>
        <w:t>https://webarchive.nationalarchives.gov.uk/ukgwa/20200103130705/https:/www.gov.uk/government/publications/osa-annual-report</w:t>
      </w:r>
      <w:r>
        <w:fldChar w:fldCharType="end"/>
      </w:r>
    </w:p>
    <w:p w:rsidR="006316C2" w:rsidRPr="00E32903" w:rsidP="0023371D">
      <w:r w:rsidRPr="00E32903">
        <w:t>Plaister, N. (202</w:t>
      </w:r>
      <w:r w:rsidRPr="00E32903">
        <w:t>6</w:t>
      </w:r>
      <w:r w:rsidRPr="00E32903">
        <w:t xml:space="preserve">). </w:t>
      </w:r>
      <w:r>
        <w:fldChar w:fldCharType="begin"/>
      </w:r>
      <w:r>
        <w:instrText xml:space="preserve"> HYPERLINK "C:\\Program Files (x86)\\Mimecast\\PATI\\temp\\59b26af6-7086-45d4-b15b-a886f04cd802\\The current state of play for MATs" </w:instrText>
      </w:r>
      <w:r>
        <w:fldChar w:fldCharType="separate"/>
      </w:r>
      <w:r w:rsidRPr="00E32903">
        <w:rPr>
          <w:rStyle w:val="Hyperlink"/>
          <w:color w:val="auto"/>
          <w:u w:val="none"/>
        </w:rPr>
        <w:t>The current state of play for MATs</w:t>
      </w:r>
      <w:r>
        <w:fldChar w:fldCharType="end"/>
      </w:r>
      <w:r w:rsidRPr="00E32903" w:rsidR="00E32903">
        <w:t xml:space="preserve">. </w:t>
      </w:r>
      <w:r>
        <w:fldChar w:fldCharType="begin"/>
      </w:r>
      <w:r>
        <w:instrText xml:space="preserve"> HYPERLINK "https://ffteducationdatalab.org.uk/2026/04/the-state-of-play-for-mats-in-2026/" </w:instrText>
      </w:r>
      <w:r>
        <w:fldChar w:fldCharType="separate"/>
      </w:r>
      <w:r w:rsidRPr="00E32903" w:rsidR="00444227">
        <w:rPr>
          <w:rStyle w:val="Hyperlink"/>
        </w:rPr>
        <w:t>https://ffteducationdatalab.org.uk/2026/04/the-state-of-play-for-mats-in-2026/</w:t>
      </w:r>
      <w:r>
        <w:fldChar w:fldCharType="end"/>
      </w:r>
      <w:r w:rsidRPr="00E32903">
        <w:t xml:space="preserve"> </w:t>
      </w:r>
    </w:p>
    <w:p w:rsidR="001548C4" w:rsidRPr="00E32903" w:rsidP="0023371D">
      <w:r w:rsidRPr="00E32903">
        <w:t xml:space="preserve">West, A. &amp; Hind, A. (2016). Secondary school admissions in London 2001 to 2015: compliance, complexity and control. Clare Market Papers </w:t>
      </w:r>
      <w:r w:rsidRPr="00E32903" w:rsidR="00E32903">
        <w:t>20, LSE</w:t>
      </w:r>
      <w:r w:rsidRPr="00E32903" w:rsidR="006316C2">
        <w:t xml:space="preserve">. </w:t>
      </w:r>
      <w:r>
        <w:fldChar w:fldCharType="begin"/>
      </w:r>
      <w:r>
        <w:instrText xml:space="preserve"> HYPERLINK "https://eprints.lse.ac.uk/66368/7/West%252C%2520A_Secondary%2520school%2520admissions%2520in%2520London%25202001%2520to%25202015_West_Secondary_school_admissions.pdf" </w:instrText>
      </w:r>
      <w:r>
        <w:fldChar w:fldCharType="separate"/>
      </w:r>
      <w:r w:rsidRPr="00E32903">
        <w:rPr>
          <w:rStyle w:val="Hyperlink"/>
        </w:rPr>
        <w:t>https://eprints.lse.ac.uk/66368/7/West%252C%2520A_Secondary%2520school%2520admissions%2520in%2520London%25202001%2520to%25202015_West_Secondary_school_admissions.pdf</w:t>
      </w:r>
      <w:r>
        <w:fldChar w:fldCharType="end"/>
      </w:r>
    </w:p>
    <w:p w:rsidR="00E32903" w:rsidRPr="00E32903" w:rsidP="0023371D">
      <w:r w:rsidRPr="00E32903">
        <w:t xml:space="preserve">West, A. </w:t>
      </w:r>
      <w:r w:rsidRPr="00E32903">
        <w:t xml:space="preserve">&amp; </w:t>
      </w:r>
      <w:r w:rsidRPr="00E32903">
        <w:t>Rushworth, G. (2025)</w:t>
      </w:r>
      <w:r w:rsidRPr="00E32903">
        <w:t>.</w:t>
      </w:r>
      <w:r w:rsidRPr="00E32903">
        <w:t xml:space="preserve"> Secondary school admissions in London: Banding and selection by aptitude and ability. Clare Market Paper 25, LSE</w:t>
      </w:r>
      <w:r w:rsidRPr="00E32903" w:rsidR="006316C2">
        <w:t>.</w:t>
      </w:r>
      <w:r w:rsidRPr="00E32903">
        <w:t xml:space="preserve"> </w:t>
      </w:r>
      <w:r>
        <w:fldChar w:fldCharType="begin"/>
      </w:r>
      <w:r>
        <w:instrText xml:space="preserve"> HYPERLINK "https://researchonline.lse.ac.uk/id/eprint/127883/3/Clare_Market_Paper_25_Secondary_school_admissions_selection_and_banding_Final_10_April_2025.pdf" </w:instrText>
      </w:r>
      <w:r>
        <w:fldChar w:fldCharType="separate"/>
      </w:r>
      <w:r w:rsidRPr="00E32903">
        <w:rPr>
          <w:rStyle w:val="Hyperlink"/>
        </w:rPr>
        <w:t>https://researchonline.lse.ac.uk/id/eprint/127883/3/Clare_Market_Paper_25_Secondary_school_admissions_selection_and_banding_Final_10_April_2025.pdf</w:t>
      </w:r>
      <w:r>
        <w:fldChar w:fldCharType="end"/>
      </w:r>
    </w:p>
    <w:p w:rsidR="001548C4" w:rsidRPr="00651380" w:rsidP="0023371D">
      <w:pPr>
        <w:rPr>
          <w:lang w:val="de-DE"/>
        </w:rPr>
      </w:pPr>
      <w:r w:rsidRPr="00E32903">
        <w:t>West, A. &amp; Wolfe, D. (2019). Academies, autonomy, equality and democratic accountability: Reforming the fragmented publicly funded school system in England</w:t>
      </w:r>
      <w:r w:rsidR="00905A06">
        <w:t>,</w:t>
      </w:r>
      <w:r w:rsidRPr="00E32903">
        <w:t xml:space="preserve"> London Review of Education, 17(1), 70-86. </w:t>
      </w:r>
      <w:r>
        <w:fldChar w:fldCharType="begin"/>
      </w:r>
      <w:r>
        <w:instrText xml:space="preserve"> HYPERLINK "https://doi.org/10.18546/LRE.17.1.06" </w:instrText>
      </w:r>
      <w:r>
        <w:fldChar w:fldCharType="separate"/>
      </w:r>
      <w:r w:rsidRPr="00651380" w:rsidR="00B502D4">
        <w:rPr>
          <w:rStyle w:val="Hyperlink"/>
          <w:lang w:val="de-DE"/>
        </w:rPr>
        <w:t>https://doi.org/10.18546/LRE.17.1.06</w:t>
      </w:r>
      <w:r>
        <w:fldChar w:fldCharType="end"/>
      </w:r>
    </w:p>
    <w:p w:rsidR="001548C4" w:rsidRPr="00E32903" w:rsidP="0023371D">
      <w:r w:rsidRPr="00651380">
        <w:rPr>
          <w:lang w:val="de-DE"/>
        </w:rPr>
        <w:t xml:space="preserve">West, A., Wolfe, D. &amp; Yaghi, B. B. (2024). </w:t>
      </w:r>
      <w:r w:rsidRPr="00E32903">
        <w:t xml:space="preserve">Governance of Academies in England: The Return of “Command and Control”? British Journal of Educational Studies, 72(2), 131-154. </w:t>
      </w:r>
      <w:r>
        <w:fldChar w:fldCharType="begin"/>
      </w:r>
      <w:r>
        <w:instrText xml:space="preserve"> HYPERLINK "https://doi.org/10.1080/00071005.2023.2258191" </w:instrText>
      </w:r>
      <w:r>
        <w:fldChar w:fldCharType="separate"/>
      </w:r>
      <w:r w:rsidRPr="00E32903" w:rsidR="00BC03A0">
        <w:rPr>
          <w:rStyle w:val="Hyperlink"/>
        </w:rPr>
        <w:t>https://doi.org/10.1080/00071005.2023.2258191</w:t>
      </w:r>
      <w:r>
        <w:fldChar w:fldCharType="end"/>
      </w:r>
    </w:p>
    <w:p w:rsidR="00B64379" w:rsidRPr="00E32903" w:rsidP="0023371D">
      <w:pPr>
        <w:rPr>
          <w:color w:val="000000"/>
          <w:lang w:eastAsia="en-GB"/>
        </w:rPr>
      </w:pPr>
      <w:r w:rsidRPr="007803E8">
        <w:t xml:space="preserve">West, A., Wolfe, D. </w:t>
      </w:r>
      <w:r w:rsidRPr="007803E8" w:rsidR="00E32903">
        <w:t>&amp;</w:t>
      </w:r>
      <w:r w:rsidRPr="007803E8">
        <w:t xml:space="preserve"> Yaghi, B. B. (2025)</w:t>
      </w:r>
      <w:r w:rsidRPr="007803E8" w:rsidR="0064584D">
        <w:t>.</w:t>
      </w:r>
      <w:r w:rsidRPr="007803E8">
        <w:t xml:space="preserve"> </w:t>
      </w:r>
      <w:r w:rsidRPr="00E32903">
        <w:t xml:space="preserve">School governance in England from 2010 to 2024: Academies, maintained schools and the changing roles of central and local government, in R. Morris and T. Perry (eds) </w:t>
      </w:r>
      <w:r w:rsidRPr="00E32903">
        <w:rPr>
          <w:color w:val="000000"/>
          <w:lang w:eastAsia="en-GB"/>
        </w:rPr>
        <w:t>Education Policy 2010-2024</w:t>
      </w:r>
      <w:r w:rsidRPr="00E32903" w:rsidR="008637DF">
        <w:rPr>
          <w:color w:val="000000"/>
          <w:lang w:eastAsia="en-GB"/>
        </w:rPr>
        <w:t>.</w:t>
      </w:r>
      <w:r w:rsidRPr="00E32903">
        <w:rPr>
          <w:color w:val="000000"/>
          <w:lang w:eastAsia="en-GB"/>
        </w:rPr>
        <w:t xml:space="preserve"> Routledge. ISBN 9781003528661</w:t>
      </w:r>
    </w:p>
    <w:p w:rsidR="00B64379" w:rsidP="0023371D">
      <w:r w:rsidRPr="00E32903">
        <w:rPr>
          <w:lang w:eastAsia="en-GB"/>
        </w:rPr>
        <w:t>West, A. and Yaghi, B. B. (2025)</w:t>
      </w:r>
      <w:r w:rsidRPr="00E32903" w:rsidR="00E32903">
        <w:rPr>
          <w:lang w:eastAsia="en-GB"/>
        </w:rPr>
        <w:t>.</w:t>
      </w:r>
      <w:r w:rsidRPr="00E32903">
        <w:rPr>
          <w:lang w:eastAsia="en-GB"/>
        </w:rPr>
        <w:t xml:space="preserve"> Academies in England and charter schools in the US: Who is accountable, to whom, for what, and with what consequences? Journal of School Choice, 19</w:t>
      </w:r>
      <w:r w:rsidRPr="00E32903" w:rsidR="00E32903">
        <w:rPr>
          <w:lang w:eastAsia="en-GB"/>
        </w:rPr>
        <w:t>(</w:t>
      </w:r>
      <w:r w:rsidRPr="00E32903">
        <w:rPr>
          <w:lang w:eastAsia="en-GB"/>
        </w:rPr>
        <w:t>1</w:t>
      </w:r>
      <w:r w:rsidRPr="00E32903" w:rsidR="00E32903">
        <w:rPr>
          <w:lang w:eastAsia="en-GB"/>
        </w:rPr>
        <w:t>)</w:t>
      </w:r>
      <w:r w:rsidRPr="00E32903">
        <w:rPr>
          <w:lang w:eastAsia="en-GB"/>
        </w:rPr>
        <w:t xml:space="preserve">, 187–219. </w:t>
      </w:r>
      <w:r>
        <w:fldChar w:fldCharType="begin"/>
      </w:r>
      <w:r>
        <w:instrText xml:space="preserve"> HYPERLINK "https://doi.org/10.1080/15582159.2024.2375695" </w:instrText>
      </w:r>
      <w:r>
        <w:fldChar w:fldCharType="separate"/>
      </w:r>
      <w:r w:rsidRPr="00E32903">
        <w:rPr>
          <w:rStyle w:val="Hyperlink"/>
          <w:color w:val="auto"/>
          <w:u w:val="none"/>
          <w:lang w:eastAsia="en-GB"/>
        </w:rPr>
        <w:t>https://doi.org/10.1080/15582159.2024.2375695</w:t>
      </w:r>
      <w:r>
        <w:fldChar w:fldCharType="end"/>
      </w:r>
    </w:p>
    <w:p w:rsidR="001712F2" w:rsidRPr="00E32903" w:rsidP="0023371D">
      <w:r w:rsidRPr="00E32903">
        <w:t xml:space="preserve">Wolfe, D. (2013). Schools: The legal structures, the accidents of history and the legacies of timing and circumstance. Education Law Journal, 14(2), 100-113. </w:t>
      </w:r>
      <w:r>
        <w:fldChar w:fldCharType="begin"/>
      </w:r>
      <w:r>
        <w:instrText xml:space="preserve"> HYPERLINK "https://heinonline.org/HOL/LandingPage?handle=hein.journals/edulj2013&amp;div=25&amp;id=&amp;page=" </w:instrText>
      </w:r>
      <w:r>
        <w:fldChar w:fldCharType="separate"/>
      </w:r>
      <w:r w:rsidRPr="00E32903">
        <w:rPr>
          <w:rStyle w:val="Hyperlink"/>
        </w:rPr>
        <w:t>https://heinonline.org/HOL/LandingPage?handle=hein.journals/edulj2013&amp;div=25&amp;id=&amp;page=</w:t>
      </w:r>
      <w:r>
        <w:fldChar w:fldCharType="end"/>
      </w:r>
    </w:p>
    <w:p w:rsidR="006E69FD" w:rsidRPr="008C323A" w:rsidP="0023371D">
      <w:pPr>
        <w:rPr>
          <w:i/>
          <w:iCs/>
        </w:rPr>
      </w:pPr>
    </w:p>
    <w:p w:rsidR="00F21009" w:rsidRPr="008C323A" w:rsidP="0023371D">
      <w:pPr>
        <w:rPr>
          <w:i/>
          <w:iCs/>
        </w:rPr>
      </w:pPr>
      <w:r w:rsidRPr="008C323A">
        <w:rPr>
          <w:i/>
          <w:iCs/>
        </w:rPr>
        <w:t>September 2026</w:t>
      </w:r>
    </w:p>
    <w:sectPr>
      <w:footerReference w:type="default" r:id="rI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26671270"/>
      <w:docPartObj>
        <w:docPartGallery w:val="Page Numbers (Bottom of Page)"/>
        <w:docPartUnique/>
      </w:docPartObj>
    </w:sdtPr>
    <w:sdtContent>
      <w:p w:rsidR="00F87ADC">
        <w:pPr>
          <w:pStyle w:val="Footer"/>
          <w:jc w:val="center"/>
        </w:pPr>
        <w:r>
          <w:fldChar w:fldCharType="begin"/>
        </w:r>
        <w:r>
          <w:instrText>PAGE   \* MERGEFORMAT</w:instrText>
        </w:r>
        <w:r>
          <w:fldChar w:fldCharType="separate"/>
        </w:r>
        <w:r>
          <w:t>2</w:t>
        </w:r>
        <w:r>
          <w:fldChar w:fldCharType="end"/>
        </w:r>
      </w:p>
    </w:sdtContent>
  </w:sdt>
  <w:p w:rsidR="00F87ADC">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B102705"/>
    <w:multiLevelType w:val="hybridMultilevel"/>
    <w:tmpl w:val="69649AD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D7B4AD3"/>
    <w:multiLevelType w:val="hybridMultilevel"/>
    <w:tmpl w:val="6772DC8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7EE2A2A"/>
    <w:multiLevelType w:val="multilevel"/>
    <w:tmpl w:val="9B3CF5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94F2891"/>
    <w:multiLevelType w:val="hybridMultilevel"/>
    <w:tmpl w:val="0D1EBA0A"/>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234C417A"/>
    <w:multiLevelType w:val="multilevel"/>
    <w:tmpl w:val="5018F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985BBB"/>
    <w:multiLevelType w:val="multilevel"/>
    <w:tmpl w:val="C69AB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7EA1680"/>
    <w:multiLevelType w:val="multilevel"/>
    <w:tmpl w:val="B68469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7DD64D6E"/>
    <w:multiLevelType w:val="multilevel"/>
    <w:tmpl w:val="8A4288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6"/>
  </w:num>
  <w:num w:numId="3">
    <w:abstractNumId w:val="5"/>
  </w:num>
  <w:num w:numId="4">
    <w:abstractNumId w:val="4"/>
  </w:num>
  <w:num w:numId="5">
    <w:abstractNumId w:val="3"/>
  </w:num>
  <w:num w:numId="6">
    <w:abstractNumId w:val="1"/>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3371D"/>
    <w:rPr>
      <w:rFonts w:ascii="Times New Roman" w:hAnsi="Times New Roman"/>
    </w:rPr>
  </w:style>
  <w:style w:type="paragraph" w:styleId="Heading1">
    <w:name w:val="heading 1"/>
    <w:basedOn w:val="Normal"/>
    <w:next w:val="Normal"/>
    <w:link w:val="Heading1Char"/>
    <w:uiPriority w:val="9"/>
    <w:qFormat/>
    <w:rsid w:val="006B06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06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06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06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06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06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06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06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06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06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06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06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06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06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06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06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06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06BC"/>
    <w:rPr>
      <w:rFonts w:eastAsiaTheme="majorEastAsia" w:cstheme="majorBidi"/>
      <w:color w:val="272727" w:themeColor="text1" w:themeTint="D8"/>
    </w:rPr>
  </w:style>
  <w:style w:type="paragraph" w:styleId="Title">
    <w:name w:val="Title"/>
    <w:basedOn w:val="Normal"/>
    <w:next w:val="Normal"/>
    <w:link w:val="TitleChar"/>
    <w:uiPriority w:val="10"/>
    <w:qFormat/>
    <w:rsid w:val="006B06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06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06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06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06BC"/>
    <w:pPr>
      <w:spacing w:before="160"/>
      <w:jc w:val="center"/>
    </w:pPr>
    <w:rPr>
      <w:i/>
      <w:iCs/>
      <w:color w:val="404040" w:themeColor="text1" w:themeTint="BF"/>
    </w:rPr>
  </w:style>
  <w:style w:type="character" w:customStyle="1" w:styleId="QuoteChar">
    <w:name w:val="Quote Char"/>
    <w:basedOn w:val="DefaultParagraphFont"/>
    <w:link w:val="Quote"/>
    <w:uiPriority w:val="29"/>
    <w:rsid w:val="006B06BC"/>
    <w:rPr>
      <w:i/>
      <w:iCs/>
      <w:color w:val="404040" w:themeColor="text1" w:themeTint="BF"/>
    </w:rPr>
  </w:style>
  <w:style w:type="paragraph" w:styleId="ListParagraph">
    <w:name w:val="List Paragraph"/>
    <w:basedOn w:val="Normal"/>
    <w:uiPriority w:val="34"/>
    <w:qFormat/>
    <w:rsid w:val="006B06BC"/>
    <w:pPr>
      <w:ind w:left="720"/>
      <w:contextualSpacing/>
    </w:pPr>
  </w:style>
  <w:style w:type="character" w:styleId="IntenseEmphasis">
    <w:name w:val="Intense Emphasis"/>
    <w:basedOn w:val="DefaultParagraphFont"/>
    <w:uiPriority w:val="21"/>
    <w:qFormat/>
    <w:rsid w:val="006B06BC"/>
    <w:rPr>
      <w:i/>
      <w:iCs/>
      <w:color w:val="0F4761" w:themeColor="accent1" w:themeShade="BF"/>
    </w:rPr>
  </w:style>
  <w:style w:type="paragraph" w:styleId="IntenseQuote">
    <w:name w:val="Intense Quote"/>
    <w:basedOn w:val="Normal"/>
    <w:next w:val="Normal"/>
    <w:link w:val="IntenseQuoteChar"/>
    <w:uiPriority w:val="30"/>
    <w:qFormat/>
    <w:rsid w:val="006B06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06BC"/>
    <w:rPr>
      <w:i/>
      <w:iCs/>
      <w:color w:val="0F4761" w:themeColor="accent1" w:themeShade="BF"/>
    </w:rPr>
  </w:style>
  <w:style w:type="character" w:styleId="IntenseReference">
    <w:name w:val="Intense Reference"/>
    <w:basedOn w:val="DefaultParagraphFont"/>
    <w:uiPriority w:val="32"/>
    <w:qFormat/>
    <w:rsid w:val="006B06BC"/>
    <w:rPr>
      <w:b/>
      <w:bCs/>
      <w:smallCaps/>
      <w:color w:val="0F4761" w:themeColor="accent1" w:themeShade="BF"/>
      <w:spacing w:val="5"/>
    </w:rPr>
  </w:style>
  <w:style w:type="character" w:styleId="Hyperlink">
    <w:name w:val="Hyperlink"/>
    <w:basedOn w:val="DefaultParagraphFont"/>
    <w:uiPriority w:val="99"/>
    <w:unhideWhenUsed/>
    <w:rsid w:val="00537A68"/>
    <w:rPr>
      <w:color w:val="467886" w:themeColor="hyperlink"/>
      <w:u w:val="single"/>
    </w:rPr>
  </w:style>
  <w:style w:type="paragraph" w:styleId="EndnoteText">
    <w:name w:val="endnote text"/>
    <w:basedOn w:val="Normal"/>
    <w:link w:val="EndnoteTextChar"/>
    <w:uiPriority w:val="99"/>
    <w:semiHidden/>
    <w:unhideWhenUsed/>
    <w:rsid w:val="00537A6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37A68"/>
    <w:rPr>
      <w:rFonts w:ascii="Times New Roman" w:hAnsi="Times New Roman"/>
      <w:sz w:val="20"/>
      <w:szCs w:val="20"/>
    </w:rPr>
  </w:style>
  <w:style w:type="character" w:styleId="EndnoteReference">
    <w:name w:val="endnote reference"/>
    <w:basedOn w:val="DefaultParagraphFont"/>
    <w:uiPriority w:val="99"/>
    <w:semiHidden/>
    <w:unhideWhenUsed/>
    <w:rsid w:val="00537A68"/>
    <w:rPr>
      <w:vertAlign w:val="superscript"/>
    </w:rPr>
  </w:style>
  <w:style w:type="character" w:customStyle="1" w:styleId="UnresolvedMention">
    <w:name w:val="Unresolved Mention"/>
    <w:basedOn w:val="DefaultParagraphFont"/>
    <w:uiPriority w:val="99"/>
    <w:semiHidden/>
    <w:unhideWhenUsed/>
    <w:rsid w:val="001548C4"/>
    <w:rPr>
      <w:color w:val="605E5C"/>
      <w:shd w:val="clear" w:color="auto" w:fill="E1DFDD"/>
    </w:rPr>
  </w:style>
  <w:style w:type="character" w:styleId="FollowedHyperlink">
    <w:name w:val="FollowedHyperlink"/>
    <w:basedOn w:val="DefaultParagraphFont"/>
    <w:uiPriority w:val="99"/>
    <w:semiHidden/>
    <w:unhideWhenUsed/>
    <w:rsid w:val="001712F2"/>
    <w:rPr>
      <w:color w:val="96607D" w:themeColor="followedHyperlink"/>
      <w:u w:val="single"/>
    </w:rPr>
  </w:style>
  <w:style w:type="paragraph" w:styleId="FootnoteText">
    <w:name w:val="footnote text"/>
    <w:basedOn w:val="Normal"/>
    <w:link w:val="FootnoteTextChar"/>
    <w:uiPriority w:val="99"/>
    <w:semiHidden/>
    <w:unhideWhenUsed/>
    <w:rsid w:val="007C3F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C3F46"/>
    <w:rPr>
      <w:sz w:val="20"/>
      <w:szCs w:val="20"/>
    </w:rPr>
  </w:style>
  <w:style w:type="character" w:styleId="FootnoteReference">
    <w:name w:val="footnote reference"/>
    <w:basedOn w:val="DefaultParagraphFont"/>
    <w:uiPriority w:val="99"/>
    <w:semiHidden/>
    <w:unhideWhenUsed/>
    <w:rsid w:val="007C3F46"/>
    <w:rPr>
      <w:vertAlign w:val="superscript"/>
    </w:rPr>
  </w:style>
  <w:style w:type="paragraph" w:styleId="Header">
    <w:name w:val="header"/>
    <w:basedOn w:val="Normal"/>
    <w:link w:val="HeaderChar"/>
    <w:uiPriority w:val="99"/>
    <w:unhideWhenUsed/>
    <w:rsid w:val="00F87A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7ADC"/>
  </w:style>
  <w:style w:type="paragraph" w:styleId="Footer">
    <w:name w:val="footer"/>
    <w:basedOn w:val="Normal"/>
    <w:link w:val="FooterChar"/>
    <w:uiPriority w:val="99"/>
    <w:unhideWhenUsed/>
    <w:rsid w:val="00F87A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7ADC"/>
  </w:style>
  <w:style w:type="paragraph" w:styleId="Revision">
    <w:name w:val="Revision"/>
    <w:hidden/>
    <w:uiPriority w:val="99"/>
    <w:semiHidden/>
    <w:rsid w:val="00CA64D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C3EE7E-7C03-4128-B256-70705CABF1AF}">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ECA0171</dc:title>
  <cp:revision>0</cp:revision>
</cp:coreProperties>
</file>