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D2001" w:rsidRPr="00DD2001" w:rsidP="00DD2001">
      <w:pPr>
        <w:ind w:left="720"/>
        <w:jc w:val="center"/>
        <w:rPr>
          <w:b/>
          <w:bCs/>
        </w:rPr>
      </w:pPr>
      <w:r>
        <w:rPr>
          <w:b/>
          <w:bCs/>
        </w:rPr>
        <w:t xml:space="preserve">Written evidence by </w:t>
      </w:r>
      <w:r w:rsidRPr="00DD2001">
        <w:rPr>
          <w:b/>
          <w:bCs/>
        </w:rPr>
        <w:t>Prof Steph Ainsworth, Dr Claire Agius, Dr Carrie Adamson and Dr Jeremy Oldfield</w:t>
      </w:r>
      <w:r>
        <w:rPr>
          <w:b/>
          <w:bCs/>
        </w:rPr>
        <w:t xml:space="preserve"> (</w:t>
      </w:r>
      <w:r w:rsidRPr="00DD2001">
        <w:rPr>
          <w:b/>
          <w:bCs/>
        </w:rPr>
        <w:t>ECA0170</w:t>
      </w:r>
      <w:r>
        <w:rPr>
          <w:b/>
          <w:bCs/>
        </w:rPr>
        <w:t>)</w:t>
      </w:r>
    </w:p>
    <w:p w:rsidR="006A32B8" w:rsidRPr="00DD2001" w:rsidP="009F6849">
      <w:pPr>
        <w:rPr>
          <w:b/>
          <w:bCs/>
        </w:rPr>
      </w:pPr>
    </w:p>
    <w:p w:rsidR="00DD2001" w:rsidP="009F6849">
      <w:pPr>
        <w:rPr>
          <w:b/>
          <w:bCs/>
        </w:rPr>
      </w:pPr>
    </w:p>
    <w:p w:rsidR="009F6849" w:rsidRPr="009F6849" w:rsidP="009F6849">
      <w:pPr>
        <w:rPr>
          <w:b/>
          <w:bCs/>
        </w:rPr>
      </w:pPr>
      <w:r w:rsidRPr="009F6849">
        <w:rPr>
          <w:b/>
          <w:bCs/>
        </w:rPr>
        <w:t xml:space="preserve">Education Committee Inquiry: </w:t>
      </w:r>
      <w:r w:rsidRPr="009F6849">
        <w:rPr>
          <w:b/>
          <w:bCs/>
          <w:i/>
          <w:iCs/>
        </w:rPr>
        <w:t>Every Child Achieving and Thriving</w:t>
      </w:r>
      <w:r w:rsidRPr="009F6849">
        <w:rPr>
          <w:b/>
          <w:bCs/>
        </w:rPr>
        <w:t xml:space="preserve"> White Paper</w:t>
      </w:r>
    </w:p>
    <w:p w:rsidR="009F6849" w:rsidRPr="009F6849" w:rsidP="009F6849">
      <w:r w:rsidRPr="009F6849">
        <w:t>This submission is from Prof Steph Ainsworth, Dr Claire Agius, Dr Carrie Adamson and Dr Jeremy Oldfield (Faculty of Health and Education, Manchester Metropolitan University).</w:t>
      </w:r>
    </w:p>
    <w:p w:rsidR="009F6849" w:rsidRPr="009F6849" w:rsidP="009F6849">
      <w:r w:rsidRPr="009F6849">
        <w:t xml:space="preserve">It draws on findings from a three-and-a-half-year ESRC-funded research project, </w:t>
      </w:r>
      <w:r>
        <w:fldChar w:fldCharType="begin"/>
      </w:r>
      <w:r>
        <w:instrText xml:space="preserve"> HYPERLINK "https://www.mmu.ac.uk/about-us/faculties/health-and-education/research/projects/teacher-resilience" </w:instrText>
      </w:r>
      <w:r>
        <w:fldChar w:fldCharType="separate"/>
      </w:r>
      <w:r w:rsidRPr="00C71C97">
        <w:rPr>
          <w:rStyle w:val="Hyperlink"/>
          <w:i/>
          <w:iCs/>
        </w:rPr>
        <w:t>Decentring the ‘Resilient Teacher’</w:t>
      </w:r>
      <w:r>
        <w:fldChar w:fldCharType="end"/>
      </w:r>
      <w:r w:rsidRPr="009F6849">
        <w:t xml:space="preserve">, conducted in partnership with Education Support and the National Education Union. The project explored </w:t>
      </w:r>
      <w:r w:rsidR="0068350C">
        <w:t xml:space="preserve">the factors that influence </w:t>
      </w:r>
      <w:r w:rsidRPr="009F6849">
        <w:t xml:space="preserve">teacher </w:t>
      </w:r>
      <w:r w:rsidR="0068350C">
        <w:t xml:space="preserve">resilience and the possibilities for </w:t>
      </w:r>
      <w:r w:rsidR="005A45CC">
        <w:t>better supporting teachers to thrive</w:t>
      </w:r>
      <w:r w:rsidRPr="009F6849">
        <w:t>:</w:t>
      </w:r>
    </w:p>
    <w:p w:rsidR="009F6849" w:rsidRPr="009F6849" w:rsidP="009F6849">
      <w:pPr>
        <w:numPr>
          <w:ilvl w:val="0"/>
          <w:numId w:val="1"/>
        </w:numPr>
      </w:pPr>
      <w:r w:rsidRPr="009F6849">
        <w:t>A national survey of 2,943 teachers in England; and</w:t>
      </w:r>
    </w:p>
    <w:p w:rsidR="009F6849" w:rsidRPr="009F6849" w:rsidP="009F6849">
      <w:pPr>
        <w:numPr>
          <w:ilvl w:val="0"/>
          <w:numId w:val="1"/>
        </w:numPr>
      </w:pPr>
      <w:r w:rsidRPr="009F6849">
        <w:t>Collaborative research with eight case-study schools, where school-level interventions to promote teacher resilience were co-developed and evaluated.</w:t>
      </w:r>
    </w:p>
    <w:p w:rsidR="009F6849" w:rsidRPr="009F6849" w:rsidP="009F6849">
      <w:r w:rsidRPr="009F6849">
        <w:t>The evidence includes survey data</w:t>
      </w:r>
      <w:r w:rsidR="009765DF">
        <w:t xml:space="preserve"> from 2943 teachers</w:t>
      </w:r>
      <w:r w:rsidRPr="009F6849">
        <w:t xml:space="preserve">, </w:t>
      </w:r>
      <w:r w:rsidR="009765DF">
        <w:t xml:space="preserve">pre-intervention </w:t>
      </w:r>
      <w:r w:rsidRPr="009F6849">
        <w:t xml:space="preserve">interviews with 103 teachers and school leaders, resilience planning meetings with </w:t>
      </w:r>
      <w:r w:rsidR="00DD3D41">
        <w:t xml:space="preserve">25 </w:t>
      </w:r>
      <w:r w:rsidRPr="009F6849">
        <w:t xml:space="preserve">school leaders, and </w:t>
      </w:r>
      <w:r w:rsidR="00CF7BC7">
        <w:t>post-intervention</w:t>
      </w:r>
      <w:r w:rsidRPr="009F6849">
        <w:t xml:space="preserve"> interviews with 85 teachers and leaders.</w:t>
      </w:r>
    </w:p>
    <w:p w:rsidR="001A5FD7" w:rsidP="006A0BDE">
      <w:r w:rsidRPr="009F6849">
        <w:t xml:space="preserve">Together, these findings provide robust evidence on the factors most likely to </w:t>
      </w:r>
      <w:r w:rsidR="005A45CC">
        <w:t>influence</w:t>
      </w:r>
      <w:r w:rsidR="006A0BDE">
        <w:t xml:space="preserve"> teacher resilience</w:t>
      </w:r>
      <w:r w:rsidR="005A45CC">
        <w:t xml:space="preserve">. Our findings are relevant to </w:t>
      </w:r>
      <w:r w:rsidRPr="00DD3D41" w:rsidR="006A0BDE">
        <w:rPr>
          <w:b/>
          <w:bCs/>
        </w:rPr>
        <w:t xml:space="preserve">the proposals </w:t>
      </w:r>
      <w:r w:rsidR="00B07A58">
        <w:rPr>
          <w:b/>
          <w:bCs/>
        </w:rPr>
        <w:t xml:space="preserve">that aim to </w:t>
      </w:r>
      <w:r w:rsidRPr="00DD3D41" w:rsidR="006A0BDE">
        <w:rPr>
          <w:b/>
          <w:bCs/>
        </w:rPr>
        <w:t>address teacher workload, wellbeing, and job satisfaction across the school workforce</w:t>
      </w:r>
      <w:r>
        <w:t>, given that workload is a key risk to resilience and job satisfaction are considered to be outcomes of resilience (</w:t>
      </w:r>
      <w:r>
        <w:fldChar w:fldCharType="begin"/>
      </w:r>
      <w:r>
        <w:instrText xml:space="preserve"> HYPERLINK "https://www.sciencedirect.com/science/article/pii/S0742051X18316068?via%3Dihub" </w:instrText>
      </w:r>
      <w:r>
        <w:fldChar w:fldCharType="separate"/>
      </w:r>
      <w:r w:rsidRPr="007D3C94">
        <w:rPr>
          <w:rStyle w:val="Hyperlink"/>
        </w:rPr>
        <w:t>Ainsworth &amp; Oldfield, 2019</w:t>
      </w:r>
      <w:r>
        <w:fldChar w:fldCharType="end"/>
      </w:r>
      <w:r>
        <w:t xml:space="preserve">; </w:t>
      </w:r>
      <w:r>
        <w:fldChar w:fldCharType="begin"/>
      </w:r>
      <w:r>
        <w:instrText xml:space="preserve"> HYPERLINK "https://bera-journals.onlinelibrary.wiley.com/doi/10.1002/rev3.70204" </w:instrText>
      </w:r>
      <w:r>
        <w:fldChar w:fldCharType="separate"/>
      </w:r>
      <w:r w:rsidRPr="00C71C97">
        <w:rPr>
          <w:rStyle w:val="Hyperlink"/>
        </w:rPr>
        <w:t>Ainsworth et al., 2026a</w:t>
      </w:r>
      <w:r>
        <w:fldChar w:fldCharType="end"/>
      </w:r>
      <w:r w:rsidRPr="00C71C97">
        <w:t>)</w:t>
      </w:r>
      <w:r>
        <w:t>.</w:t>
      </w:r>
    </w:p>
    <w:p w:rsidR="001A5FD7" w:rsidP="009F6849">
      <w:r w:rsidRPr="00C71C97">
        <w:t xml:space="preserve">Below we </w:t>
      </w:r>
      <w:r>
        <w:t>briefly outline</w:t>
      </w:r>
      <w:r w:rsidRPr="00C71C97">
        <w:t xml:space="preserve"> the key findings of our research before exploring their relevance </w:t>
      </w:r>
      <w:r w:rsidR="00B07A58">
        <w:t>to the proposed reforms.</w:t>
      </w:r>
    </w:p>
    <w:p w:rsidR="00AC51A4" w:rsidRPr="001A5FD7" w:rsidP="009F6849">
      <w:r w:rsidRPr="00C400F9">
        <w:rPr>
          <w:b/>
          <w:bCs/>
        </w:rPr>
        <w:t xml:space="preserve">Quantitative survey findings </w:t>
      </w:r>
    </w:p>
    <w:p w:rsidR="00A2602C" w:rsidRPr="00BE0970" w:rsidP="00A2602C">
      <w:pPr>
        <w:pStyle w:val="ListParagraph"/>
        <w:numPr>
          <w:ilvl w:val="0"/>
          <w:numId w:val="3"/>
        </w:numPr>
      </w:pPr>
      <w:r>
        <w:t xml:space="preserve">We conducted a quantitative survey of 2943 teachers in England exploring </w:t>
      </w:r>
      <w:r w:rsidR="00C71C97">
        <w:t xml:space="preserve">the relative importance of a broad range of factors as predictors of </w:t>
      </w:r>
      <w:r w:rsidR="00BE0970">
        <w:t xml:space="preserve">three </w:t>
      </w:r>
      <w:r w:rsidR="00C71C97">
        <w:t>resilience outcomes (</w:t>
      </w:r>
      <w:r>
        <w:fldChar w:fldCharType="begin"/>
      </w:r>
      <w:r>
        <w:instrText xml:space="preserve"> HYPERLINK "https://bera-journals.onlinelibrary.wiley.com/doi/10.1002/rev3.70204" </w:instrText>
      </w:r>
      <w:r>
        <w:fldChar w:fldCharType="separate"/>
      </w:r>
      <w:r w:rsidRPr="00C71C97" w:rsidR="00C71C97">
        <w:rPr>
          <w:rStyle w:val="Hyperlink"/>
        </w:rPr>
        <w:t>Ainsworth et al., 2026a</w:t>
      </w:r>
      <w:r>
        <w:fldChar w:fldCharType="end"/>
      </w:r>
      <w:r w:rsidRPr="00C71C97" w:rsidR="00C71C97">
        <w:t>)</w:t>
      </w:r>
      <w:r w:rsidR="00C71C97">
        <w:t>.</w:t>
      </w:r>
      <w:r>
        <w:t xml:space="preserve"> The tables below </w:t>
      </w:r>
      <w:r w:rsidR="00C71C97">
        <w:t xml:space="preserve">show the top six predictors of teacher wellbeing, job satisfaction and burnout. </w:t>
      </w:r>
      <w:r>
        <w:t xml:space="preserve">The shading indicates whether the predictors relate to </w:t>
      </w:r>
      <w:r w:rsidRPr="00C71C97">
        <w:t>individual level factors</w:t>
      </w:r>
      <w:r w:rsidR="00DD3D41">
        <w:t xml:space="preserve"> – ch</w:t>
      </w:r>
      <w:r w:rsidRPr="00C71C97">
        <w:t>aracteristics or behaviours of the individual (unshaded)</w:t>
      </w:r>
      <w:r w:rsidR="00DD3D41">
        <w:t>, or</w:t>
      </w:r>
      <w:r w:rsidRPr="00C71C97">
        <w:t xml:space="preserve"> contextual level factors</w:t>
      </w:r>
      <w:r w:rsidR="00DD3D41">
        <w:t xml:space="preserve"> – chara</w:t>
      </w:r>
      <w:r w:rsidRPr="00C71C97">
        <w:t>cteristics relating to the school environment (shaded).</w:t>
      </w:r>
    </w:p>
    <w:p w:rsidR="00073D01">
      <w:pPr>
        <w:rPr>
          <w:b/>
          <w:bCs/>
        </w:rPr>
      </w:pPr>
      <w:r>
        <w:rPr>
          <w:b/>
          <w:bCs/>
        </w:rPr>
        <w:br w:type="page"/>
      </w:r>
    </w:p>
    <w:p w:rsidR="00073D01" w:rsidP="00A2602C">
      <w:pPr>
        <w:ind w:firstLine="360"/>
        <w:rPr>
          <w:b/>
          <w:bCs/>
        </w:rPr>
      </w:pPr>
      <w:r w:rsidRPr="008B5326">
        <w:rPr>
          <w:noProof/>
        </w:rPr>
        <w:drawing>
          <wp:anchor distT="0" distB="0" distL="114300" distR="114300" simplePos="0" relativeHeight="251659264" behindDoc="0" locked="0" layoutInCell="1" allowOverlap="1">
            <wp:simplePos x="0" y="0"/>
            <wp:positionH relativeFrom="page">
              <wp:posOffset>28790</wp:posOffset>
            </wp:positionH>
            <wp:positionV relativeFrom="paragraph">
              <wp:posOffset>-907300</wp:posOffset>
            </wp:positionV>
            <wp:extent cx="3931920" cy="1118674"/>
            <wp:effectExtent l="0" t="0" r="0" b="5715"/>
            <wp:wrapNone/>
            <wp:docPr id="438941377" name="Picture 1" descr="IEconomic and Social Council and Education Research Pro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042161" name="Picture 1" descr="IEconomic and Social Council and Education Research Programme"/>
                    <pic:cNvPicPr/>
                  </pic:nvPicPr>
                  <pic:blipFill rotWithShape="1">
                    <a:blip xmlns:r="http://schemas.openxmlformats.org/officeDocument/2006/relationships" r:embed="rId4" cstate="print">
                      <a:extLst>
                        <a:ext uri="{28A0092B-C50C-407E-A947-70E740481C1C}">
                          <a14:useLocalDpi xmlns:a14="http://schemas.microsoft.com/office/drawing/2010/main"/>
                        </a:ext>
                      </a:extLst>
                    </a:blip>
                    <a:srcRect t="1888"/>
                    <a:stretch/>
                  </pic:blipFill>
                  <pic:spPr bwMode="auto">
                    <a:xfrm>
                      <a:off x="0" y="0"/>
                      <a:ext cx="3931920" cy="1118674"/>
                    </a:xfrm>
                    <a:prstGeom prst="rect">
                      <a:avLst/>
                    </a:prstGeom>
                    <a:ln>
                      <a:noFill/>
                    </a:ln>
                  </pic:spPr>
                </pic:pic>
              </a:graphicData>
            </a:graphic>
          </wp:anchor>
        </w:drawing>
      </w:r>
      <w:r w:rsidRPr="008B5326">
        <w:rPr>
          <w:noProof/>
        </w:rPr>
        <w:drawing>
          <wp:anchor distT="0" distB="0" distL="114300" distR="114300" simplePos="0" relativeHeight="251658240" behindDoc="0" locked="0" layoutInCell="1" allowOverlap="1">
            <wp:simplePos x="0" y="0"/>
            <wp:positionH relativeFrom="margin">
              <wp:posOffset>4398188</wp:posOffset>
            </wp:positionH>
            <wp:positionV relativeFrom="paragraph">
              <wp:posOffset>-468536</wp:posOffset>
            </wp:positionV>
            <wp:extent cx="1598103" cy="609600"/>
            <wp:effectExtent l="0" t="0" r="2540" b="0"/>
            <wp:wrapNone/>
            <wp:docPr id="20067648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val="0"/>
                        </a:ext>
                      </a:extLst>
                    </a:blip>
                    <a:srcRect/>
                    <a:stretch>
                      <a:fillRect/>
                    </a:stretch>
                  </pic:blipFill>
                  <pic:spPr bwMode="auto">
                    <a:xfrm>
                      <a:off x="0" y="0"/>
                      <a:ext cx="1598103" cy="609600"/>
                    </a:xfrm>
                    <a:prstGeom prst="rect">
                      <a:avLst/>
                    </a:prstGeom>
                    <a:noFill/>
                    <a:ln>
                      <a:noFill/>
                    </a:ln>
                  </pic:spPr>
                </pic:pic>
              </a:graphicData>
            </a:graphic>
          </wp:anchor>
        </w:drawing>
      </w:r>
    </w:p>
    <w:p w:rsidR="00073D01" w:rsidP="00A2602C">
      <w:pPr>
        <w:ind w:firstLine="360"/>
        <w:rPr>
          <w:b/>
          <w:bCs/>
        </w:rPr>
      </w:pPr>
    </w:p>
    <w:p w:rsidR="009F6849" w:rsidRPr="00A2602C" w:rsidP="00A2602C">
      <w:pPr>
        <w:ind w:firstLine="360"/>
        <w:rPr>
          <w:b/>
          <w:bCs/>
        </w:rPr>
      </w:pPr>
      <w:r w:rsidRPr="00A2602C">
        <w:rPr>
          <w:b/>
          <w:bCs/>
        </w:rPr>
        <w:t>Table 1. Key predictors of teacher wellbeing, job satisfaction and burnout</w:t>
      </w:r>
    </w:p>
    <w:tbl>
      <w:tblPr>
        <w:tblStyle w:val="TableGrid"/>
        <w:tblW w:w="0" w:type="auto"/>
        <w:tblInd w:w="-5" w:type="dxa"/>
        <w:tblLook w:val="04A0"/>
      </w:tblPr>
      <w:tblGrid>
        <w:gridCol w:w="2694"/>
        <w:gridCol w:w="3118"/>
        <w:gridCol w:w="3209"/>
      </w:tblGrid>
      <w:tr w:rsidTr="00CF7BC7">
        <w:tblPrEx>
          <w:tblW w:w="0" w:type="auto"/>
          <w:tblInd w:w="-5" w:type="dxa"/>
          <w:tblLook w:val="04A0"/>
        </w:tblPrEx>
        <w:tc>
          <w:tcPr>
            <w:tcW w:w="2694" w:type="dxa"/>
          </w:tcPr>
          <w:p w:rsidR="009F6849" w:rsidRPr="00F756AF" w:rsidP="009F6849">
            <w:pPr>
              <w:pStyle w:val="ListParagraph"/>
              <w:rPr>
                <w:b/>
                <w:bCs/>
              </w:rPr>
            </w:pPr>
            <w:r w:rsidRPr="00F756AF">
              <w:rPr>
                <w:b/>
                <w:bCs/>
              </w:rPr>
              <w:t>Wellbeing</w:t>
            </w:r>
          </w:p>
        </w:tc>
        <w:tc>
          <w:tcPr>
            <w:tcW w:w="3118" w:type="dxa"/>
          </w:tcPr>
          <w:p w:rsidR="009F6849" w:rsidRPr="00F756AF" w:rsidP="009F6849">
            <w:pPr>
              <w:pStyle w:val="ListParagraph"/>
              <w:rPr>
                <w:b/>
                <w:bCs/>
              </w:rPr>
            </w:pPr>
            <w:r w:rsidRPr="00F756AF">
              <w:rPr>
                <w:b/>
                <w:bCs/>
              </w:rPr>
              <w:t>Job satisfaction</w:t>
            </w:r>
          </w:p>
        </w:tc>
        <w:tc>
          <w:tcPr>
            <w:tcW w:w="3209" w:type="dxa"/>
          </w:tcPr>
          <w:p w:rsidR="009F6849" w:rsidRPr="00F756AF" w:rsidP="009F6849">
            <w:pPr>
              <w:pStyle w:val="ListParagraph"/>
              <w:rPr>
                <w:b/>
                <w:bCs/>
              </w:rPr>
            </w:pPr>
            <w:r w:rsidRPr="00F756AF">
              <w:rPr>
                <w:b/>
                <w:bCs/>
              </w:rPr>
              <w:t>Burnout</w:t>
            </w:r>
          </w:p>
        </w:tc>
      </w:tr>
      <w:tr w:rsidTr="00CF7BC7">
        <w:tblPrEx>
          <w:tblW w:w="0" w:type="auto"/>
          <w:tblInd w:w="-5" w:type="dxa"/>
          <w:tblLook w:val="04A0"/>
        </w:tblPrEx>
        <w:tc>
          <w:tcPr>
            <w:tcW w:w="2694" w:type="dxa"/>
          </w:tcPr>
          <w:p w:rsidR="009F6849" w:rsidP="009F6849">
            <w:pPr>
              <w:pStyle w:val="ListParagraph"/>
            </w:pPr>
            <w:r>
              <w:t>1. Self-esteem</w:t>
            </w:r>
          </w:p>
        </w:tc>
        <w:tc>
          <w:tcPr>
            <w:tcW w:w="3118" w:type="dxa"/>
            <w:shd w:val="clear" w:color="auto" w:fill="D9D9D9" w:themeFill="background1" w:themeFillShade="D9"/>
          </w:tcPr>
          <w:p w:rsidR="009F6849" w:rsidP="009F6849">
            <w:pPr>
              <w:pStyle w:val="ListParagraph"/>
            </w:pPr>
            <w:r>
              <w:t>1. Conflict between beliefs and practice</w:t>
            </w:r>
          </w:p>
        </w:tc>
        <w:tc>
          <w:tcPr>
            <w:tcW w:w="3209" w:type="dxa"/>
            <w:shd w:val="clear" w:color="auto" w:fill="D9D9D9" w:themeFill="background1" w:themeFillShade="D9"/>
          </w:tcPr>
          <w:p w:rsidR="009F6849" w:rsidP="009F6849">
            <w:pPr>
              <w:pStyle w:val="ListParagraph"/>
            </w:pPr>
            <w:r>
              <w:t>1. Workload</w:t>
            </w:r>
          </w:p>
        </w:tc>
      </w:tr>
      <w:tr w:rsidTr="00CF7BC7">
        <w:tblPrEx>
          <w:tblW w:w="0" w:type="auto"/>
          <w:tblInd w:w="-5" w:type="dxa"/>
          <w:tblLook w:val="04A0"/>
        </w:tblPrEx>
        <w:tc>
          <w:tcPr>
            <w:tcW w:w="2694" w:type="dxa"/>
          </w:tcPr>
          <w:p w:rsidR="009F6849" w:rsidP="009F6849">
            <w:pPr>
              <w:pStyle w:val="ListParagraph"/>
            </w:pPr>
            <w:r>
              <w:t>2. Self-care</w:t>
            </w:r>
          </w:p>
        </w:tc>
        <w:tc>
          <w:tcPr>
            <w:tcW w:w="3118" w:type="dxa"/>
            <w:shd w:val="clear" w:color="auto" w:fill="D9D9D9" w:themeFill="background1" w:themeFillShade="D9"/>
          </w:tcPr>
          <w:p w:rsidR="009F6849" w:rsidP="009F6849">
            <w:pPr>
              <w:pStyle w:val="ListParagraph"/>
            </w:pPr>
            <w:r>
              <w:t>2. Workload</w:t>
            </w:r>
          </w:p>
        </w:tc>
        <w:tc>
          <w:tcPr>
            <w:tcW w:w="3209" w:type="dxa"/>
            <w:shd w:val="clear" w:color="auto" w:fill="D9D9D9" w:themeFill="background1" w:themeFillShade="D9"/>
          </w:tcPr>
          <w:p w:rsidR="009F6849" w:rsidP="009F6849">
            <w:pPr>
              <w:pStyle w:val="ListParagraph"/>
            </w:pPr>
            <w:r>
              <w:t>2. Conflict between beliefs and practice</w:t>
            </w:r>
          </w:p>
        </w:tc>
      </w:tr>
      <w:tr w:rsidTr="00CF7BC7">
        <w:tblPrEx>
          <w:tblW w:w="0" w:type="auto"/>
          <w:tblInd w:w="-5" w:type="dxa"/>
          <w:tblLook w:val="04A0"/>
        </w:tblPrEx>
        <w:tc>
          <w:tcPr>
            <w:tcW w:w="2694" w:type="dxa"/>
            <w:shd w:val="clear" w:color="auto" w:fill="D9D9D9" w:themeFill="background1" w:themeFillShade="D9"/>
          </w:tcPr>
          <w:p w:rsidR="009F6849" w:rsidP="009F6849">
            <w:pPr>
              <w:pStyle w:val="ListParagraph"/>
            </w:pPr>
            <w:r>
              <w:t>3. Workload</w:t>
            </w:r>
          </w:p>
        </w:tc>
        <w:tc>
          <w:tcPr>
            <w:tcW w:w="3118" w:type="dxa"/>
            <w:shd w:val="clear" w:color="auto" w:fill="D9D9D9" w:themeFill="background1" w:themeFillShade="D9"/>
          </w:tcPr>
          <w:p w:rsidR="009F6849" w:rsidP="009F6849">
            <w:pPr>
              <w:pStyle w:val="ListParagraph"/>
            </w:pPr>
            <w:r>
              <w:t>3. School culture</w:t>
            </w:r>
          </w:p>
        </w:tc>
        <w:tc>
          <w:tcPr>
            <w:tcW w:w="3209" w:type="dxa"/>
            <w:shd w:val="clear" w:color="auto" w:fill="D9D9D9" w:themeFill="background1" w:themeFillShade="D9"/>
          </w:tcPr>
          <w:p w:rsidR="009F6849" w:rsidP="009F6849">
            <w:pPr>
              <w:pStyle w:val="ListParagraph"/>
            </w:pPr>
            <w:r>
              <w:t>3. Support from colleagues</w:t>
            </w:r>
          </w:p>
        </w:tc>
      </w:tr>
      <w:tr w:rsidTr="00CF7BC7">
        <w:tblPrEx>
          <w:tblW w:w="0" w:type="auto"/>
          <w:tblInd w:w="-5" w:type="dxa"/>
          <w:tblLook w:val="04A0"/>
        </w:tblPrEx>
        <w:tc>
          <w:tcPr>
            <w:tcW w:w="2694" w:type="dxa"/>
          </w:tcPr>
          <w:p w:rsidR="009F6849" w:rsidP="009F6849">
            <w:pPr>
              <w:pStyle w:val="ListParagraph"/>
            </w:pPr>
            <w:r>
              <w:t>4. Optimism</w:t>
            </w:r>
          </w:p>
        </w:tc>
        <w:tc>
          <w:tcPr>
            <w:tcW w:w="3118" w:type="dxa"/>
            <w:shd w:val="clear" w:color="auto" w:fill="D9D9D9" w:themeFill="background1" w:themeFillShade="D9"/>
          </w:tcPr>
          <w:p w:rsidR="009F6849" w:rsidP="009F6849">
            <w:pPr>
              <w:pStyle w:val="ListParagraph"/>
            </w:pPr>
            <w:r>
              <w:t>4. Leadership practices</w:t>
            </w:r>
          </w:p>
        </w:tc>
        <w:tc>
          <w:tcPr>
            <w:tcW w:w="3209" w:type="dxa"/>
          </w:tcPr>
          <w:p w:rsidR="009F6849" w:rsidP="009F6849">
            <w:pPr>
              <w:pStyle w:val="ListParagraph"/>
            </w:pPr>
            <w:r>
              <w:t>4. Self-esteem</w:t>
            </w:r>
          </w:p>
        </w:tc>
      </w:tr>
      <w:tr w:rsidTr="00CF7BC7">
        <w:tblPrEx>
          <w:tblW w:w="0" w:type="auto"/>
          <w:tblInd w:w="-5" w:type="dxa"/>
          <w:tblLook w:val="04A0"/>
        </w:tblPrEx>
        <w:tc>
          <w:tcPr>
            <w:tcW w:w="2694" w:type="dxa"/>
          </w:tcPr>
          <w:p w:rsidR="009F6849" w:rsidP="009F6849">
            <w:pPr>
              <w:pStyle w:val="ListParagraph"/>
            </w:pPr>
            <w:r>
              <w:t>5. Emotional intelligence</w:t>
            </w:r>
          </w:p>
        </w:tc>
        <w:tc>
          <w:tcPr>
            <w:tcW w:w="3118" w:type="dxa"/>
            <w:shd w:val="clear" w:color="auto" w:fill="D9D9D9" w:themeFill="background1" w:themeFillShade="D9"/>
          </w:tcPr>
          <w:p w:rsidR="009F6849" w:rsidP="009F6849">
            <w:pPr>
              <w:pStyle w:val="ListParagraph"/>
            </w:pPr>
            <w:r>
              <w:t>5. Support from colleagues</w:t>
            </w:r>
          </w:p>
        </w:tc>
        <w:tc>
          <w:tcPr>
            <w:tcW w:w="3209" w:type="dxa"/>
            <w:shd w:val="clear" w:color="auto" w:fill="D9D9D9" w:themeFill="background1" w:themeFillShade="D9"/>
          </w:tcPr>
          <w:p w:rsidR="009F6849" w:rsidP="009F6849">
            <w:pPr>
              <w:pStyle w:val="ListParagraph"/>
            </w:pPr>
            <w:r>
              <w:t>5. School culture</w:t>
            </w:r>
          </w:p>
        </w:tc>
      </w:tr>
      <w:tr w:rsidTr="00CF7BC7">
        <w:tblPrEx>
          <w:tblW w:w="0" w:type="auto"/>
          <w:tblInd w:w="-5" w:type="dxa"/>
          <w:tblLook w:val="04A0"/>
        </w:tblPrEx>
        <w:tc>
          <w:tcPr>
            <w:tcW w:w="2694" w:type="dxa"/>
          </w:tcPr>
          <w:p w:rsidR="009F6849" w:rsidP="009F6849">
            <w:pPr>
              <w:pStyle w:val="ListParagraph"/>
            </w:pPr>
            <w:r>
              <w:t>6. Emotional stability</w:t>
            </w:r>
          </w:p>
        </w:tc>
        <w:tc>
          <w:tcPr>
            <w:tcW w:w="3118" w:type="dxa"/>
          </w:tcPr>
          <w:p w:rsidR="009F6849" w:rsidP="009F6849">
            <w:pPr>
              <w:pStyle w:val="ListParagraph"/>
            </w:pPr>
            <w:r>
              <w:t>6. Self-esteem</w:t>
            </w:r>
          </w:p>
        </w:tc>
        <w:tc>
          <w:tcPr>
            <w:tcW w:w="3209" w:type="dxa"/>
            <w:shd w:val="clear" w:color="auto" w:fill="D9D9D9" w:themeFill="background1" w:themeFillShade="D9"/>
          </w:tcPr>
          <w:p w:rsidR="009F6849" w:rsidP="009F6849">
            <w:pPr>
              <w:pStyle w:val="ListParagraph"/>
            </w:pPr>
            <w:r>
              <w:t>6. Leadership practices</w:t>
            </w:r>
          </w:p>
        </w:tc>
      </w:tr>
    </w:tbl>
    <w:p w:rsidR="009F6849" w:rsidP="009F6849">
      <w:pPr>
        <w:ind w:left="720"/>
      </w:pPr>
    </w:p>
    <w:p w:rsidR="009F6849" w:rsidP="009F6849">
      <w:pPr>
        <w:pStyle w:val="ListParagraph"/>
        <w:numPr>
          <w:ilvl w:val="0"/>
          <w:numId w:val="3"/>
        </w:numPr>
      </w:pPr>
      <w:r>
        <w:t>Wellbeing</w:t>
      </w:r>
      <w:r w:rsidRPr="00051C87">
        <w:t xml:space="preserve"> </w:t>
      </w:r>
      <w:r>
        <w:t>wa</w:t>
      </w:r>
      <w:r>
        <w:t>s</w:t>
      </w:r>
      <w:r w:rsidRPr="00051C87">
        <w:t xml:space="preserve"> most strongly associated with individual level factors </w:t>
      </w:r>
      <w:r>
        <w:t>(</w:t>
      </w:r>
      <w:r>
        <w:t>with the exception of</w:t>
      </w:r>
      <w:r>
        <w:t xml:space="preserve"> workload); </w:t>
      </w:r>
      <w:r>
        <w:t>whereas,</w:t>
      </w:r>
      <w:r>
        <w:t xml:space="preserve"> job satisfaction and burnout </w:t>
      </w:r>
      <w:r>
        <w:t>were</w:t>
      </w:r>
      <w:r>
        <w:t xml:space="preserve"> more strongly associated with contextual level factors (</w:t>
      </w:r>
      <w:r>
        <w:t>with the exception of</w:t>
      </w:r>
      <w:r>
        <w:t xml:space="preserve"> self-esteem). Strikingly, the top six predictors of job satisfaction and burnout </w:t>
      </w:r>
      <w:r>
        <w:t xml:space="preserve">were </w:t>
      </w:r>
      <w:r>
        <w:t xml:space="preserve">the same, albeit in a slightly different order. </w:t>
      </w:r>
      <w:r w:rsidR="00C71C97">
        <w:t>It is also noteworthy that s</w:t>
      </w:r>
      <w:r>
        <w:t xml:space="preserve">elf-esteem and workload </w:t>
      </w:r>
      <w:r>
        <w:t>were</w:t>
      </w:r>
      <w:r>
        <w:t xml:space="preserve"> important predictors of all three resilience outcomes. </w:t>
      </w:r>
    </w:p>
    <w:p w:rsidR="00AC51A4" w:rsidRPr="009F6849" w:rsidP="009F6849">
      <w:pPr>
        <w:rPr>
          <w:b/>
          <w:bCs/>
        </w:rPr>
      </w:pPr>
      <w:r w:rsidRPr="009F6849">
        <w:rPr>
          <w:b/>
          <w:bCs/>
        </w:rPr>
        <w:t>Implications of the survey findings for the proposed reforms</w:t>
      </w:r>
    </w:p>
    <w:p w:rsidR="009F6849" w:rsidP="009F6849">
      <w:pPr>
        <w:pStyle w:val="ListParagraph"/>
        <w:numPr>
          <w:ilvl w:val="0"/>
          <w:numId w:val="3"/>
        </w:numPr>
      </w:pPr>
      <w:r w:rsidRPr="009F6849">
        <w:t>Our findings show that the factors influencing teacher wellbeing, job satisfaction and burnout differ, highlighting the need to move beyond a narrow focus on wellbeing and towards broader notions of teacher thriving</w:t>
      </w:r>
      <w:r w:rsidR="002B3FF6">
        <w:t xml:space="preserve"> (</w:t>
      </w:r>
      <w:r>
        <w:fldChar w:fldCharType="begin"/>
      </w:r>
      <w:r>
        <w:instrText xml:space="preserve"> HYPERLINK "https://bera-journals.onlinelibrary.wiley.com/doi/10.1002/rev3.70204" </w:instrText>
      </w:r>
      <w:r>
        <w:fldChar w:fldCharType="separate"/>
      </w:r>
      <w:r w:rsidRPr="00C71C97" w:rsidR="002B3FF6">
        <w:rPr>
          <w:rStyle w:val="Hyperlink"/>
        </w:rPr>
        <w:t>Ainsworth et al., 2026a</w:t>
      </w:r>
      <w:r>
        <w:fldChar w:fldCharType="end"/>
      </w:r>
      <w:r w:rsidR="002B3FF6">
        <w:t>)</w:t>
      </w:r>
      <w:r w:rsidRPr="009F6849">
        <w:t xml:space="preserve">. </w:t>
      </w:r>
      <w:r w:rsidR="000F3CD7">
        <w:t>T</w:t>
      </w:r>
      <w:r w:rsidRPr="009F6849">
        <w:t xml:space="preserve">he White Paper's </w:t>
      </w:r>
      <w:r w:rsidRPr="00094E14">
        <w:rPr>
          <w:b/>
          <w:bCs/>
        </w:rPr>
        <w:t>emphasis on both wellbeing and job satisfaction</w:t>
      </w:r>
      <w:r w:rsidRPr="009F6849">
        <w:t xml:space="preserve"> is</w:t>
      </w:r>
      <w:r w:rsidR="00190310">
        <w:t xml:space="preserve">, therefore, </w:t>
      </w:r>
      <w:r w:rsidRPr="009F6849">
        <w:t>welcome.</w:t>
      </w:r>
    </w:p>
    <w:p w:rsidR="009F6849" w:rsidP="009F6849">
      <w:pPr>
        <w:pStyle w:val="ListParagraph"/>
        <w:numPr>
          <w:ilvl w:val="0"/>
          <w:numId w:val="3"/>
        </w:numPr>
      </w:pPr>
      <w:r>
        <w:t xml:space="preserve">Our </w:t>
      </w:r>
      <w:r w:rsidRPr="009F6849">
        <w:t xml:space="preserve">findings support the </w:t>
      </w:r>
      <w:r w:rsidR="00BE0970">
        <w:t xml:space="preserve">White </w:t>
      </w:r>
      <w:r w:rsidRPr="009F6849">
        <w:t xml:space="preserve">Paper's focus on </w:t>
      </w:r>
      <w:r w:rsidRPr="00DD3D41">
        <w:rPr>
          <w:b/>
          <w:bCs/>
        </w:rPr>
        <w:t xml:space="preserve">reducing workload, </w:t>
      </w:r>
      <w:r w:rsidRPr="00DD3D41">
        <w:rPr>
          <w:b/>
          <w:bCs/>
        </w:rPr>
        <w:t>creating positive</w:t>
      </w:r>
      <w:r w:rsidRPr="00DD3D41">
        <w:rPr>
          <w:b/>
          <w:bCs/>
        </w:rPr>
        <w:t xml:space="preserve"> school culture</w:t>
      </w:r>
      <w:r w:rsidRPr="00DD3D41">
        <w:rPr>
          <w:b/>
          <w:bCs/>
        </w:rPr>
        <w:t>s</w:t>
      </w:r>
      <w:r w:rsidRPr="00DD3D41">
        <w:rPr>
          <w:b/>
          <w:bCs/>
        </w:rPr>
        <w:t xml:space="preserve"> and promoting effective leadership</w:t>
      </w:r>
      <w:r w:rsidRPr="009F6849">
        <w:t>. Workload was a significant predictor of all three outcomes, while school culture and leadership were important predictors of job satisfaction and burnout</w:t>
      </w:r>
      <w:r w:rsidR="002B3FF6">
        <w:t xml:space="preserve"> (</w:t>
      </w:r>
      <w:r>
        <w:fldChar w:fldCharType="begin"/>
      </w:r>
      <w:r>
        <w:instrText xml:space="preserve"> HYPERLINK "https://bera-journals.onlinelibrary.wiley.com/doi/10.1002/rev3.70204" </w:instrText>
      </w:r>
      <w:r>
        <w:fldChar w:fldCharType="separate"/>
      </w:r>
      <w:r w:rsidRPr="00C71C97" w:rsidR="002B3FF6">
        <w:rPr>
          <w:rStyle w:val="Hyperlink"/>
        </w:rPr>
        <w:t>Ainsworth et al., 2026a</w:t>
      </w:r>
      <w:r>
        <w:fldChar w:fldCharType="end"/>
      </w:r>
      <w:r w:rsidR="002B3FF6">
        <w:t>)</w:t>
      </w:r>
      <w:r w:rsidRPr="009F6849">
        <w:t xml:space="preserve">. </w:t>
      </w:r>
    </w:p>
    <w:p w:rsidR="00073D01" w:rsidP="00C71C97">
      <w:pPr>
        <w:pStyle w:val="ListParagraph"/>
        <w:numPr>
          <w:ilvl w:val="0"/>
          <w:numId w:val="3"/>
        </w:numPr>
      </w:pPr>
      <w:r w:rsidRPr="009F6849">
        <w:t>The data also point to additional priorities. At an individual level, factors such as self-esteem, self-care and emotional resources are associated with wellbeing</w:t>
      </w:r>
      <w:r w:rsidR="00DA5445">
        <w:t xml:space="preserve"> (</w:t>
      </w:r>
      <w:r>
        <w:fldChar w:fldCharType="begin"/>
      </w:r>
      <w:r>
        <w:instrText xml:space="preserve"> HYPERLINK "https://bera-journals.onlinelibrary.wiley.com/doi/10.1002/rev3.70204" </w:instrText>
      </w:r>
      <w:r>
        <w:fldChar w:fldCharType="separate"/>
      </w:r>
      <w:r w:rsidRPr="00C71C97" w:rsidR="00DA5445">
        <w:rPr>
          <w:rStyle w:val="Hyperlink"/>
        </w:rPr>
        <w:t>Ainsworth et al., 2026a</w:t>
      </w:r>
      <w:r>
        <w:fldChar w:fldCharType="end"/>
      </w:r>
      <w:r w:rsidR="00DA5445">
        <w:t>)</w:t>
      </w:r>
      <w:r w:rsidRPr="009F6849">
        <w:t>.</w:t>
      </w:r>
      <w:r w:rsidR="00C71C97">
        <w:t xml:space="preserve"> The </w:t>
      </w:r>
      <w:r w:rsidRPr="00DD3D41" w:rsidR="00C71C97">
        <w:rPr>
          <w:b/>
          <w:bCs/>
        </w:rPr>
        <w:t>coaching and mentoring support</w:t>
      </w:r>
      <w:r w:rsidR="00C71C97">
        <w:t xml:space="preserve"> proposed as part of the reforms could potentially promote some or </w:t>
      </w:r>
      <w:r w:rsidR="00C71C97">
        <w:t>all of</w:t>
      </w:r>
      <w:r w:rsidR="00C71C97">
        <w:t xml:space="preserve"> these factors, but a </w:t>
      </w:r>
    </w:p>
    <w:p w:rsidR="00073D01" w:rsidP="004E1C45"/>
    <w:p w:rsidR="00073D01" w:rsidP="00073D01">
      <w:pPr>
        <w:pStyle w:val="ListParagraph"/>
      </w:pPr>
      <w:r w:rsidRPr="008B5326">
        <w:rPr>
          <w:noProof/>
        </w:rPr>
        <w:drawing>
          <wp:anchor distT="0" distB="0" distL="114300" distR="114300" simplePos="0" relativeHeight="251661312" behindDoc="0" locked="0" layoutInCell="1" allowOverlap="1">
            <wp:simplePos x="0" y="0"/>
            <wp:positionH relativeFrom="margin">
              <wp:posOffset>4592320</wp:posOffset>
            </wp:positionH>
            <wp:positionV relativeFrom="paragraph">
              <wp:posOffset>-582295</wp:posOffset>
            </wp:positionV>
            <wp:extent cx="1597660" cy="609600"/>
            <wp:effectExtent l="0" t="0" r="2540" b="0"/>
            <wp:wrapNone/>
            <wp:docPr id="17344435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val="0"/>
                        </a:ext>
                      </a:extLst>
                    </a:blip>
                    <a:srcRect/>
                    <a:stretch>
                      <a:fillRect/>
                    </a:stretch>
                  </pic:blipFill>
                  <pic:spPr bwMode="auto">
                    <a:xfrm>
                      <a:off x="0" y="0"/>
                      <a:ext cx="1597660" cy="609600"/>
                    </a:xfrm>
                    <a:prstGeom prst="rect">
                      <a:avLst/>
                    </a:prstGeom>
                    <a:noFill/>
                    <a:ln>
                      <a:noFill/>
                    </a:ln>
                  </pic:spPr>
                </pic:pic>
              </a:graphicData>
            </a:graphic>
          </wp:anchor>
        </w:drawing>
      </w:r>
      <w:r w:rsidRPr="008B5326">
        <w:rPr>
          <w:noProof/>
        </w:rPr>
        <w:drawing>
          <wp:anchor distT="0" distB="0" distL="114300" distR="114300" simplePos="0" relativeHeight="251660288" behindDoc="0" locked="0" layoutInCell="1" allowOverlap="1">
            <wp:simplePos x="0" y="0"/>
            <wp:positionH relativeFrom="page">
              <wp:posOffset>124286</wp:posOffset>
            </wp:positionH>
            <wp:positionV relativeFrom="paragraph">
              <wp:posOffset>-810491</wp:posOffset>
            </wp:positionV>
            <wp:extent cx="3931920" cy="1118674"/>
            <wp:effectExtent l="0" t="0" r="0" b="5715"/>
            <wp:wrapNone/>
            <wp:docPr id="1556198300" name="Picture 1" descr="IEconomic and Social Council and Education Research Pro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042161" name="Picture 1" descr="IEconomic and Social Council and Education Research Programme"/>
                    <pic:cNvPicPr/>
                  </pic:nvPicPr>
                  <pic:blipFill rotWithShape="1">
                    <a:blip xmlns:r="http://schemas.openxmlformats.org/officeDocument/2006/relationships" r:embed="rId4" cstate="print">
                      <a:extLst>
                        <a:ext uri="{28A0092B-C50C-407E-A947-70E740481C1C}">
                          <a14:useLocalDpi xmlns:a14="http://schemas.microsoft.com/office/drawing/2010/main"/>
                        </a:ext>
                      </a:extLst>
                    </a:blip>
                    <a:srcRect t="1888"/>
                    <a:stretch/>
                  </pic:blipFill>
                  <pic:spPr bwMode="auto">
                    <a:xfrm>
                      <a:off x="0" y="0"/>
                      <a:ext cx="3931920" cy="1118674"/>
                    </a:xfrm>
                    <a:prstGeom prst="rect">
                      <a:avLst/>
                    </a:prstGeom>
                    <a:ln>
                      <a:noFill/>
                    </a:ln>
                  </pic:spPr>
                </pic:pic>
              </a:graphicData>
            </a:graphic>
          </wp:anchor>
        </w:drawing>
      </w:r>
    </w:p>
    <w:p w:rsidR="00073D01" w:rsidP="00073D01">
      <w:pPr>
        <w:pStyle w:val="ListParagraph"/>
      </w:pPr>
    </w:p>
    <w:p w:rsidR="00C71C97" w:rsidP="004E1C45">
      <w:pPr>
        <w:pStyle w:val="ListParagraph"/>
      </w:pPr>
      <w:r>
        <w:t xml:space="preserve">clear logic model would need to be developed, given that coaching and mentoring can take various forms depending on the aim of the practice. </w:t>
      </w:r>
    </w:p>
    <w:p w:rsidR="00C71C97" w:rsidP="00C71C97">
      <w:pPr>
        <w:pStyle w:val="ListParagraph"/>
        <w:numPr>
          <w:ilvl w:val="0"/>
          <w:numId w:val="3"/>
        </w:numPr>
      </w:pPr>
      <w:r w:rsidRPr="009F6849">
        <w:t xml:space="preserve">At a contextual level, </w:t>
      </w:r>
      <w:r w:rsidRPr="00DD3D41">
        <w:rPr>
          <w:b/>
          <w:bCs/>
        </w:rPr>
        <w:t>value conflict</w:t>
      </w:r>
      <w:r w:rsidRPr="009F6849">
        <w:t xml:space="preserve"> (the gap between teachers' professional beliefs and practice) emerged as a particularly important predictor of job satisfaction and burnout, alongside support from colleagues</w:t>
      </w:r>
      <w:r w:rsidR="00DA5445">
        <w:t xml:space="preserve"> (</w:t>
      </w:r>
      <w:r>
        <w:fldChar w:fldCharType="begin"/>
      </w:r>
      <w:r>
        <w:instrText xml:space="preserve"> HYPERLINK "https://bera-journals.onlinelibrary.wiley.com/doi/10.1002/rev3.70204" </w:instrText>
      </w:r>
      <w:r>
        <w:fldChar w:fldCharType="separate"/>
      </w:r>
      <w:r w:rsidRPr="00C71C97" w:rsidR="00DA5445">
        <w:rPr>
          <w:rStyle w:val="Hyperlink"/>
        </w:rPr>
        <w:t>Ainsworth et al., 2026a</w:t>
      </w:r>
      <w:r>
        <w:fldChar w:fldCharType="end"/>
      </w:r>
      <w:r w:rsidR="00DA5445">
        <w:t>)</w:t>
      </w:r>
      <w:r w:rsidRPr="009F6849">
        <w:t>. Th</w:t>
      </w:r>
      <w:r>
        <w:t xml:space="preserve">is suggests that workplace reforms should also address common sources of value conflict, </w:t>
      </w:r>
      <w:r w:rsidR="00204D4A">
        <w:t xml:space="preserve">which are </w:t>
      </w:r>
      <w:r w:rsidR="00DD3D41">
        <w:t>discussed</w:t>
      </w:r>
      <w:r>
        <w:t xml:space="preserve"> below in the conte</w:t>
      </w:r>
      <w:r w:rsidR="00DD3D41">
        <w:t>xt</w:t>
      </w:r>
      <w:r>
        <w:t xml:space="preserve"> of our case study findings.</w:t>
      </w:r>
    </w:p>
    <w:p w:rsidR="001461B7" w:rsidRPr="001461B7" w:rsidP="00C71C97">
      <w:pPr>
        <w:rPr>
          <w:b/>
          <w:bCs/>
        </w:rPr>
      </w:pPr>
      <w:r w:rsidRPr="00C71C97">
        <w:rPr>
          <w:b/>
          <w:bCs/>
        </w:rPr>
        <w:t>Case study findings relevant to the proposed workforce reforms in relation to wellbeing and job satisfaction</w:t>
      </w:r>
    </w:p>
    <w:p w:rsidR="009F6849" w:rsidP="009F6849">
      <w:pPr>
        <w:pStyle w:val="ListParagraph"/>
        <w:numPr>
          <w:ilvl w:val="0"/>
          <w:numId w:val="3"/>
        </w:numPr>
      </w:pPr>
      <w:r>
        <w:t>W</w:t>
      </w:r>
      <w:r w:rsidRPr="009F6849">
        <w:t xml:space="preserve">e worked with eight schools to identify feasible approaches to improving teacher </w:t>
      </w:r>
      <w:r w:rsidR="00CA7C0C">
        <w:t>resilience</w:t>
      </w:r>
      <w:r w:rsidRPr="009F6849">
        <w:t>. Teachers and leaders highlighted two key approaches: fostering self-determination and adopting "work-smart" practices (</w:t>
      </w:r>
      <w:r>
        <w:fldChar w:fldCharType="begin"/>
      </w:r>
      <w:r>
        <w:instrText xml:space="preserve"> HYPERLINK "https://bera-journals.onlinelibrary.wiley.com/doi/10.1002/berj.70198" </w:instrText>
      </w:r>
      <w:r>
        <w:fldChar w:fldCharType="separate"/>
      </w:r>
      <w:r w:rsidRPr="00A2602C" w:rsidR="00A2602C">
        <w:rPr>
          <w:rStyle w:val="Hyperlink"/>
        </w:rPr>
        <w:t>Ainsworth et al., 2026b</w:t>
      </w:r>
      <w:r>
        <w:fldChar w:fldCharType="end"/>
      </w:r>
      <w:r w:rsidRPr="009F6849">
        <w:t>). Analysis of 69 group interviews suggested that teachers' wellbeing and job satisfaction depend on fulfilling the three core psychological needs identified in self-determination theory: autonomy, competence and relatedness (</w:t>
      </w:r>
      <w:r>
        <w:fldChar w:fldCharType="begin"/>
      </w:r>
      <w:r>
        <w:instrText xml:space="preserve"> HYPERLINK "https://selfdeterminationtheory.org/SDT/documents/2000_RyanDeci_SDT.pdf" </w:instrText>
      </w:r>
      <w:r>
        <w:fldChar w:fldCharType="separate"/>
      </w:r>
      <w:r w:rsidRPr="002A2E0D">
        <w:rPr>
          <w:rStyle w:val="Hyperlink"/>
        </w:rPr>
        <w:t>Ryan &amp; Deci, 2000</w:t>
      </w:r>
      <w:r>
        <w:fldChar w:fldCharType="end"/>
      </w:r>
      <w:r w:rsidRPr="009F6849">
        <w:t>). In practice, this meant helping teachers feel valued, supported, connected, capable, effective, heard and trusted (</w:t>
      </w:r>
      <w:r>
        <w:fldChar w:fldCharType="begin"/>
      </w:r>
      <w:r>
        <w:instrText xml:space="preserve"> HYPERLINK "https://bera-journals.onlinelibrary.wiley.com/doi/10.1002/berj.70198" </w:instrText>
      </w:r>
      <w:r>
        <w:fldChar w:fldCharType="separate"/>
      </w:r>
      <w:r w:rsidRPr="00F963A8" w:rsidR="00A2602C">
        <w:rPr>
          <w:rStyle w:val="Hyperlink"/>
        </w:rPr>
        <w:t>Ainsworth et al., 2026b</w:t>
      </w:r>
      <w:r>
        <w:fldChar w:fldCharType="end"/>
      </w:r>
      <w:r w:rsidRPr="009F6849">
        <w:t>).</w:t>
      </w:r>
    </w:p>
    <w:p w:rsidR="009F6849" w:rsidP="009F6849">
      <w:pPr>
        <w:pStyle w:val="ListParagraph"/>
        <w:numPr>
          <w:ilvl w:val="0"/>
          <w:numId w:val="3"/>
        </w:numPr>
      </w:pPr>
      <w:r w:rsidRPr="009F6849">
        <w:t>"Work-smart" approaches included managing the scope of work, redesigning work processes, and redistributing demands and resources (</w:t>
      </w:r>
      <w:r>
        <w:fldChar w:fldCharType="begin"/>
      </w:r>
      <w:r>
        <w:instrText xml:space="preserve"> HYPERLINK "https://www.simonandschuster.co.uk/books/Great-at-Work/Morten-T-Hansen/9781471149078" </w:instrText>
      </w:r>
      <w:r>
        <w:fldChar w:fldCharType="separate"/>
      </w:r>
      <w:r w:rsidRPr="0027568B">
        <w:rPr>
          <w:rStyle w:val="Hyperlink"/>
        </w:rPr>
        <w:t>Hansen, 2018</w:t>
      </w:r>
      <w:r>
        <w:fldChar w:fldCharType="end"/>
      </w:r>
      <w:r w:rsidRPr="009F6849">
        <w:t xml:space="preserve">; </w:t>
      </w:r>
      <w:r>
        <w:fldChar w:fldCharType="begin"/>
      </w:r>
      <w:r>
        <w:instrText xml:space="preserve"> HYPERLINK "https://bera-journals.onlinelibrary.wiley.com/doi/10.1002/berj.70198" </w:instrText>
      </w:r>
      <w:r>
        <w:fldChar w:fldCharType="separate"/>
      </w:r>
      <w:r w:rsidRPr="00F963A8" w:rsidR="00A2602C">
        <w:rPr>
          <w:rStyle w:val="Hyperlink"/>
        </w:rPr>
        <w:t>Ainsworth et al., 2026b</w:t>
      </w:r>
      <w:r>
        <w:fldChar w:fldCharType="end"/>
      </w:r>
      <w:r w:rsidRPr="009F6849">
        <w:t>).</w:t>
      </w:r>
    </w:p>
    <w:p w:rsidR="00EA558F" w:rsidP="009F6849">
      <w:pPr>
        <w:pStyle w:val="ListParagraph"/>
        <w:numPr>
          <w:ilvl w:val="0"/>
          <w:numId w:val="3"/>
        </w:numPr>
      </w:pPr>
      <w:r>
        <w:t xml:space="preserve">Details of </w:t>
      </w:r>
      <w:r w:rsidR="00CE561F">
        <w:t>concrete</w:t>
      </w:r>
      <w:r>
        <w:t xml:space="preserve"> </w:t>
      </w:r>
      <w:r w:rsidR="00CE561F">
        <w:t xml:space="preserve">school-level </w:t>
      </w:r>
      <w:r>
        <w:t xml:space="preserve">strategies </w:t>
      </w:r>
      <w:r w:rsidR="00542240">
        <w:t xml:space="preserve">for improving teacher resilience </w:t>
      </w:r>
      <w:r w:rsidR="00484098">
        <w:t>by fostering self-determination and implementing work smart practices</w:t>
      </w:r>
      <w:r w:rsidR="00CE561F">
        <w:t xml:space="preserve"> </w:t>
      </w:r>
      <w:r w:rsidR="00484098">
        <w:t>are</w:t>
      </w:r>
      <w:r w:rsidR="00CE561F">
        <w:t xml:space="preserve"> provided in our recent </w:t>
      </w:r>
      <w:r w:rsidR="00100776">
        <w:t>publication (</w:t>
      </w:r>
      <w:r>
        <w:fldChar w:fldCharType="begin"/>
      </w:r>
      <w:r>
        <w:instrText xml:space="preserve"> HYPERLINK "https://bera-journals.onlinelibrary.wiley.com/doi/10.1002/rev3.70204" </w:instrText>
      </w:r>
      <w:r>
        <w:fldChar w:fldCharType="separate"/>
      </w:r>
      <w:r w:rsidRPr="00C71C97" w:rsidR="00100776">
        <w:rPr>
          <w:rStyle w:val="Hyperlink"/>
        </w:rPr>
        <w:t>Ainsworth et al., 2026a</w:t>
      </w:r>
      <w:r>
        <w:fldChar w:fldCharType="end"/>
      </w:r>
      <w:r w:rsidR="00100776">
        <w:t>)</w:t>
      </w:r>
      <w:r w:rsidR="00484098">
        <w:t>. They are also</w:t>
      </w:r>
      <w:r w:rsidR="00100776">
        <w:t xml:space="preserve"> explored in further depth within </w:t>
      </w:r>
      <w:r w:rsidR="00CC0BF0">
        <w:t>our</w:t>
      </w:r>
      <w:r w:rsidR="00484098">
        <w:t xml:space="preserve"> freely available,</w:t>
      </w:r>
      <w:r w:rsidR="00100776">
        <w:t xml:space="preserve"> </w:t>
      </w:r>
      <w:r>
        <w:fldChar w:fldCharType="begin"/>
      </w:r>
      <w:r>
        <w:instrText xml:space="preserve"> HYPERLINK "https://teacherresilience.mmu.ac.uk/" </w:instrText>
      </w:r>
      <w:r>
        <w:fldChar w:fldCharType="separate"/>
      </w:r>
      <w:r w:rsidRPr="00CC0BF0" w:rsidR="00100776">
        <w:rPr>
          <w:rStyle w:val="Hyperlink"/>
        </w:rPr>
        <w:t>interactive, online teacher resilience toolkit</w:t>
      </w:r>
      <w:r>
        <w:fldChar w:fldCharType="end"/>
      </w:r>
      <w:r w:rsidR="00100776">
        <w:t>, co-developed with schools</w:t>
      </w:r>
      <w:r w:rsidR="00484098">
        <w:t xml:space="preserve"> and other stakeholders.</w:t>
      </w:r>
    </w:p>
    <w:p w:rsidR="009F6849" w:rsidP="009F6849">
      <w:pPr>
        <w:pStyle w:val="ListParagraph"/>
        <w:numPr>
          <w:ilvl w:val="0"/>
          <w:numId w:val="3"/>
        </w:numPr>
      </w:pPr>
      <w:r>
        <w:t>Importantly,</w:t>
      </w:r>
      <w:r w:rsidRPr="009F6849">
        <w:t xml:space="preserve"> teachers and leaders consistently emphasised that school-level efforts were constrained by wider structural challenges, including a high-stakes accountability system, assessment and data pressures, insufficient funding and staffing, and a crowded curriculum that limits teachers' ability to adopt the pupil-centred approaches that drew many into the profession. Across all case study schools, there was strong agreement that improvements in teacher wellbeing and job satisfaction would be limited without broader structural reform (</w:t>
      </w:r>
      <w:r>
        <w:fldChar w:fldCharType="begin"/>
      </w:r>
      <w:r>
        <w:instrText xml:space="preserve"> HYPERLINK "https://bera-journals.onlinelibrary.wiley.com/doi/10.1002/berj.70198" </w:instrText>
      </w:r>
      <w:r>
        <w:fldChar w:fldCharType="separate"/>
      </w:r>
      <w:r w:rsidRPr="00A2602C" w:rsidR="00A2602C">
        <w:rPr>
          <w:rStyle w:val="Hyperlink"/>
        </w:rPr>
        <w:t>Ainsworth et al., 2026b</w:t>
      </w:r>
      <w:r>
        <w:fldChar w:fldCharType="end"/>
      </w:r>
      <w:r w:rsidRPr="009F6849">
        <w:t>)</w:t>
      </w:r>
      <w:r w:rsidR="009450D8">
        <w:t xml:space="preserve">. </w:t>
      </w:r>
    </w:p>
    <w:p w:rsidR="00073D01" w:rsidP="009F6849">
      <w:pPr>
        <w:pStyle w:val="ListParagraph"/>
        <w:numPr>
          <w:ilvl w:val="0"/>
          <w:numId w:val="3"/>
        </w:numPr>
      </w:pPr>
      <w:r>
        <w:t>Key structural changes which teachers and school leaders called for include</w:t>
      </w:r>
      <w:r w:rsidR="007C681B">
        <w:t>d</w:t>
      </w:r>
      <w:r>
        <w:t xml:space="preserve">: radical form to the inspection system towards a collaborative model of school improvement that is supportive rather than punitive; </w:t>
      </w:r>
      <w:r w:rsidR="00750416">
        <w:t xml:space="preserve">a more flexible, less </w:t>
      </w:r>
    </w:p>
    <w:p w:rsidR="00073D01" w:rsidP="00073D01">
      <w:pPr>
        <w:pStyle w:val="ListParagraph"/>
      </w:pPr>
      <w:r w:rsidRPr="008B5326">
        <w:rPr>
          <w:noProof/>
        </w:rPr>
        <w:drawing>
          <wp:anchor distT="0" distB="0" distL="114300" distR="114300" simplePos="0" relativeHeight="251663360" behindDoc="0" locked="0" layoutInCell="1" allowOverlap="1">
            <wp:simplePos x="0" y="0"/>
            <wp:positionH relativeFrom="margin">
              <wp:posOffset>4494530</wp:posOffset>
            </wp:positionH>
            <wp:positionV relativeFrom="paragraph">
              <wp:posOffset>-583565</wp:posOffset>
            </wp:positionV>
            <wp:extent cx="1597660" cy="609600"/>
            <wp:effectExtent l="0" t="0" r="2540" b="0"/>
            <wp:wrapNone/>
            <wp:docPr id="1384032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val="0"/>
                        </a:ext>
                      </a:extLst>
                    </a:blip>
                    <a:srcRect/>
                    <a:stretch>
                      <a:fillRect/>
                    </a:stretch>
                  </pic:blipFill>
                  <pic:spPr bwMode="auto">
                    <a:xfrm>
                      <a:off x="0" y="0"/>
                      <a:ext cx="1597660" cy="609600"/>
                    </a:xfrm>
                    <a:prstGeom prst="rect">
                      <a:avLst/>
                    </a:prstGeom>
                    <a:noFill/>
                    <a:ln>
                      <a:noFill/>
                    </a:ln>
                  </pic:spPr>
                </pic:pic>
              </a:graphicData>
            </a:graphic>
          </wp:anchor>
        </w:drawing>
      </w:r>
      <w:r w:rsidRPr="008B5326">
        <w:rPr>
          <w:noProof/>
        </w:rPr>
        <w:drawing>
          <wp:anchor distT="0" distB="0" distL="114300" distR="114300" simplePos="0" relativeHeight="251662336" behindDoc="0" locked="0" layoutInCell="1" allowOverlap="1">
            <wp:simplePos x="0" y="0"/>
            <wp:positionH relativeFrom="page">
              <wp:posOffset>26959</wp:posOffset>
            </wp:positionH>
            <wp:positionV relativeFrom="paragraph">
              <wp:posOffset>-811934</wp:posOffset>
            </wp:positionV>
            <wp:extent cx="3931920" cy="1118674"/>
            <wp:effectExtent l="0" t="0" r="0" b="5715"/>
            <wp:wrapNone/>
            <wp:docPr id="143209801" name="Picture 1" descr="IEconomic and Social Council and Education Research Pro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042161" name="Picture 1" descr="IEconomic and Social Council and Education Research Programme"/>
                    <pic:cNvPicPr/>
                  </pic:nvPicPr>
                  <pic:blipFill rotWithShape="1">
                    <a:blip xmlns:r="http://schemas.openxmlformats.org/officeDocument/2006/relationships" r:embed="rId4" cstate="print">
                      <a:extLst>
                        <a:ext uri="{28A0092B-C50C-407E-A947-70E740481C1C}">
                          <a14:useLocalDpi xmlns:a14="http://schemas.microsoft.com/office/drawing/2010/main"/>
                        </a:ext>
                      </a:extLst>
                    </a:blip>
                    <a:srcRect t="1888"/>
                    <a:stretch/>
                  </pic:blipFill>
                  <pic:spPr bwMode="auto">
                    <a:xfrm>
                      <a:off x="0" y="0"/>
                      <a:ext cx="3931920" cy="1118674"/>
                    </a:xfrm>
                    <a:prstGeom prst="rect">
                      <a:avLst/>
                    </a:prstGeom>
                    <a:ln>
                      <a:noFill/>
                    </a:ln>
                  </pic:spPr>
                </pic:pic>
              </a:graphicData>
            </a:graphic>
          </wp:anchor>
        </w:drawing>
      </w:r>
    </w:p>
    <w:p w:rsidR="00073D01" w:rsidP="00073D01">
      <w:pPr>
        <w:pStyle w:val="ListParagraph"/>
      </w:pPr>
    </w:p>
    <w:p w:rsidR="009450D8" w:rsidP="00073D01">
      <w:pPr>
        <w:pStyle w:val="ListParagraph"/>
      </w:pPr>
      <w:r>
        <w:t xml:space="preserve">crammed curriculum, allowing teachers to adopt a more </w:t>
      </w:r>
      <w:r w:rsidR="00EF2771">
        <w:t xml:space="preserve">inclusive, </w:t>
      </w:r>
      <w:r>
        <w:t>humanistic</w:t>
      </w:r>
      <w:r w:rsidR="00EF2771">
        <w:t xml:space="preserve">, less pressured approach to </w:t>
      </w:r>
      <w:r w:rsidR="007C681B">
        <w:t>teaching;</w:t>
      </w:r>
      <w:r w:rsidR="00EF2771">
        <w:t xml:space="preserve"> </w:t>
      </w:r>
      <w:r w:rsidR="00914C63">
        <w:t xml:space="preserve">and </w:t>
      </w:r>
      <w:r w:rsidR="00EF2771">
        <w:t xml:space="preserve">increased staffing </w:t>
      </w:r>
      <w:r w:rsidR="009B517E">
        <w:t>to adequately resource support for SEND provision and allow sufficient slack in the system to cover staff absence</w:t>
      </w:r>
      <w:r>
        <w:t xml:space="preserve"> (</w:t>
      </w:r>
      <w:r>
        <w:fldChar w:fldCharType="begin"/>
      </w:r>
      <w:r>
        <w:instrText xml:space="preserve"> HYPERLINK "https://bera-journals.onlinelibrary.wiley.com/doi/10.1002/berj.70198" </w:instrText>
      </w:r>
      <w:r>
        <w:fldChar w:fldCharType="separate"/>
      </w:r>
      <w:r w:rsidRPr="00A2602C">
        <w:rPr>
          <w:rStyle w:val="Hyperlink"/>
        </w:rPr>
        <w:t>Ainsworth et al., 2026b</w:t>
      </w:r>
      <w:r>
        <w:fldChar w:fldCharType="end"/>
      </w:r>
      <w:r>
        <w:t>).</w:t>
      </w:r>
      <w:r w:rsidR="00914C63">
        <w:t xml:space="preserve"> </w:t>
      </w:r>
    </w:p>
    <w:p w:rsidR="009F6849" w:rsidP="009F6849">
      <w:pPr>
        <w:rPr>
          <w:b/>
          <w:bCs/>
        </w:rPr>
      </w:pPr>
      <w:r w:rsidRPr="009F6849">
        <w:rPr>
          <w:b/>
          <w:bCs/>
        </w:rPr>
        <w:t>Implications of the qualitative case study findings for the proposed reforms</w:t>
      </w:r>
    </w:p>
    <w:p w:rsidR="00FB690D" w:rsidRPr="009F6849" w:rsidP="009F6849">
      <w:pPr>
        <w:rPr>
          <w:b/>
          <w:bCs/>
        </w:rPr>
      </w:pPr>
      <w:r>
        <w:rPr>
          <w:b/>
          <w:bCs/>
        </w:rPr>
        <w:tab/>
        <w:t>Reducing workload</w:t>
      </w:r>
    </w:p>
    <w:p w:rsidR="00367676" w:rsidP="009F6849">
      <w:pPr>
        <w:pStyle w:val="ListParagraph"/>
        <w:numPr>
          <w:ilvl w:val="0"/>
          <w:numId w:val="3"/>
        </w:numPr>
      </w:pPr>
      <w:r>
        <w:t xml:space="preserve">Our research suggests that </w:t>
      </w:r>
      <w:r>
        <w:t xml:space="preserve">the White Paper’s focus on </w:t>
      </w:r>
      <w:r w:rsidRPr="00094E14">
        <w:rPr>
          <w:b/>
          <w:bCs/>
        </w:rPr>
        <w:t>supporting schools to share good practice</w:t>
      </w:r>
      <w:r>
        <w:t xml:space="preserve"> </w:t>
      </w:r>
      <w:r w:rsidRPr="00FB690D">
        <w:rPr>
          <w:b/>
          <w:bCs/>
        </w:rPr>
        <w:t xml:space="preserve">in relation to </w:t>
      </w:r>
      <w:r w:rsidRPr="00FB690D" w:rsidR="00CC0BF0">
        <w:rPr>
          <w:b/>
          <w:bCs/>
        </w:rPr>
        <w:t xml:space="preserve">reducing </w:t>
      </w:r>
      <w:r w:rsidRPr="00FB690D">
        <w:rPr>
          <w:b/>
          <w:bCs/>
        </w:rPr>
        <w:t>workload</w:t>
      </w:r>
      <w:r>
        <w:t xml:space="preserve"> </w:t>
      </w:r>
      <w:r w:rsidR="00CC0BF0">
        <w:t xml:space="preserve">are likely to </w:t>
      </w:r>
      <w:r w:rsidR="00CC0795">
        <w:t xml:space="preserve">be </w:t>
      </w:r>
      <w:r w:rsidR="00CC0BF0">
        <w:t>impactful</w:t>
      </w:r>
      <w:r>
        <w:t xml:space="preserve">. Teachers and leaders reported finding it useful being able to share </w:t>
      </w:r>
      <w:r w:rsidR="00CC0BF0">
        <w:t xml:space="preserve">challenges and </w:t>
      </w:r>
      <w:r>
        <w:t>strategies across the project with one another</w:t>
      </w:r>
      <w:r w:rsidR="00CC0BF0">
        <w:t xml:space="preserve"> </w:t>
      </w:r>
      <w:r w:rsidRPr="009F6849" w:rsidR="00CC0BF0">
        <w:t>(</w:t>
      </w:r>
      <w:r>
        <w:fldChar w:fldCharType="begin"/>
      </w:r>
      <w:r>
        <w:instrText xml:space="preserve"> HYPERLINK "https://bera-journals.onlinelibrary.wiley.com/doi/10.1002/berj.70198" </w:instrText>
      </w:r>
      <w:r>
        <w:fldChar w:fldCharType="separate"/>
      </w:r>
      <w:r w:rsidRPr="00A2602C" w:rsidR="00CC0BF0">
        <w:rPr>
          <w:rStyle w:val="Hyperlink"/>
        </w:rPr>
        <w:t>Ainsworth et al., 2026b</w:t>
      </w:r>
      <w:r>
        <w:fldChar w:fldCharType="end"/>
      </w:r>
      <w:r w:rsidRPr="009F6849" w:rsidR="00CC0BF0">
        <w:t>)</w:t>
      </w:r>
      <w:r>
        <w:t xml:space="preserve">. </w:t>
      </w:r>
      <w:r w:rsidR="008471B5">
        <w:t>They also reported finding it helpful to consider the three categories of ‘work smart’ approaches</w:t>
      </w:r>
      <w:r w:rsidR="007C681B">
        <w:t xml:space="preserve"> </w:t>
      </w:r>
      <w:r w:rsidR="008471B5">
        <w:t xml:space="preserve">introduced above: work scope, work redesign and redistribution of </w:t>
      </w:r>
      <w:r w:rsidR="0056695D">
        <w:t>resources and demands.</w:t>
      </w:r>
      <w:r w:rsidR="0005668A">
        <w:t xml:space="preserve"> </w:t>
      </w:r>
    </w:p>
    <w:p w:rsidR="00022F0D" w:rsidP="00022F0D">
      <w:pPr>
        <w:pStyle w:val="ListParagraph"/>
        <w:numPr>
          <w:ilvl w:val="0"/>
          <w:numId w:val="3"/>
        </w:numPr>
      </w:pPr>
      <w:r>
        <w:t>It is important to note that our findings demonstrated that strategies being used in one school cannot always be easily translated into another (</w:t>
      </w:r>
      <w:r>
        <w:fldChar w:fldCharType="begin"/>
      </w:r>
      <w:r>
        <w:instrText xml:space="preserve"> HYPERLINK "https://bera-journals.onlinelibrary.wiley.com/doi/10.1002/berj.70198" </w:instrText>
      </w:r>
      <w:r>
        <w:fldChar w:fldCharType="separate"/>
      </w:r>
      <w:r w:rsidRPr="00A2602C">
        <w:rPr>
          <w:rStyle w:val="Hyperlink"/>
        </w:rPr>
        <w:t>Ainsworth et al., 2026b</w:t>
      </w:r>
      <w:r>
        <w:fldChar w:fldCharType="end"/>
      </w:r>
      <w:r>
        <w:t xml:space="preserve">), and therefore the focus on </w:t>
      </w:r>
      <w:r w:rsidRPr="00346E3C">
        <w:rPr>
          <w:b/>
          <w:bCs/>
        </w:rPr>
        <w:t>sharing good practice</w:t>
      </w:r>
      <w:r>
        <w:t xml:space="preserve"> around work</w:t>
      </w:r>
      <w:r w:rsidR="00A21F43">
        <w:t>load reduction</w:t>
      </w:r>
      <w:r>
        <w:t xml:space="preserve"> is not likely to be a panacea. For example, while the primary schools successfully implemented off-site PPA, the secondary schools in our study indicated that this was not possible because of timetabling constraints. </w:t>
      </w:r>
    </w:p>
    <w:p w:rsidR="00314C82" w:rsidP="00314C82">
      <w:pPr>
        <w:pStyle w:val="ListParagraph"/>
        <w:numPr>
          <w:ilvl w:val="0"/>
          <w:numId w:val="3"/>
        </w:numPr>
      </w:pPr>
      <w:r>
        <w:t>Crucially</w:t>
      </w:r>
      <w:r w:rsidR="00731249">
        <w:t>,</w:t>
      </w:r>
      <w:r>
        <w:t xml:space="preserve"> both teachers and leaders </w:t>
      </w:r>
      <w:r>
        <w:t xml:space="preserve">indicated </w:t>
      </w:r>
      <w:r>
        <w:t xml:space="preserve">that in the absence of broader structural changes, there were no easy answers to </w:t>
      </w:r>
      <w:r w:rsidRPr="001D7A8A">
        <w:t>reducing workload</w:t>
      </w:r>
      <w:r>
        <w:t>:</w:t>
      </w:r>
    </w:p>
    <w:p w:rsidR="002071AF" w:rsidP="00731249">
      <w:pPr>
        <w:ind w:left="720"/>
        <w:rPr>
          <w:i/>
          <w:iCs/>
        </w:rPr>
      </w:pPr>
      <w:r w:rsidRPr="00A2602C">
        <w:rPr>
          <w:i/>
          <w:iCs/>
        </w:rPr>
        <w:t>“It's so hard to know, isn't it? How do you cut workload when it's all important?’ (Secondary leader)</w:t>
      </w:r>
    </w:p>
    <w:p w:rsidR="0056695D" w:rsidP="00731249">
      <w:pPr>
        <w:ind w:left="720"/>
      </w:pPr>
      <w:r>
        <w:t xml:space="preserve">Key </w:t>
      </w:r>
      <w:r w:rsidR="00B3615A">
        <w:t xml:space="preserve">systemic </w:t>
      </w:r>
      <w:r>
        <w:t xml:space="preserve">drivers </w:t>
      </w:r>
      <w:r w:rsidR="00B3615A">
        <w:t xml:space="preserve">of workload beyond the school include </w:t>
      </w:r>
      <w:r w:rsidR="00C92119">
        <w:t>the high</w:t>
      </w:r>
      <w:r w:rsidR="0005668A">
        <w:t>-</w:t>
      </w:r>
      <w:r w:rsidR="00C92119">
        <w:t xml:space="preserve">stakes accountability </w:t>
      </w:r>
      <w:r w:rsidR="00C20264">
        <w:t xml:space="preserve">assessment and </w:t>
      </w:r>
      <w:r w:rsidR="0005668A">
        <w:t xml:space="preserve">inspection </w:t>
      </w:r>
      <w:r w:rsidR="00C92119">
        <w:t>system (</w:t>
      </w:r>
      <w:r>
        <w:fldChar w:fldCharType="begin"/>
      </w:r>
      <w:r>
        <w:instrText xml:space="preserve"> HYPERLINK "https://www.sciencedirect.com/science/article/pii/S0742051X18316068?via%3Dihub" </w:instrText>
      </w:r>
      <w:r>
        <w:fldChar w:fldCharType="separate"/>
      </w:r>
      <w:r w:rsidRPr="00D32061" w:rsidR="00786F28">
        <w:rPr>
          <w:rStyle w:val="Hyperlink"/>
        </w:rPr>
        <w:t>Ol</w:t>
      </w:r>
      <w:r w:rsidRPr="00D32061" w:rsidR="00D32061">
        <w:rPr>
          <w:rStyle w:val="Hyperlink"/>
        </w:rPr>
        <w:t>dfield</w:t>
      </w:r>
      <w:r w:rsidR="00480279">
        <w:rPr>
          <w:rStyle w:val="Hyperlink"/>
        </w:rPr>
        <w:t xml:space="preserve"> &amp; Ainsworth</w:t>
      </w:r>
      <w:r w:rsidRPr="00D32061" w:rsidR="00C20264">
        <w:rPr>
          <w:rStyle w:val="Hyperlink"/>
        </w:rPr>
        <w:t>, 20</w:t>
      </w:r>
      <w:r w:rsidR="00480279">
        <w:rPr>
          <w:rStyle w:val="Hyperlink"/>
        </w:rPr>
        <w:t>22</w:t>
      </w:r>
      <w:r>
        <w:fldChar w:fldCharType="end"/>
      </w:r>
      <w:r w:rsidR="004D392D">
        <w:t xml:space="preserve">; </w:t>
      </w:r>
      <w:r>
        <w:fldChar w:fldCharType="begin"/>
      </w:r>
      <w:r>
        <w:instrText xml:space="preserve"> HYPERLINK "https://beyondofsted.org.uk/wp-content/uploads/2023/11/Beyond-Ofsted-Report.pdf" </w:instrText>
      </w:r>
      <w:r>
        <w:fldChar w:fldCharType="separate"/>
      </w:r>
      <w:r w:rsidRPr="001F3C80" w:rsidR="001F3C80">
        <w:rPr>
          <w:rStyle w:val="Hyperlink"/>
        </w:rPr>
        <w:t>Perryman et al., 2023</w:t>
      </w:r>
      <w:r>
        <w:fldChar w:fldCharType="end"/>
      </w:r>
      <w:r w:rsidR="00C92119">
        <w:t>)</w:t>
      </w:r>
      <w:r w:rsidR="00F32615">
        <w:t>.</w:t>
      </w:r>
    </w:p>
    <w:p w:rsidR="00542240" w:rsidRPr="00542240" w:rsidP="00731249">
      <w:pPr>
        <w:ind w:left="720"/>
        <w:rPr>
          <w:b/>
          <w:bCs/>
        </w:rPr>
      </w:pPr>
      <w:r w:rsidRPr="00542240">
        <w:rPr>
          <w:b/>
          <w:bCs/>
        </w:rPr>
        <w:t>Cultivating positive school cultures</w:t>
      </w:r>
    </w:p>
    <w:p w:rsidR="00DB7C10" w:rsidP="00DB7C10">
      <w:pPr>
        <w:pStyle w:val="ListParagraph"/>
        <w:numPr>
          <w:ilvl w:val="0"/>
          <w:numId w:val="3"/>
        </w:numPr>
      </w:pPr>
      <w:r>
        <w:t xml:space="preserve">The case study findings support the White Paper’s focus on </w:t>
      </w:r>
      <w:r w:rsidRPr="00DB7C10">
        <w:rPr>
          <w:b/>
          <w:bCs/>
        </w:rPr>
        <w:t>school culture</w:t>
      </w:r>
      <w:r>
        <w:t>. School culture was perceived by teachers and leaders as heavily shaping their everyday experiences in school and how they feel about their work (</w:t>
      </w:r>
      <w:r>
        <w:fldChar w:fldCharType="begin"/>
      </w:r>
      <w:r>
        <w:instrText xml:space="preserve"> HYPERLINK "https://bera-journals.onlinelibrary.wiley.com/doi/10.1002/berj.70198" </w:instrText>
      </w:r>
      <w:r>
        <w:fldChar w:fldCharType="separate"/>
      </w:r>
      <w:r w:rsidRPr="000A73EA">
        <w:rPr>
          <w:rStyle w:val="Hyperlink"/>
        </w:rPr>
        <w:t>Ainsworth et al., 2026b</w:t>
      </w:r>
      <w:r>
        <w:fldChar w:fldCharType="end"/>
      </w:r>
      <w:r>
        <w:t>). For example, teachers noted the importance of working in a supportive culture where their voices are heard and they are trusted to use their professional judgement (</w:t>
      </w:r>
      <w:r>
        <w:fldChar w:fldCharType="begin"/>
      </w:r>
      <w:r>
        <w:instrText xml:space="preserve"> HYPERLINK "https://bera-journals.onlinelibrary.wiley.com/doi/10.1002/berj.70198" </w:instrText>
      </w:r>
      <w:r>
        <w:fldChar w:fldCharType="separate"/>
      </w:r>
      <w:r w:rsidRPr="000A73EA" w:rsidR="00B26EE5">
        <w:rPr>
          <w:rStyle w:val="Hyperlink"/>
        </w:rPr>
        <w:t>Ainsworth et al., 2026b</w:t>
      </w:r>
      <w:r>
        <w:fldChar w:fldCharType="end"/>
      </w:r>
      <w:r w:rsidR="00B26EE5">
        <w:t>).</w:t>
      </w:r>
    </w:p>
    <w:p w:rsidR="00073D01" w:rsidP="00DB7C10">
      <w:pPr>
        <w:pStyle w:val="ListParagraph"/>
        <w:numPr>
          <w:ilvl w:val="0"/>
          <w:numId w:val="3"/>
        </w:numPr>
      </w:pPr>
      <w:r>
        <w:t>It is noted, though, that w</w:t>
      </w:r>
      <w:r w:rsidR="00DB7C10">
        <w:t xml:space="preserve">hile the White Paper talks frequently about how to support a safe, inclusive culture for pupils, there is less detail on how schools </w:t>
      </w:r>
    </w:p>
    <w:p w:rsidR="00073D01" w:rsidP="00281EBA">
      <w:pPr>
        <w:pStyle w:val="ListParagraph"/>
      </w:pPr>
      <w:r w:rsidRPr="008B5326">
        <w:rPr>
          <w:noProof/>
        </w:rPr>
        <w:drawing>
          <wp:anchor distT="0" distB="0" distL="114300" distR="114300" simplePos="0" relativeHeight="251665408" behindDoc="0" locked="0" layoutInCell="1" allowOverlap="1">
            <wp:simplePos x="0" y="0"/>
            <wp:positionH relativeFrom="margin">
              <wp:posOffset>4458335</wp:posOffset>
            </wp:positionH>
            <wp:positionV relativeFrom="paragraph">
              <wp:posOffset>-604520</wp:posOffset>
            </wp:positionV>
            <wp:extent cx="1597660" cy="609600"/>
            <wp:effectExtent l="0" t="0" r="2540" b="0"/>
            <wp:wrapNone/>
            <wp:docPr id="10303018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val="0"/>
                        </a:ext>
                      </a:extLst>
                    </a:blip>
                    <a:srcRect/>
                    <a:stretch>
                      <a:fillRect/>
                    </a:stretch>
                  </pic:blipFill>
                  <pic:spPr bwMode="auto">
                    <a:xfrm>
                      <a:off x="0" y="0"/>
                      <a:ext cx="1597660" cy="609600"/>
                    </a:xfrm>
                    <a:prstGeom prst="rect">
                      <a:avLst/>
                    </a:prstGeom>
                    <a:noFill/>
                    <a:ln>
                      <a:noFill/>
                    </a:ln>
                  </pic:spPr>
                </pic:pic>
              </a:graphicData>
            </a:graphic>
          </wp:anchor>
        </w:drawing>
      </w:r>
      <w:r w:rsidRPr="008B5326">
        <w:rPr>
          <w:noProof/>
        </w:rPr>
        <w:drawing>
          <wp:anchor distT="0" distB="0" distL="114300" distR="114300" simplePos="0" relativeHeight="251664384" behindDoc="0" locked="0" layoutInCell="1" allowOverlap="1">
            <wp:simplePos x="0" y="0"/>
            <wp:positionH relativeFrom="page">
              <wp:posOffset>0</wp:posOffset>
            </wp:positionH>
            <wp:positionV relativeFrom="paragraph">
              <wp:posOffset>-823826</wp:posOffset>
            </wp:positionV>
            <wp:extent cx="3931920" cy="1118674"/>
            <wp:effectExtent l="0" t="0" r="0" b="5715"/>
            <wp:wrapNone/>
            <wp:docPr id="457176463" name="Picture 1" descr="IEconomic and Social Council and Education Research Pro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042161" name="Picture 1" descr="IEconomic and Social Council and Education Research Programme"/>
                    <pic:cNvPicPr/>
                  </pic:nvPicPr>
                  <pic:blipFill rotWithShape="1">
                    <a:blip xmlns:r="http://schemas.openxmlformats.org/officeDocument/2006/relationships" r:embed="rId4" cstate="print">
                      <a:extLst>
                        <a:ext uri="{28A0092B-C50C-407E-A947-70E740481C1C}">
                          <a14:useLocalDpi xmlns:a14="http://schemas.microsoft.com/office/drawing/2010/main"/>
                        </a:ext>
                      </a:extLst>
                    </a:blip>
                    <a:srcRect t="1888"/>
                    <a:stretch/>
                  </pic:blipFill>
                  <pic:spPr bwMode="auto">
                    <a:xfrm>
                      <a:off x="0" y="0"/>
                      <a:ext cx="3931920" cy="1118674"/>
                    </a:xfrm>
                    <a:prstGeom prst="rect">
                      <a:avLst/>
                    </a:prstGeom>
                    <a:ln>
                      <a:noFill/>
                    </a:ln>
                  </pic:spPr>
                </pic:pic>
              </a:graphicData>
            </a:graphic>
          </wp:anchor>
        </w:drawing>
      </w:r>
    </w:p>
    <w:p w:rsidR="00073D01" w:rsidP="00281EBA">
      <w:pPr>
        <w:pStyle w:val="ListParagraph"/>
      </w:pPr>
    </w:p>
    <w:p w:rsidR="00F367DB" w:rsidP="00073D01">
      <w:pPr>
        <w:pStyle w:val="ListParagraph"/>
      </w:pPr>
      <w:r>
        <w:t>might create a supportive culture for staff. Resources such as the Education Staff Wellbeing Charter and th</w:t>
      </w:r>
      <w:r w:rsidR="00AE156C">
        <w:t>e</w:t>
      </w:r>
      <w:r>
        <w:t xml:space="preserve"> ‘Improve Workload and Wellbeing for School Staff’ service might be helpful in raising awareness of some of the local elements that might influence school culture, and in supporting schools </w:t>
      </w:r>
      <w:r w:rsidRPr="00E42607">
        <w:rPr>
          <w:b/>
          <w:bCs/>
        </w:rPr>
        <w:t>to share good practice</w:t>
      </w:r>
      <w:r>
        <w:t xml:space="preserve"> </w:t>
      </w:r>
      <w:r w:rsidR="00F4502E">
        <w:t>in relation to</w:t>
      </w:r>
      <w:r>
        <w:t xml:space="preserve"> mobilising some of these elements. </w:t>
      </w:r>
      <w:r w:rsidR="00AE156C">
        <w:t>However, t</w:t>
      </w:r>
      <w:r w:rsidR="00FF657C">
        <w:t>eachers and leaders spoke frequently about the ways in which school cultures are heavily shaped by influences beyond the school which hinder local efforts to help teachers feel supported, valued and trusted (</w:t>
      </w:r>
      <w:r>
        <w:fldChar w:fldCharType="begin"/>
      </w:r>
      <w:r>
        <w:instrText xml:space="preserve"> HYPERLINK "https://bera-journals.onlinelibrary.wiley.com/doi/10.1002/berj.70198" </w:instrText>
      </w:r>
      <w:r>
        <w:fldChar w:fldCharType="separate"/>
      </w:r>
      <w:r w:rsidRPr="000A73EA" w:rsidR="00B26EE5">
        <w:rPr>
          <w:rStyle w:val="Hyperlink"/>
        </w:rPr>
        <w:t>Ainsworth et al., 2026b</w:t>
      </w:r>
      <w:r>
        <w:fldChar w:fldCharType="end"/>
      </w:r>
      <w:r w:rsidR="00FF657C">
        <w:t>).</w:t>
      </w:r>
    </w:p>
    <w:p w:rsidR="008B6214" w:rsidP="008B6214">
      <w:pPr>
        <w:pStyle w:val="ListParagraph"/>
        <w:numPr>
          <w:ilvl w:val="0"/>
          <w:numId w:val="3"/>
        </w:numPr>
      </w:pPr>
      <w:r>
        <w:t xml:space="preserve">When </w:t>
      </w:r>
      <w:r w:rsidR="00907D4A">
        <w:t xml:space="preserve">we </w:t>
      </w:r>
      <w:r>
        <w:t>co-develop</w:t>
      </w:r>
      <w:r w:rsidR="00907D4A">
        <w:t xml:space="preserve">ed </w:t>
      </w:r>
      <w:r w:rsidR="00C57246">
        <w:t>interventions to improve teacher resilience</w:t>
      </w:r>
      <w:r w:rsidR="00907D4A">
        <w:t xml:space="preserve">, </w:t>
      </w:r>
      <w:r w:rsidR="00C57246">
        <w:t>school leaders</w:t>
      </w:r>
      <w:r w:rsidR="00907D4A">
        <w:t xml:space="preserve"> highlighted the</w:t>
      </w:r>
      <w:r w:rsidR="00C71ECB">
        <w:t xml:space="preserve"> significant tensions </w:t>
      </w:r>
      <w:r w:rsidR="00907D4A">
        <w:t>they</w:t>
      </w:r>
      <w:r w:rsidR="00C71ECB">
        <w:t xml:space="preserve"> face when trying to balance the, often opposing, aims of caring for their staff, while also </w:t>
      </w:r>
      <w:r w:rsidR="00D25E97">
        <w:t xml:space="preserve">trying to </w:t>
      </w:r>
      <w:r w:rsidR="000527F9">
        <w:t>meet, what they perceived to be</w:t>
      </w:r>
      <w:r w:rsidR="00CC1012">
        <w:t>,</w:t>
      </w:r>
      <w:r w:rsidR="000527F9">
        <w:t xml:space="preserve"> </w:t>
      </w:r>
      <w:r w:rsidR="00CC1012">
        <w:t xml:space="preserve">the </w:t>
      </w:r>
      <w:r w:rsidR="00BB105A">
        <w:t>u</w:t>
      </w:r>
      <w:r w:rsidR="000527F9">
        <w:t>nrealistic and ever</w:t>
      </w:r>
      <w:r w:rsidR="00CC1012">
        <w:t>-</w:t>
      </w:r>
      <w:r w:rsidR="000527F9">
        <w:t>growing</w:t>
      </w:r>
      <w:r w:rsidR="00D25E97">
        <w:t xml:space="preserve"> expectations placed </w:t>
      </w:r>
      <w:r w:rsidR="000527F9">
        <w:t xml:space="preserve">on schools </w:t>
      </w:r>
      <w:r w:rsidR="00C71ECB">
        <w:t>(</w:t>
      </w:r>
      <w:r>
        <w:fldChar w:fldCharType="begin"/>
      </w:r>
      <w:r>
        <w:instrText xml:space="preserve"> HYPERLINK "https://bera-journals.onlinelibrary.wiley.com/doi/10.1002/berj.70198" </w:instrText>
      </w:r>
      <w:r>
        <w:fldChar w:fldCharType="separate"/>
      </w:r>
      <w:r w:rsidRPr="00A2602C" w:rsidR="00C71ECB">
        <w:rPr>
          <w:rStyle w:val="Hyperlink"/>
        </w:rPr>
        <w:t>Ainsworth et al., 2026b</w:t>
      </w:r>
      <w:r>
        <w:fldChar w:fldCharType="end"/>
      </w:r>
      <w:r w:rsidR="00C71ECB">
        <w:t xml:space="preserve">). </w:t>
      </w:r>
      <w:r w:rsidR="00922E69">
        <w:t xml:space="preserve">For example, in several </w:t>
      </w:r>
      <w:r w:rsidR="00922E69">
        <w:t>schools</w:t>
      </w:r>
      <w:r w:rsidR="00922E69">
        <w:t xml:space="preserve"> teachers reported a culture of surveillance, reflected in very frequent observations, often being conducted by multiple observers at once. The frequency and intensity of these observation practices were reported to have a significant impact on teachers’ wellbeing and job satisfaction as they generated additional stress and were perceived to reflect a lack of trust in teachers’ professional expertise. When exploring possibilities for creating a safer culture </w:t>
      </w:r>
      <w:r w:rsidR="00287324">
        <w:t xml:space="preserve">with school leaders </w:t>
      </w:r>
      <w:r w:rsidR="00922E69">
        <w:t>by reducing the frequency of observations or changing the nature of them, leaders indicated that it was difficult to find a balance between wanting to alleviate stress and demonstrate trust in staff while also wanting to prepare them for Ofsted inspection. Both teachers and leaders agreed that the current inspection system created a key barrier to creating safe, supportive cultures for school staff (</w:t>
      </w:r>
      <w:r>
        <w:fldChar w:fldCharType="begin"/>
      </w:r>
      <w:r>
        <w:instrText xml:space="preserve"> HYPERLINK "https://bera-journals.onlinelibrary.wiley.com/doi/10.1002/berj.70198" </w:instrText>
      </w:r>
      <w:r>
        <w:fldChar w:fldCharType="separate"/>
      </w:r>
      <w:r w:rsidRPr="000A73EA" w:rsidR="00922E69">
        <w:rPr>
          <w:rStyle w:val="Hyperlink"/>
        </w:rPr>
        <w:t>Ainsworth et al., 2026b</w:t>
      </w:r>
      <w:r>
        <w:fldChar w:fldCharType="end"/>
      </w:r>
      <w:r w:rsidR="00922E69">
        <w:t xml:space="preserve">). </w:t>
      </w:r>
    </w:p>
    <w:p w:rsidR="008B6214" w:rsidP="008B6214">
      <w:pPr>
        <w:pStyle w:val="ListParagraph"/>
        <w:numPr>
          <w:ilvl w:val="0"/>
          <w:numId w:val="3"/>
        </w:numPr>
      </w:pPr>
      <w:r>
        <w:t xml:space="preserve">The commitment in the White Paper to encourage </w:t>
      </w:r>
      <w:r w:rsidRPr="00C26050">
        <w:rPr>
          <w:b/>
          <w:bCs/>
        </w:rPr>
        <w:t xml:space="preserve">wider uptake of the Education </w:t>
      </w:r>
      <w:r>
        <w:rPr>
          <w:b/>
          <w:bCs/>
        </w:rPr>
        <w:t xml:space="preserve">Staff </w:t>
      </w:r>
      <w:r w:rsidRPr="00C26050">
        <w:rPr>
          <w:b/>
          <w:bCs/>
        </w:rPr>
        <w:t xml:space="preserve">Wellbeing </w:t>
      </w:r>
      <w:r>
        <w:rPr>
          <w:b/>
          <w:bCs/>
        </w:rPr>
        <w:t>C</w:t>
      </w:r>
      <w:r w:rsidRPr="00C26050">
        <w:rPr>
          <w:b/>
          <w:bCs/>
        </w:rPr>
        <w:t>harter</w:t>
      </w:r>
      <w:r>
        <w:t xml:space="preserve"> is likely to be helpful in signalling to schools </w:t>
      </w:r>
      <w:r w:rsidRPr="00A2602C">
        <w:rPr>
          <w:i/>
          <w:iCs/>
        </w:rPr>
        <w:t>what</w:t>
      </w:r>
      <w:r>
        <w:t xml:space="preserve"> the expectations are in terms of supporting staff wellbeing; however, the organisational commitments set out within the charter come with little detail about </w:t>
      </w:r>
      <w:r w:rsidRPr="00A2602C">
        <w:rPr>
          <w:i/>
          <w:iCs/>
        </w:rPr>
        <w:t>how</w:t>
      </w:r>
      <w:r>
        <w:t xml:space="preserve"> these might be achieved in the context of limited resources, a leadership workforce which itself at his risk of burnout out and disengagement (</w:t>
      </w:r>
      <w:r>
        <w:fldChar w:fldCharType="begin"/>
      </w:r>
      <w:r>
        <w:instrText xml:space="preserve"> HYPERLINK "https://sustainableschoolleadership.uk/all-publications/" \l "FinalReport" </w:instrText>
      </w:r>
      <w:r>
        <w:fldChar w:fldCharType="separate"/>
      </w:r>
      <w:r w:rsidRPr="0033323A">
        <w:rPr>
          <w:rStyle w:val="Hyperlink"/>
        </w:rPr>
        <w:t>Greany et al., 2026</w:t>
      </w:r>
      <w:r>
        <w:fldChar w:fldCharType="end"/>
      </w:r>
      <w:r>
        <w:t>) and an accountability framework perceived by many as ‘toxic and brutal’ (</w:t>
      </w:r>
      <w:r>
        <w:fldChar w:fldCharType="begin"/>
      </w:r>
      <w:r>
        <w:instrText xml:space="preserve"> HYPERLINK "https://www.tandfonline.com/doi/full/10.1080/00071005.2024.2439791" </w:instrText>
      </w:r>
      <w:r>
        <w:fldChar w:fldCharType="separate"/>
      </w:r>
      <w:r w:rsidRPr="00371543" w:rsidR="00371543">
        <w:rPr>
          <w:rStyle w:val="Hyperlink"/>
        </w:rPr>
        <w:t>Perryman et al., 2025</w:t>
      </w:r>
      <w:r>
        <w:fldChar w:fldCharType="end"/>
      </w:r>
      <w:r w:rsidR="00725E53">
        <w:t>, p. 101</w:t>
      </w:r>
      <w:r>
        <w:t>), which heavily shapes school practices and school culture (</w:t>
      </w:r>
      <w:r>
        <w:fldChar w:fldCharType="begin"/>
      </w:r>
      <w:r>
        <w:instrText xml:space="preserve"> HYPERLINK "https://www.tandfonline.com/doi/full/10.1080/0305764X.2021.2011139" </w:instrText>
      </w:r>
      <w:r>
        <w:fldChar w:fldCharType="separate"/>
      </w:r>
      <w:r w:rsidRPr="005B5F94">
        <w:rPr>
          <w:rStyle w:val="Hyperlink"/>
        </w:rPr>
        <w:t>Oldfield &amp; Ainsworth, 202</w:t>
      </w:r>
      <w:r w:rsidRPr="005B5F94" w:rsidR="00940824">
        <w:rPr>
          <w:rStyle w:val="Hyperlink"/>
        </w:rPr>
        <w:t>2</w:t>
      </w:r>
      <w:r>
        <w:fldChar w:fldCharType="end"/>
      </w:r>
      <w:r>
        <w:t xml:space="preserve">; </w:t>
      </w:r>
      <w:r>
        <w:fldChar w:fldCharType="begin"/>
      </w:r>
      <w:r>
        <w:instrText xml:space="preserve"> HYPERLINK "https://bera-journals.onlinelibrary.wiley.com/doi/10.1002/berj.70198" </w:instrText>
      </w:r>
      <w:r>
        <w:fldChar w:fldCharType="separate"/>
      </w:r>
      <w:r w:rsidRPr="00A2602C">
        <w:rPr>
          <w:rStyle w:val="Hyperlink"/>
        </w:rPr>
        <w:t>Ainsworth et al., 2026b</w:t>
      </w:r>
      <w:r>
        <w:fldChar w:fldCharType="end"/>
      </w:r>
      <w:r>
        <w:t xml:space="preserve">). </w:t>
      </w:r>
    </w:p>
    <w:p w:rsidR="00CC0A54" w:rsidP="00CC0A54">
      <w:pPr>
        <w:ind w:firstLine="720"/>
        <w:rPr>
          <w:b/>
          <w:bCs/>
        </w:rPr>
      </w:pPr>
    </w:p>
    <w:p w:rsidR="00CC0A54" w:rsidRPr="00CC0A54" w:rsidP="00CC0A54">
      <w:pPr>
        <w:ind w:firstLine="720"/>
        <w:rPr>
          <w:b/>
          <w:bCs/>
        </w:rPr>
      </w:pPr>
    </w:p>
    <w:p w:rsidR="00281EBA" w:rsidP="000527F9">
      <w:pPr>
        <w:pStyle w:val="ListParagraph"/>
        <w:numPr>
          <w:ilvl w:val="0"/>
          <w:numId w:val="3"/>
        </w:numPr>
      </w:pPr>
      <w:r w:rsidRPr="008B5326">
        <w:rPr>
          <w:noProof/>
        </w:rPr>
        <w:drawing>
          <wp:anchor distT="0" distB="0" distL="114300" distR="114300" simplePos="0" relativeHeight="251667456" behindDoc="0" locked="0" layoutInCell="1" allowOverlap="1">
            <wp:simplePos x="0" y="0"/>
            <wp:positionH relativeFrom="margin">
              <wp:posOffset>4333355</wp:posOffset>
            </wp:positionH>
            <wp:positionV relativeFrom="paragraph">
              <wp:posOffset>-603011</wp:posOffset>
            </wp:positionV>
            <wp:extent cx="1597660" cy="609600"/>
            <wp:effectExtent l="0" t="0" r="2540" b="0"/>
            <wp:wrapNone/>
            <wp:docPr id="4031814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val="0"/>
                        </a:ext>
                      </a:extLst>
                    </a:blip>
                    <a:srcRect/>
                    <a:stretch>
                      <a:fillRect/>
                    </a:stretch>
                  </pic:blipFill>
                  <pic:spPr bwMode="auto">
                    <a:xfrm>
                      <a:off x="0" y="0"/>
                      <a:ext cx="1597660" cy="609600"/>
                    </a:xfrm>
                    <a:prstGeom prst="rect">
                      <a:avLst/>
                    </a:prstGeom>
                    <a:noFill/>
                    <a:ln>
                      <a:noFill/>
                    </a:ln>
                  </pic:spPr>
                </pic:pic>
              </a:graphicData>
            </a:graphic>
          </wp:anchor>
        </w:drawing>
      </w:r>
      <w:r w:rsidRPr="008B5326">
        <w:rPr>
          <w:noProof/>
        </w:rPr>
        <w:drawing>
          <wp:anchor distT="0" distB="0" distL="114300" distR="114300" simplePos="0" relativeHeight="251666432" behindDoc="0" locked="0" layoutInCell="1" allowOverlap="1">
            <wp:simplePos x="0" y="0"/>
            <wp:positionH relativeFrom="page">
              <wp:posOffset>17524</wp:posOffset>
            </wp:positionH>
            <wp:positionV relativeFrom="paragraph">
              <wp:posOffset>-845836</wp:posOffset>
            </wp:positionV>
            <wp:extent cx="3931920" cy="1118674"/>
            <wp:effectExtent l="0" t="0" r="0" b="5715"/>
            <wp:wrapNone/>
            <wp:docPr id="252384163" name="Picture 1" descr="IEconomic and Social Council and Education Research Pro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042161" name="Picture 1" descr="IEconomic and Social Council and Education Research Programme"/>
                    <pic:cNvPicPr/>
                  </pic:nvPicPr>
                  <pic:blipFill rotWithShape="1">
                    <a:blip xmlns:r="http://schemas.openxmlformats.org/officeDocument/2006/relationships" r:embed="rId4" cstate="print">
                      <a:extLst>
                        <a:ext uri="{28A0092B-C50C-407E-A947-70E740481C1C}">
                          <a14:useLocalDpi xmlns:a14="http://schemas.microsoft.com/office/drawing/2010/main"/>
                        </a:ext>
                      </a:extLst>
                    </a:blip>
                    <a:srcRect t="1888"/>
                    <a:stretch/>
                  </pic:blipFill>
                  <pic:spPr bwMode="auto">
                    <a:xfrm>
                      <a:off x="0" y="0"/>
                      <a:ext cx="3931920" cy="1118674"/>
                    </a:xfrm>
                    <a:prstGeom prst="rect">
                      <a:avLst/>
                    </a:prstGeom>
                    <a:ln>
                      <a:noFill/>
                    </a:ln>
                  </pic:spPr>
                </pic:pic>
              </a:graphicData>
            </a:graphic>
          </wp:anchor>
        </w:drawing>
      </w:r>
    </w:p>
    <w:p w:rsidR="00281EBA" w:rsidP="00281EBA">
      <w:pPr>
        <w:pStyle w:val="ListParagraph"/>
      </w:pPr>
    </w:p>
    <w:p w:rsidR="00C62717" w:rsidP="00281EBA">
      <w:pPr>
        <w:pStyle w:val="ListParagraph"/>
      </w:pPr>
    </w:p>
    <w:p w:rsidR="00CC0A54" w:rsidRPr="00CC0A54" w:rsidP="00CC0A54">
      <w:pPr>
        <w:ind w:firstLine="720"/>
        <w:rPr>
          <w:b/>
          <w:bCs/>
        </w:rPr>
      </w:pPr>
      <w:r w:rsidRPr="00C23AD2">
        <w:rPr>
          <w:b/>
          <w:bCs/>
        </w:rPr>
        <w:t>Support for school leaders</w:t>
      </w:r>
    </w:p>
    <w:p w:rsidR="00B819C6" w:rsidP="000527F9">
      <w:pPr>
        <w:pStyle w:val="ListParagraph"/>
        <w:numPr>
          <w:ilvl w:val="0"/>
          <w:numId w:val="3"/>
        </w:numPr>
      </w:pPr>
      <w:r>
        <w:t xml:space="preserve">Our research supports the proposal to provide </w:t>
      </w:r>
      <w:r w:rsidRPr="000527F9">
        <w:rPr>
          <w:b/>
          <w:bCs/>
        </w:rPr>
        <w:t>additional support for school leaders</w:t>
      </w:r>
      <w:r>
        <w:t>. School leaders in our study emphasised the increasing complexity of their work and the heavy burden of feeling responsible for their staff, their pupils, and their pupils’ families, while also working in what many of them perceived to be a broken, and underfunded system</w:t>
      </w:r>
      <w:r w:rsidR="00EB5DFF">
        <w:t xml:space="preserve"> </w:t>
      </w:r>
      <w:r w:rsidR="00371543">
        <w:t>(</w:t>
      </w:r>
      <w:r>
        <w:fldChar w:fldCharType="begin"/>
      </w:r>
      <w:r>
        <w:instrText xml:space="preserve"> HYPERLINK "https://bera-journals.onlinelibrary.wiley.com/doi/10.1002/berj.70198" </w:instrText>
      </w:r>
      <w:r>
        <w:fldChar w:fldCharType="separate"/>
      </w:r>
      <w:r w:rsidRPr="000A73EA" w:rsidR="00EB5DFF">
        <w:rPr>
          <w:rStyle w:val="Hyperlink"/>
        </w:rPr>
        <w:t>Ainsworth et al., 2026b</w:t>
      </w:r>
      <w:r>
        <w:fldChar w:fldCharType="end"/>
      </w:r>
      <w:r w:rsidR="00EB5DFF">
        <w:t>)</w:t>
      </w:r>
      <w:r>
        <w:t xml:space="preserve">. Additional support to manage these challenges is therefore likely to be welcome, but again, a commitment to tackling the structural challenges that leaders are faced with is also needed. </w:t>
      </w:r>
    </w:p>
    <w:p w:rsidR="000527F9" w:rsidP="000527F9">
      <w:pPr>
        <w:pStyle w:val="ListParagraph"/>
        <w:numPr>
          <w:ilvl w:val="0"/>
          <w:numId w:val="3"/>
        </w:numPr>
      </w:pPr>
      <w:r>
        <w:t xml:space="preserve">In this regard, the commitment to </w:t>
      </w:r>
      <w:r w:rsidRPr="00B819C6">
        <w:rPr>
          <w:b/>
          <w:bCs/>
        </w:rPr>
        <w:t>reinvestment in public services</w:t>
      </w:r>
      <w:r>
        <w:t xml:space="preserve"> has the potential to be very impactful for teacher and leader wellbeing and job satisfaction, given that </w:t>
      </w:r>
      <w:r w:rsidR="002B1AD6">
        <w:t>both teachers and leaders</w:t>
      </w:r>
      <w:r>
        <w:t xml:space="preserve"> frequently </w:t>
      </w:r>
      <w:r w:rsidR="002B1AD6">
        <w:t>describe</w:t>
      </w:r>
      <w:r>
        <w:t xml:space="preserve"> the broadening role of schools, to fill the gap in other public services, </w:t>
      </w:r>
      <w:r w:rsidR="002B1AD6">
        <w:t xml:space="preserve">as </w:t>
      </w:r>
      <w:r>
        <w:t>add</w:t>
      </w:r>
      <w:r w:rsidR="002B1AD6">
        <w:t>ing</w:t>
      </w:r>
      <w:r>
        <w:t xml:space="preserve"> substantial strain to their already full workloads. Again, it will be important for broader public service reforms to be made in consultation with key stakeholders.</w:t>
      </w:r>
    </w:p>
    <w:p w:rsidR="00034D99" w:rsidP="00034D99">
      <w:pPr>
        <w:pStyle w:val="ListParagraph"/>
        <w:numPr>
          <w:ilvl w:val="0"/>
          <w:numId w:val="3"/>
        </w:numPr>
      </w:pPr>
      <w:r>
        <w:t>Our research demonstrated that teachers and leaders benefit from opportunities to come together to explore the tensions that they face in their day-to-day work (</w:t>
      </w:r>
      <w:r>
        <w:fldChar w:fldCharType="begin"/>
      </w:r>
      <w:r>
        <w:instrText xml:space="preserve"> HYPERLINK "https://bera-journals.onlinelibrary.wiley.com/doi/10.1002/berj.70198" </w:instrText>
      </w:r>
      <w:r>
        <w:fldChar w:fldCharType="separate"/>
      </w:r>
      <w:r w:rsidRPr="00A2602C">
        <w:rPr>
          <w:rStyle w:val="Hyperlink"/>
        </w:rPr>
        <w:t>Ainsworth et al., 2026b</w:t>
      </w:r>
      <w:r>
        <w:fldChar w:fldCharType="end"/>
      </w:r>
      <w:r>
        <w:t xml:space="preserve">). The funding for leadership </w:t>
      </w:r>
      <w:r w:rsidRPr="000527F9">
        <w:rPr>
          <w:b/>
          <w:bCs/>
        </w:rPr>
        <w:t>coaching and mentoring</w:t>
      </w:r>
      <w:r>
        <w:t xml:space="preserve"> proposed in the White Paper might be impactful in this regard. However, our findings suggest that </w:t>
      </w:r>
      <w:r>
        <w:t>in order to</w:t>
      </w:r>
      <w:r>
        <w:t xml:space="preserve"> make a </w:t>
      </w:r>
      <w:r w:rsidR="00CA0E5F">
        <w:t>substantial</w:t>
      </w:r>
      <w:r>
        <w:t xml:space="preserve"> impact on staff wellbeing and job satisfaction, action is also needed to try to address the root causes of some of these tensions. </w:t>
      </w:r>
    </w:p>
    <w:p w:rsidR="00034D99" w:rsidRPr="00034D99" w:rsidP="00034D99">
      <w:pPr>
        <w:ind w:left="720"/>
        <w:rPr>
          <w:b/>
          <w:bCs/>
        </w:rPr>
      </w:pPr>
      <w:r w:rsidRPr="00034D99">
        <w:rPr>
          <w:b/>
          <w:bCs/>
        </w:rPr>
        <w:t>Professional Development</w:t>
      </w:r>
    </w:p>
    <w:p w:rsidR="000527F9" w:rsidP="00875139">
      <w:pPr>
        <w:pStyle w:val="ListParagraph"/>
        <w:numPr>
          <w:ilvl w:val="0"/>
          <w:numId w:val="3"/>
        </w:numPr>
      </w:pPr>
      <w:r>
        <w:t xml:space="preserve">The commitment to </w:t>
      </w:r>
      <w:r w:rsidRPr="000527F9">
        <w:rPr>
          <w:b/>
          <w:bCs/>
        </w:rPr>
        <w:t>career-long professional development</w:t>
      </w:r>
      <w:r>
        <w:t xml:space="preserve"> </w:t>
      </w:r>
      <w:r w:rsidR="00CA0E5F">
        <w:t xml:space="preserve">set out </w:t>
      </w:r>
      <w:r>
        <w:t>in the White Paper is also likely to have an impact on teacher wellbeing and job satisfaction. As stated above, competence was identified as being important for teacher resilience</w:t>
      </w:r>
      <w:r w:rsidR="00CA0E5F">
        <w:t xml:space="preserve"> in our research (</w:t>
      </w:r>
      <w:r>
        <w:fldChar w:fldCharType="begin"/>
      </w:r>
      <w:r>
        <w:instrText xml:space="preserve"> HYPERLINK "https://bera-journals.onlinelibrary.wiley.com/doi/10.1002/berj.70198" </w:instrText>
      </w:r>
      <w:r>
        <w:fldChar w:fldCharType="separate"/>
      </w:r>
      <w:r w:rsidRPr="000A73EA" w:rsidR="00CA0E5F">
        <w:rPr>
          <w:rStyle w:val="Hyperlink"/>
        </w:rPr>
        <w:t>Ainsworth et al., 2026b</w:t>
      </w:r>
      <w:r>
        <w:fldChar w:fldCharType="end"/>
      </w:r>
      <w:r w:rsidR="00CA0E5F">
        <w:t>)</w:t>
      </w:r>
      <w:r>
        <w:t>. Our analysis suggested that for teachers to feel positive about their work</w:t>
      </w:r>
      <w:r w:rsidR="008070EE">
        <w:t>,</w:t>
      </w:r>
      <w:r>
        <w:t xml:space="preserve"> they needed to feel capable</w:t>
      </w:r>
      <w:r w:rsidR="00875139">
        <w:t xml:space="preserve">, </w:t>
      </w:r>
      <w:r>
        <w:t>i.e. confident that they have the knowledge and skills they need, but also effective</w:t>
      </w:r>
      <w:r w:rsidR="00875139">
        <w:t xml:space="preserve">, </w:t>
      </w:r>
      <w:r>
        <w:t>i.e. able to do their job well in practice. The difference between the two is of relevance to the proposed reforms</w:t>
      </w:r>
      <w:r w:rsidR="00A2596A">
        <w:t>,</w:t>
      </w:r>
      <w:r>
        <w:t xml:space="preserve"> </w:t>
      </w:r>
      <w:r w:rsidR="00A2596A">
        <w:t>which</w:t>
      </w:r>
      <w:r>
        <w:t xml:space="preserve"> tend to focus on the </w:t>
      </w:r>
      <w:r w:rsidR="00A2596A">
        <w:t>former aspect</w:t>
      </w:r>
      <w:r w:rsidR="009C2520">
        <w:t>,</w:t>
      </w:r>
      <w:r>
        <w:t xml:space="preserve"> feeling capable. </w:t>
      </w:r>
    </w:p>
    <w:p w:rsidR="004E1C45" w:rsidP="000527F9">
      <w:pPr>
        <w:pStyle w:val="ListParagraph"/>
        <w:numPr>
          <w:ilvl w:val="0"/>
          <w:numId w:val="3"/>
        </w:numPr>
      </w:pPr>
      <w:r>
        <w:t>While teachers value opportunities to engage in high</w:t>
      </w:r>
      <w:r w:rsidR="009C2520">
        <w:t>-</w:t>
      </w:r>
      <w:r>
        <w:t>quality professional development</w:t>
      </w:r>
      <w:r w:rsidR="00466249">
        <w:t xml:space="preserve">, </w:t>
      </w:r>
      <w:r>
        <w:t xml:space="preserve">they also need to work in a culture </w:t>
      </w:r>
      <w:r w:rsidR="0077692C">
        <w:t>where</w:t>
      </w:r>
      <w:r>
        <w:t xml:space="preserve"> the substantial challenges they face </w:t>
      </w:r>
      <w:r w:rsidR="00EB35B5">
        <w:t xml:space="preserve">are </w:t>
      </w:r>
      <w:r w:rsidR="00EB35B5">
        <w:t>reecognised</w:t>
      </w:r>
      <w:r>
        <w:t xml:space="preserve">, and </w:t>
      </w:r>
      <w:r w:rsidR="00466249">
        <w:t xml:space="preserve">where they are </w:t>
      </w:r>
      <w:r>
        <w:t>reassure</w:t>
      </w:r>
      <w:r w:rsidR="00466249">
        <w:t>d</w:t>
      </w:r>
      <w:r>
        <w:t xml:space="preserve"> that they are </w:t>
      </w:r>
    </w:p>
    <w:p w:rsidR="004E1C45" w:rsidP="004E1C45">
      <w:pPr>
        <w:pStyle w:val="ListParagraph"/>
      </w:pPr>
    </w:p>
    <w:p w:rsidR="004E1C45" w:rsidP="004E1C45">
      <w:pPr>
        <w:pStyle w:val="ListParagraph"/>
      </w:pPr>
      <w:r w:rsidRPr="008B5326">
        <w:rPr>
          <w:noProof/>
        </w:rPr>
        <w:drawing>
          <wp:anchor distT="0" distB="0" distL="114300" distR="114300" simplePos="0" relativeHeight="251669504" behindDoc="0" locked="0" layoutInCell="1" allowOverlap="1">
            <wp:simplePos x="0" y="0"/>
            <wp:positionH relativeFrom="margin">
              <wp:align>right</wp:align>
            </wp:positionH>
            <wp:positionV relativeFrom="paragraph">
              <wp:posOffset>-611422</wp:posOffset>
            </wp:positionV>
            <wp:extent cx="1598103" cy="609600"/>
            <wp:effectExtent l="0" t="0" r="2540" b="0"/>
            <wp:wrapNone/>
            <wp:docPr id="6204298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val="0"/>
                        </a:ext>
                      </a:extLst>
                    </a:blip>
                    <a:srcRect/>
                    <a:stretch>
                      <a:fillRect/>
                    </a:stretch>
                  </pic:blipFill>
                  <pic:spPr bwMode="auto">
                    <a:xfrm>
                      <a:off x="0" y="0"/>
                      <a:ext cx="1598103" cy="609600"/>
                    </a:xfrm>
                    <a:prstGeom prst="rect">
                      <a:avLst/>
                    </a:prstGeom>
                    <a:noFill/>
                    <a:ln>
                      <a:noFill/>
                    </a:ln>
                  </pic:spPr>
                </pic:pic>
              </a:graphicData>
            </a:graphic>
          </wp:anchor>
        </w:drawing>
      </w:r>
      <w:r w:rsidRPr="008B5326" w:rsidR="00034D99">
        <w:rPr>
          <w:noProof/>
        </w:rPr>
        <w:drawing>
          <wp:anchor distT="0" distB="0" distL="114300" distR="114300" simplePos="0" relativeHeight="251668480" behindDoc="0" locked="0" layoutInCell="1" allowOverlap="1">
            <wp:simplePos x="0" y="0"/>
            <wp:positionH relativeFrom="page">
              <wp:posOffset>71186</wp:posOffset>
            </wp:positionH>
            <wp:positionV relativeFrom="paragraph">
              <wp:posOffset>-882650</wp:posOffset>
            </wp:positionV>
            <wp:extent cx="3931920" cy="1118235"/>
            <wp:effectExtent l="0" t="0" r="0" b="5715"/>
            <wp:wrapNone/>
            <wp:docPr id="1635691726" name="Picture 1" descr="IEconomic and Social Council and Education Research Pro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042161" name="Picture 1" descr="IEconomic and Social Council and Education Research Programme"/>
                    <pic:cNvPicPr/>
                  </pic:nvPicPr>
                  <pic:blipFill rotWithShape="1">
                    <a:blip xmlns:r="http://schemas.openxmlformats.org/officeDocument/2006/relationships" r:embed="rId4" cstate="print">
                      <a:extLst>
                        <a:ext uri="{28A0092B-C50C-407E-A947-70E740481C1C}">
                          <a14:useLocalDpi xmlns:a14="http://schemas.microsoft.com/office/drawing/2010/main"/>
                        </a:ext>
                      </a:extLst>
                    </a:blip>
                    <a:srcRect t="1888"/>
                    <a:stretch/>
                  </pic:blipFill>
                  <pic:spPr bwMode="auto">
                    <a:xfrm>
                      <a:off x="0" y="0"/>
                      <a:ext cx="3931920" cy="1118235"/>
                    </a:xfrm>
                    <a:prstGeom prst="rect">
                      <a:avLst/>
                    </a:prstGeom>
                    <a:ln>
                      <a:noFill/>
                    </a:ln>
                  </pic:spPr>
                </pic:pic>
              </a:graphicData>
            </a:graphic>
          </wp:anchor>
        </w:drawing>
      </w:r>
    </w:p>
    <w:p w:rsidR="00D15CE5" w:rsidP="00034D99">
      <w:pPr>
        <w:pStyle w:val="ListParagraph"/>
      </w:pPr>
    </w:p>
    <w:p w:rsidR="00D9285D" w:rsidP="00034D99">
      <w:pPr>
        <w:pStyle w:val="ListParagraph"/>
      </w:pPr>
      <w:r>
        <w:t xml:space="preserve">doing a good enough job. Teachers spoke frequently about </w:t>
      </w:r>
      <w:r w:rsidR="00BD12E7">
        <w:t xml:space="preserve">feeling </w:t>
      </w:r>
      <w:r w:rsidR="009E1B55">
        <w:t>guilty about not having been able to meet all their pupils needs</w:t>
      </w:r>
      <w:r>
        <w:t xml:space="preserve">; this </w:t>
      </w:r>
      <w:r w:rsidR="009E1B55">
        <w:t>was often described a</w:t>
      </w:r>
      <w:r w:rsidR="00594AD1">
        <w:t xml:space="preserve">s not been due to </w:t>
      </w:r>
      <w:r>
        <w:t>a lack of training</w:t>
      </w:r>
      <w:r w:rsidR="002066E1">
        <w:t xml:space="preserve">, </w:t>
      </w:r>
      <w:r>
        <w:t xml:space="preserve">but rather </w:t>
      </w:r>
      <w:r w:rsidR="00594AD1">
        <w:t>due to</w:t>
      </w:r>
      <w:r>
        <w:t xml:space="preserve"> a misalignment between what </w:t>
      </w:r>
      <w:r w:rsidR="002066E1">
        <w:t>is</w:t>
      </w:r>
      <w:r>
        <w:t xml:space="preserve"> expected of them and what </w:t>
      </w:r>
      <w:r w:rsidR="00CC0A54">
        <w:t>i</w:t>
      </w:r>
      <w:r>
        <w:t>s possible with the resources available (</w:t>
      </w:r>
      <w:r>
        <w:fldChar w:fldCharType="begin"/>
      </w:r>
      <w:r>
        <w:instrText xml:space="preserve"> HYPERLINK "https://bera-journals.onlinelibrary.wiley.com/doi/10.1002/berj.70198" </w:instrText>
      </w:r>
      <w:r>
        <w:fldChar w:fldCharType="separate"/>
      </w:r>
      <w:r w:rsidRPr="000A73EA" w:rsidR="00594AD1">
        <w:rPr>
          <w:rStyle w:val="Hyperlink"/>
        </w:rPr>
        <w:t>Ainsworth et al., 2026b</w:t>
      </w:r>
      <w:r>
        <w:fldChar w:fldCharType="end"/>
      </w:r>
      <w:r>
        <w:t xml:space="preserve">). </w:t>
      </w:r>
    </w:p>
    <w:p w:rsidR="000527F9" w:rsidP="00D9285D">
      <w:pPr>
        <w:pStyle w:val="ListParagraph"/>
        <w:numPr>
          <w:ilvl w:val="0"/>
          <w:numId w:val="3"/>
        </w:numPr>
      </w:pPr>
      <w:r>
        <w:t xml:space="preserve">Our research suggests that </w:t>
      </w:r>
      <w:r>
        <w:t>in order for</w:t>
      </w:r>
      <w:r>
        <w:t xml:space="preserve"> teachers to feel good enough, which, in turn is important for both wellbeing and job satisfaction (</w:t>
      </w:r>
      <w:r>
        <w:fldChar w:fldCharType="begin"/>
      </w:r>
      <w:r>
        <w:instrText xml:space="preserve"> HYPERLINK "https://bera-journals.onlinelibrary.wiley.com/doi/10.1002/rev3.70204" </w:instrText>
      </w:r>
      <w:r>
        <w:fldChar w:fldCharType="separate"/>
      </w:r>
      <w:r w:rsidRPr="00CC48EE" w:rsidR="00CC48EE">
        <w:rPr>
          <w:rStyle w:val="Hyperlink"/>
        </w:rPr>
        <w:t>Ainsworth et al., 2026a</w:t>
      </w:r>
      <w:r>
        <w:fldChar w:fldCharType="end"/>
      </w:r>
      <w:r>
        <w:t>), they need to work in a culture where it feels safe to make mistakes and where there are realistic expectations. As noted by one primary teacher, ‘You just want to be a superwoman that looks like they can do it all, and actually, we can’t’</w:t>
      </w:r>
      <w:r w:rsidR="006C7F4E">
        <w:t xml:space="preserve"> </w:t>
      </w:r>
      <w:r w:rsidR="003A1806">
        <w:t>(Primary teacher) (</w:t>
      </w:r>
      <w:r>
        <w:fldChar w:fldCharType="begin"/>
      </w:r>
      <w:r>
        <w:instrText xml:space="preserve"> HYPERLINK "https://bera-journals.onlinelibrary.wiley.com/doi/10.1002/berj.70198" </w:instrText>
      </w:r>
      <w:r>
        <w:fldChar w:fldCharType="separate"/>
      </w:r>
      <w:r w:rsidRPr="000A73EA" w:rsidR="003A1806">
        <w:rPr>
          <w:rStyle w:val="Hyperlink"/>
        </w:rPr>
        <w:t>Ainsworth et al., 2026b</w:t>
      </w:r>
      <w:r>
        <w:fldChar w:fldCharType="end"/>
      </w:r>
      <w:r w:rsidR="003A1806">
        <w:t>)</w:t>
      </w:r>
      <w:r>
        <w:t>.</w:t>
      </w:r>
    </w:p>
    <w:p w:rsidR="008B6214" w:rsidRPr="008B6214" w:rsidP="008B6214">
      <w:pPr>
        <w:ind w:left="720"/>
        <w:rPr>
          <w:b/>
          <w:bCs/>
        </w:rPr>
      </w:pPr>
      <w:r w:rsidRPr="008B6214">
        <w:rPr>
          <w:b/>
          <w:bCs/>
        </w:rPr>
        <w:t>Reforms to complaints processes</w:t>
      </w:r>
    </w:p>
    <w:p w:rsidR="00533CB7" w:rsidP="008B6214">
      <w:pPr>
        <w:pStyle w:val="ListParagraph"/>
        <w:numPr>
          <w:ilvl w:val="0"/>
          <w:numId w:val="3"/>
        </w:numPr>
      </w:pPr>
      <w:r>
        <w:t xml:space="preserve">The White Paper’s proposal to </w:t>
      </w:r>
      <w:r w:rsidRPr="00346E3C">
        <w:rPr>
          <w:b/>
          <w:bCs/>
        </w:rPr>
        <w:t>simplify complaints processes</w:t>
      </w:r>
      <w:r>
        <w:t xml:space="preserve"> has the potential to support improved wellbeing and job satisfaction. Teachers and leaders spoke often in our study about the emotional toll </w:t>
      </w:r>
      <w:r w:rsidR="0049469C">
        <w:t>and workload burden associated with parental complaints</w:t>
      </w:r>
      <w:r>
        <w:t>. As with all school reforms, it will be important for the new processes to be developed in consultation with teachers, school leaders and parents.</w:t>
      </w:r>
      <w:r>
        <w:t xml:space="preserve"> </w:t>
      </w:r>
    </w:p>
    <w:p w:rsidR="00022F0D" w:rsidRPr="004E1C45" w:rsidP="004E1C45">
      <w:pPr>
        <w:ind w:firstLine="720"/>
        <w:rPr>
          <w:b/>
          <w:bCs/>
        </w:rPr>
      </w:pPr>
      <w:r w:rsidRPr="004E1C45">
        <w:rPr>
          <w:b/>
          <w:bCs/>
        </w:rPr>
        <w:t>Addressing value conflict as a key barrier to job satisfaction</w:t>
      </w:r>
    </w:p>
    <w:p w:rsidR="00F84F8D" w:rsidP="009F6849">
      <w:pPr>
        <w:pStyle w:val="ListParagraph"/>
        <w:numPr>
          <w:ilvl w:val="0"/>
          <w:numId w:val="3"/>
        </w:numPr>
      </w:pPr>
      <w:r>
        <w:t xml:space="preserve">As mentioned above </w:t>
      </w:r>
      <w:r w:rsidR="00594AD1">
        <w:t>our survey found</w:t>
      </w:r>
      <w:r>
        <w:t xml:space="preserve"> </w:t>
      </w:r>
      <w:r w:rsidRPr="0018693F">
        <w:rPr>
          <w:b/>
          <w:bCs/>
        </w:rPr>
        <w:t>conflict between beliefs and practice</w:t>
      </w:r>
      <w:r>
        <w:t xml:space="preserve"> (or value conflict) </w:t>
      </w:r>
      <w:r>
        <w:t xml:space="preserve">to be </w:t>
      </w:r>
      <w:r>
        <w:t>an important predictor of both job satisfaction and risk of burnout</w:t>
      </w:r>
      <w:r w:rsidR="001E5AF5">
        <w:t xml:space="preserve"> (</w:t>
      </w:r>
      <w:r>
        <w:fldChar w:fldCharType="begin"/>
      </w:r>
      <w:r>
        <w:instrText xml:space="preserve"> HYPERLINK "https://bera-journals.onlinelibrary.wiley.com/doi/10.1002/rev3.70204" </w:instrText>
      </w:r>
      <w:r>
        <w:fldChar w:fldCharType="separate"/>
      </w:r>
      <w:r w:rsidRPr="00CC48EE" w:rsidR="001E5AF5">
        <w:rPr>
          <w:rStyle w:val="Hyperlink"/>
        </w:rPr>
        <w:t>Ainsworth et al., 2026a</w:t>
      </w:r>
      <w:r>
        <w:fldChar w:fldCharType="end"/>
      </w:r>
      <w:r w:rsidR="001E5AF5">
        <w:t>)</w:t>
      </w:r>
      <w:r>
        <w:t xml:space="preserve">; however, the reforms set out in the White Paper do not address this issue. Our qualitative findings provided further insight into some of the key drivers of </w:t>
      </w:r>
      <w:r w:rsidRPr="0018693F">
        <w:rPr>
          <w:b/>
          <w:bCs/>
        </w:rPr>
        <w:t xml:space="preserve">value conflict </w:t>
      </w:r>
      <w:r>
        <w:t xml:space="preserve">and teachers and leaders thoughts on what needs to be done to minimise this. </w:t>
      </w:r>
    </w:p>
    <w:p w:rsidR="004E1C45" w:rsidP="009F6849">
      <w:pPr>
        <w:pStyle w:val="ListParagraph"/>
        <w:numPr>
          <w:ilvl w:val="0"/>
          <w:numId w:val="3"/>
        </w:numPr>
      </w:pPr>
      <w:r>
        <w:t xml:space="preserve">Teachers frequently spoke of the distress that comes from trying to adopt a pupil-centred approach while trying to deliver a crammed, one-size-fits all curriculum in a culture which compels schools to focus on arbitrary data thresholds rather than </w:t>
      </w:r>
      <w:r w:rsidR="00760389">
        <w:t xml:space="preserve">individual needs and interests </w:t>
      </w:r>
      <w:r>
        <w:t>(</w:t>
      </w:r>
      <w:r>
        <w:fldChar w:fldCharType="begin"/>
      </w:r>
      <w:r>
        <w:instrText xml:space="preserve"> HYPERLINK "https://bera-journals.onlinelibrary.wiley.com/doi/10.1002/berj.70198" </w:instrText>
      </w:r>
      <w:r>
        <w:fldChar w:fldCharType="separate"/>
      </w:r>
      <w:r w:rsidRPr="000A73EA" w:rsidR="00760389">
        <w:rPr>
          <w:rStyle w:val="Hyperlink"/>
        </w:rPr>
        <w:t>Ainsworth et al., 2026b</w:t>
      </w:r>
      <w:r>
        <w:fldChar w:fldCharType="end"/>
      </w:r>
      <w:r>
        <w:t xml:space="preserve">). While the focus of the White Paper articulates a vision to reconcile holistic thriving with a continued focus on academic outcomes, it remains unclear how teachers will be expected to navigate this in practice. For example, it is hard to see how primary schools will be able to implement a truly broad and balanced curriculum when there remains such a </w:t>
      </w:r>
      <w:r>
        <w:t>high</w:t>
      </w:r>
      <w:r w:rsidR="00760389">
        <w:t>-</w:t>
      </w:r>
      <w:r>
        <w:t>stakes</w:t>
      </w:r>
      <w:r>
        <w:t xml:space="preserve"> focus on the assessment in the core subjects. It will be important to consult with schools about what tensions they see in the </w:t>
      </w:r>
      <w:r w:rsidR="00760389">
        <w:t>proposed reforms,</w:t>
      </w:r>
      <w:r>
        <w:t xml:space="preserve"> given that value conflict and the </w:t>
      </w:r>
    </w:p>
    <w:p w:rsidR="004E1C45" w:rsidP="00034D99">
      <w:pPr>
        <w:pStyle w:val="ListParagraph"/>
      </w:pPr>
    </w:p>
    <w:p w:rsidR="004E1C45" w:rsidP="004E1C45">
      <w:pPr>
        <w:pStyle w:val="ListParagraph"/>
      </w:pPr>
      <w:r w:rsidRPr="008B5326">
        <w:rPr>
          <w:noProof/>
        </w:rPr>
        <w:drawing>
          <wp:anchor distT="0" distB="0" distL="114300" distR="114300" simplePos="0" relativeHeight="251671552" behindDoc="0" locked="0" layoutInCell="1" allowOverlap="1">
            <wp:simplePos x="0" y="0"/>
            <wp:positionH relativeFrom="margin">
              <wp:posOffset>4169781</wp:posOffset>
            </wp:positionH>
            <wp:positionV relativeFrom="paragraph">
              <wp:posOffset>-603769</wp:posOffset>
            </wp:positionV>
            <wp:extent cx="1597660" cy="609600"/>
            <wp:effectExtent l="0" t="0" r="2540" b="0"/>
            <wp:wrapNone/>
            <wp:docPr id="1432857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val="0"/>
                        </a:ext>
                      </a:extLst>
                    </a:blip>
                    <a:srcRect/>
                    <a:stretch>
                      <a:fillRect/>
                    </a:stretch>
                  </pic:blipFill>
                  <pic:spPr bwMode="auto">
                    <a:xfrm>
                      <a:off x="0" y="0"/>
                      <a:ext cx="1597660" cy="609600"/>
                    </a:xfrm>
                    <a:prstGeom prst="rect">
                      <a:avLst/>
                    </a:prstGeom>
                    <a:noFill/>
                    <a:ln>
                      <a:noFill/>
                    </a:ln>
                  </pic:spPr>
                </pic:pic>
              </a:graphicData>
            </a:graphic>
          </wp:anchor>
        </w:drawing>
      </w:r>
      <w:r w:rsidRPr="008B5326">
        <w:rPr>
          <w:noProof/>
        </w:rPr>
        <w:drawing>
          <wp:anchor distT="0" distB="0" distL="114300" distR="114300" simplePos="0" relativeHeight="251670528" behindDoc="0" locked="0" layoutInCell="1" allowOverlap="1">
            <wp:simplePos x="0" y="0"/>
            <wp:positionH relativeFrom="page">
              <wp:posOffset>55245</wp:posOffset>
            </wp:positionH>
            <wp:positionV relativeFrom="paragraph">
              <wp:posOffset>-856375</wp:posOffset>
            </wp:positionV>
            <wp:extent cx="3931920" cy="1118674"/>
            <wp:effectExtent l="0" t="0" r="0" b="5715"/>
            <wp:wrapNone/>
            <wp:docPr id="1877246641" name="Picture 1" descr="IEconomic and Social Council and Education Research Pro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042161" name="Picture 1" descr="IEconomic and Social Council and Education Research Programme"/>
                    <pic:cNvPicPr/>
                  </pic:nvPicPr>
                  <pic:blipFill rotWithShape="1">
                    <a:blip xmlns:r="http://schemas.openxmlformats.org/officeDocument/2006/relationships" r:embed="rId4" cstate="print">
                      <a:extLst>
                        <a:ext uri="{28A0092B-C50C-407E-A947-70E740481C1C}">
                          <a14:useLocalDpi xmlns:a14="http://schemas.microsoft.com/office/drawing/2010/main"/>
                        </a:ext>
                      </a:extLst>
                    </a:blip>
                    <a:srcRect t="1888"/>
                    <a:stretch/>
                  </pic:blipFill>
                  <pic:spPr bwMode="auto">
                    <a:xfrm>
                      <a:off x="0" y="0"/>
                      <a:ext cx="3931920" cy="1118674"/>
                    </a:xfrm>
                    <a:prstGeom prst="rect">
                      <a:avLst/>
                    </a:prstGeom>
                    <a:ln>
                      <a:noFill/>
                    </a:ln>
                  </pic:spPr>
                </pic:pic>
              </a:graphicData>
            </a:graphic>
          </wp:anchor>
        </w:drawing>
      </w:r>
    </w:p>
    <w:p w:rsidR="004E1C45" w:rsidP="004E1C45">
      <w:pPr>
        <w:pStyle w:val="ListParagraph"/>
      </w:pPr>
    </w:p>
    <w:p w:rsidR="00034D99" w:rsidP="004E1C45">
      <w:pPr>
        <w:pStyle w:val="ListParagraph"/>
      </w:pPr>
    </w:p>
    <w:p w:rsidR="00C62717" w:rsidRPr="004E1C45" w:rsidP="004E1C45">
      <w:pPr>
        <w:pStyle w:val="ListParagraph"/>
      </w:pPr>
      <w:r>
        <w:t>sense of being asked to perform an impossible job are key barriers to job satisfaction</w:t>
      </w:r>
      <w:r w:rsidR="00760389">
        <w:t xml:space="preserve"> (</w:t>
      </w:r>
      <w:r>
        <w:fldChar w:fldCharType="begin"/>
      </w:r>
      <w:r>
        <w:instrText xml:space="preserve"> HYPERLINK "https://bera-journals.onlinelibrary.wiley.com/doi/10.1002/rev3.70204" </w:instrText>
      </w:r>
      <w:r>
        <w:fldChar w:fldCharType="separate"/>
      </w:r>
      <w:r w:rsidRPr="00C71C97" w:rsidR="00760389">
        <w:rPr>
          <w:rStyle w:val="Hyperlink"/>
        </w:rPr>
        <w:t>Ainsworth et al., 2026a</w:t>
      </w:r>
      <w:r>
        <w:fldChar w:fldCharType="end"/>
      </w:r>
      <w:r w:rsidR="00760389">
        <w:t xml:space="preserve">; </w:t>
      </w:r>
      <w:r>
        <w:fldChar w:fldCharType="begin"/>
      </w:r>
      <w:r>
        <w:instrText xml:space="preserve"> HYPERLINK "https://bera-journals.onlinelibrary.wiley.com/doi/10.1002/berj.70198" </w:instrText>
      </w:r>
      <w:r>
        <w:fldChar w:fldCharType="separate"/>
      </w:r>
      <w:r w:rsidRPr="000A73EA" w:rsidR="00760389">
        <w:rPr>
          <w:rStyle w:val="Hyperlink"/>
        </w:rPr>
        <w:t>Ainsworth et al., 2026b</w:t>
      </w:r>
      <w:r>
        <w:fldChar w:fldCharType="end"/>
      </w:r>
      <w:r w:rsidR="00760389">
        <w:t>)</w:t>
      </w:r>
      <w:r>
        <w:t>.</w:t>
      </w:r>
    </w:p>
    <w:p w:rsidR="0027737F" w:rsidRPr="004E1C45" w:rsidP="004E1C45">
      <w:pPr>
        <w:ind w:firstLine="720"/>
        <w:rPr>
          <w:b/>
          <w:bCs/>
        </w:rPr>
      </w:pPr>
      <w:r w:rsidRPr="001A5FD7">
        <w:rPr>
          <w:b/>
          <w:bCs/>
        </w:rPr>
        <w:t xml:space="preserve">A freely available toolkit to </w:t>
      </w:r>
      <w:r w:rsidRPr="001A5FD7" w:rsidR="00D13A2F">
        <w:rPr>
          <w:b/>
          <w:bCs/>
        </w:rPr>
        <w:t>support implementation of the reforms</w:t>
      </w:r>
    </w:p>
    <w:p w:rsidR="00D13A2F" w:rsidRPr="001A5FD7" w:rsidP="0018693F">
      <w:pPr>
        <w:pStyle w:val="ListParagraph"/>
        <w:numPr>
          <w:ilvl w:val="0"/>
          <w:numId w:val="3"/>
        </w:numPr>
      </w:pPr>
      <w:r>
        <w:t>Our freely available teacher resilience toolkit may</w:t>
      </w:r>
      <w:r w:rsidR="00760389">
        <w:t xml:space="preserve"> </w:t>
      </w:r>
      <w:r>
        <w:t xml:space="preserve">be a useful resource to support teachers and school leaders in reflecting on approaches to </w:t>
      </w:r>
      <w:r w:rsidRPr="00346E3C">
        <w:rPr>
          <w:b/>
          <w:bCs/>
        </w:rPr>
        <w:t>reduc</w:t>
      </w:r>
      <w:r w:rsidR="00760389">
        <w:rPr>
          <w:b/>
          <w:bCs/>
        </w:rPr>
        <w:t>ing</w:t>
      </w:r>
      <w:r w:rsidRPr="00346E3C">
        <w:rPr>
          <w:b/>
          <w:bCs/>
        </w:rPr>
        <w:t xml:space="preserve"> workload</w:t>
      </w:r>
      <w:r>
        <w:rPr>
          <w:b/>
          <w:bCs/>
        </w:rPr>
        <w:t xml:space="preserve"> and </w:t>
      </w:r>
      <w:r w:rsidR="00BD4BC1">
        <w:rPr>
          <w:b/>
          <w:bCs/>
        </w:rPr>
        <w:t>improv</w:t>
      </w:r>
      <w:r w:rsidR="00760389">
        <w:rPr>
          <w:b/>
          <w:bCs/>
        </w:rPr>
        <w:t>ing</w:t>
      </w:r>
      <w:r w:rsidR="00BD4BC1">
        <w:rPr>
          <w:b/>
          <w:bCs/>
        </w:rPr>
        <w:t xml:space="preserve"> teacher wellbeing and job satisfaction</w:t>
      </w:r>
      <w:r>
        <w:t xml:space="preserve">.  </w:t>
      </w:r>
      <w:r>
        <w:t>Th</w:t>
      </w:r>
      <w:r w:rsidR="00CC71BD">
        <w:t>e toolkit</w:t>
      </w:r>
      <w:r>
        <w:t xml:space="preserve"> includes modules </w:t>
      </w:r>
      <w:r w:rsidR="00D15B15">
        <w:t>focusing on</w:t>
      </w:r>
      <w:r w:rsidR="00386811">
        <w:t xml:space="preserve"> </w:t>
      </w:r>
      <w:r w:rsidR="00B11E2A">
        <w:t xml:space="preserve">school culture, leadership </w:t>
      </w:r>
      <w:r w:rsidRPr="001A5FD7" w:rsidR="00B11E2A">
        <w:t>practices, workload and value conflict</w:t>
      </w:r>
      <w:r w:rsidRPr="001A5FD7" w:rsidR="000732AD">
        <w:t xml:space="preserve"> as well as other factors found to be important for supporting a resilient education workforce.</w:t>
      </w:r>
    </w:p>
    <w:p w:rsidR="007E6F3F" w:rsidRPr="001A5FD7" w:rsidP="000732AD">
      <w:pPr>
        <w:pStyle w:val="ListParagraph"/>
        <w:numPr>
          <w:ilvl w:val="0"/>
          <w:numId w:val="3"/>
        </w:numPr>
      </w:pPr>
      <w:r w:rsidRPr="001A5FD7">
        <w:t xml:space="preserve">We are holding webinars to launch this resource in September. For further details, contact Prof Steph Ainsworth on </w:t>
      </w:r>
      <w:r>
        <w:fldChar w:fldCharType="begin"/>
      </w:r>
      <w:r>
        <w:instrText xml:space="preserve"> HYPERLINK "mailto:s.ainsworth@mmu.ac.uk" </w:instrText>
      </w:r>
      <w:r>
        <w:fldChar w:fldCharType="separate"/>
      </w:r>
      <w:r w:rsidRPr="001A5FD7">
        <w:rPr>
          <w:rStyle w:val="Hyperlink"/>
        </w:rPr>
        <w:t>s.ainsworth@mmu.ac.uk</w:t>
      </w:r>
      <w:r>
        <w:fldChar w:fldCharType="end"/>
      </w:r>
      <w:r w:rsidRPr="001A5FD7">
        <w:t>.</w:t>
      </w:r>
    </w:p>
    <w:p w:rsidR="007E6F3F" w:rsidRPr="001A5FD7" w:rsidP="007E6F3F">
      <w:pPr>
        <w:rPr>
          <w:b/>
          <w:bCs/>
        </w:rPr>
      </w:pPr>
      <w:r w:rsidRPr="001A5FD7">
        <w:rPr>
          <w:b/>
          <w:bCs/>
        </w:rPr>
        <w:t>Summary of recommendations</w:t>
      </w:r>
    </w:p>
    <w:p w:rsidR="007E6F3F" w:rsidRPr="001A5FD7" w:rsidP="007E6F3F">
      <w:pPr>
        <w:pStyle w:val="ListParagraph"/>
        <w:numPr>
          <w:ilvl w:val="0"/>
          <w:numId w:val="3"/>
        </w:numPr>
      </w:pPr>
      <w:r w:rsidRPr="001A5FD7">
        <w:t xml:space="preserve">The research broadly supports the White Paper’s focus on improving teacher wellbeing through workload reduction, positive school cultures, effective leadership, coaching, mentoring, and professional development. </w:t>
      </w:r>
    </w:p>
    <w:p w:rsidR="00675CCD" w:rsidRPr="001A5FD7" w:rsidP="007E6F3F">
      <w:pPr>
        <w:pStyle w:val="ListParagraph"/>
        <w:numPr>
          <w:ilvl w:val="0"/>
          <w:numId w:val="3"/>
        </w:numPr>
      </w:pPr>
      <w:r w:rsidRPr="001A5FD7">
        <w:t xml:space="preserve">However, it argues that these measures alone will not </w:t>
      </w:r>
      <w:r w:rsidRPr="001A5FD7" w:rsidR="00F97EA2">
        <w:t>substantially</w:t>
      </w:r>
      <w:r w:rsidRPr="001A5FD7">
        <w:t xml:space="preserve"> improve teacher wellbeing</w:t>
      </w:r>
      <w:r w:rsidRPr="001A5FD7" w:rsidR="00F97EA2">
        <w:t xml:space="preserve"> or</w:t>
      </w:r>
      <w:r w:rsidRPr="001A5FD7">
        <w:t xml:space="preserve"> job satisfaction, or burnout without</w:t>
      </w:r>
      <w:r w:rsidR="004B03DF">
        <w:t xml:space="preserve"> </w:t>
      </w:r>
      <w:r w:rsidR="004169DB">
        <w:t>considering the</w:t>
      </w:r>
      <w:r w:rsidR="004B03DF">
        <w:t xml:space="preserve"> key sources of value conflict in teachers, and making</w:t>
      </w:r>
      <w:r w:rsidR="004169DB">
        <w:t xml:space="preserve"> the associated</w:t>
      </w:r>
      <w:r w:rsidRPr="001A5FD7">
        <w:t xml:space="preserve"> structural reforms</w:t>
      </w:r>
      <w:r w:rsidR="004169DB">
        <w:t xml:space="preserve"> required to address them</w:t>
      </w:r>
      <w:r w:rsidRPr="001A5FD7">
        <w:t>.</w:t>
      </w:r>
    </w:p>
    <w:p w:rsidR="007E6F3F" w:rsidRPr="001A5FD7" w:rsidP="004E2EBC">
      <w:pPr>
        <w:pStyle w:val="ListParagraph"/>
        <w:numPr>
          <w:ilvl w:val="0"/>
          <w:numId w:val="3"/>
        </w:numPr>
      </w:pPr>
      <w:r w:rsidRPr="001A5FD7">
        <w:t xml:space="preserve">Our research </w:t>
      </w:r>
      <w:r w:rsidRPr="001A5FD7" w:rsidR="000A4ACA">
        <w:t xml:space="preserve">proposes that more ambitious reforms are needed: the development of a more supportive </w:t>
      </w:r>
      <w:r w:rsidRPr="001A5FD7" w:rsidR="00B34175">
        <w:t>accountability system</w:t>
      </w:r>
      <w:r w:rsidR="003F4EBF">
        <w:t xml:space="preserve">, </w:t>
      </w:r>
      <w:r w:rsidRPr="001A5FD7" w:rsidR="00A166CE">
        <w:t xml:space="preserve">increased staffing </w:t>
      </w:r>
      <w:r w:rsidRPr="001A5FD7" w:rsidR="00ED59E6">
        <w:t>to support effective SEND provision</w:t>
      </w:r>
      <w:r w:rsidR="003F4EBF">
        <w:t xml:space="preserve">, and more ambitious </w:t>
      </w:r>
      <w:r w:rsidRPr="001A5FD7" w:rsidR="003F4EBF">
        <w:t>curriculum and assessment reforms, allowing teachers to adopt a more inclusive pupil centred approach to teaching</w:t>
      </w:r>
      <w:r w:rsidR="003F4EBF">
        <w:t>.</w:t>
      </w:r>
    </w:p>
    <w:p w:rsidR="001A5FD7" w:rsidRPr="001A5FD7" w:rsidP="001A5FD7">
      <w:pPr>
        <w:pStyle w:val="ListParagraph"/>
        <w:numPr>
          <w:ilvl w:val="0"/>
          <w:numId w:val="3"/>
        </w:numPr>
      </w:pPr>
      <w:r w:rsidRPr="001A5FD7">
        <w:t xml:space="preserve">Our freely available </w:t>
      </w:r>
      <w:r>
        <w:fldChar w:fldCharType="begin"/>
      </w:r>
      <w:r>
        <w:instrText xml:space="preserve"> HYPERLINK "https://teacherresilience.mmu.ac.uk/" </w:instrText>
      </w:r>
      <w:r>
        <w:fldChar w:fldCharType="separate"/>
      </w:r>
      <w:r w:rsidRPr="00F32099">
        <w:rPr>
          <w:rStyle w:val="Hyperlink"/>
        </w:rPr>
        <w:t>teacher resilience toolkit</w:t>
      </w:r>
      <w:r>
        <w:fldChar w:fldCharType="end"/>
      </w:r>
      <w:r w:rsidRPr="001A5FD7">
        <w:t xml:space="preserve"> provides a</w:t>
      </w:r>
      <w:r w:rsidRPr="001A5FD7" w:rsidR="00675455">
        <w:t xml:space="preserve">n interactive resource </w:t>
      </w:r>
      <w:r w:rsidRPr="001A5FD7">
        <w:t xml:space="preserve">to support teachers </w:t>
      </w:r>
      <w:r w:rsidRPr="001A5FD7" w:rsidR="00675455">
        <w:t xml:space="preserve">and leaders to reflect on and augment their existing approaches to </w:t>
      </w:r>
      <w:r w:rsidRPr="001A5FD7" w:rsidR="00103992">
        <w:t xml:space="preserve">fostering </w:t>
      </w:r>
      <w:r w:rsidRPr="001A5FD7" w:rsidR="00C94BD3">
        <w:t xml:space="preserve">wellbeing and job satisfaction, including considerations of the </w:t>
      </w:r>
      <w:r w:rsidRPr="001A5FD7" w:rsidR="00103992">
        <w:t xml:space="preserve">tensions that </w:t>
      </w:r>
      <w:r w:rsidRPr="001A5FD7" w:rsidR="00C47436">
        <w:t>teachers and leaders face when trying to balance teacher wellbeing (and resilience more broadly) with systemic pressures.</w:t>
      </w:r>
    </w:p>
    <w:p w:rsidR="001A5FD7" w:rsidP="001A5FD7">
      <w:r w:rsidRPr="009F6849">
        <w:t xml:space="preserve">For further information or to discuss providing oral evidence, please contact Prof Steph Ainsworth: </w:t>
      </w:r>
      <w:r>
        <w:fldChar w:fldCharType="begin"/>
      </w:r>
      <w:r>
        <w:instrText xml:space="preserve"> HYPERLINK "mailto:s.ainsworth@mmu.ac.uk" </w:instrText>
      </w:r>
      <w:r>
        <w:fldChar w:fldCharType="separate"/>
      </w:r>
      <w:r w:rsidRPr="001A5FD7">
        <w:rPr>
          <w:rStyle w:val="Hyperlink"/>
          <w:b/>
          <w:bCs/>
        </w:rPr>
        <w:t>s.ainsworth@mmu.ac.uk</w:t>
      </w:r>
      <w:r>
        <w:fldChar w:fldCharType="end"/>
      </w:r>
      <w:r w:rsidRPr="009F6849">
        <w:t>.</w:t>
      </w:r>
    </w:p>
    <w:p w:rsidR="00C23AD2">
      <w:pPr>
        <w:rPr>
          <w:b/>
          <w:bCs/>
        </w:rPr>
      </w:pPr>
      <w:r>
        <w:rPr>
          <w:b/>
          <w:bCs/>
        </w:rPr>
        <w:br w:type="page"/>
      </w:r>
    </w:p>
    <w:p w:rsidR="00C23AD2" w:rsidP="001A5FD7">
      <w:pPr>
        <w:rPr>
          <w:b/>
          <w:bCs/>
        </w:rPr>
      </w:pPr>
      <w:r w:rsidRPr="008B5326">
        <w:rPr>
          <w:noProof/>
        </w:rPr>
        <w:drawing>
          <wp:anchor distT="0" distB="0" distL="114300" distR="114300" simplePos="0" relativeHeight="251672576" behindDoc="0" locked="0" layoutInCell="1" allowOverlap="1">
            <wp:simplePos x="0" y="0"/>
            <wp:positionH relativeFrom="page">
              <wp:posOffset>70914</wp:posOffset>
            </wp:positionH>
            <wp:positionV relativeFrom="paragraph">
              <wp:posOffset>-859609</wp:posOffset>
            </wp:positionV>
            <wp:extent cx="3931920" cy="1118235"/>
            <wp:effectExtent l="0" t="0" r="0" b="5715"/>
            <wp:wrapNone/>
            <wp:docPr id="1590927623" name="Picture 1" descr="IEconomic and Social Council and Education Research Pro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042161" name="Picture 1" descr="IEconomic and Social Council and Education Research Programme"/>
                    <pic:cNvPicPr/>
                  </pic:nvPicPr>
                  <pic:blipFill rotWithShape="1">
                    <a:blip xmlns:r="http://schemas.openxmlformats.org/officeDocument/2006/relationships" r:embed="rId4" cstate="print">
                      <a:extLst>
                        <a:ext uri="{28A0092B-C50C-407E-A947-70E740481C1C}">
                          <a14:useLocalDpi xmlns:a14="http://schemas.microsoft.com/office/drawing/2010/main"/>
                        </a:ext>
                      </a:extLst>
                    </a:blip>
                    <a:srcRect t="1888"/>
                    <a:stretch/>
                  </pic:blipFill>
                  <pic:spPr bwMode="auto">
                    <a:xfrm>
                      <a:off x="0" y="0"/>
                      <a:ext cx="3931920" cy="1118235"/>
                    </a:xfrm>
                    <a:prstGeom prst="rect">
                      <a:avLst/>
                    </a:prstGeom>
                    <a:ln>
                      <a:noFill/>
                    </a:ln>
                  </pic:spPr>
                </pic:pic>
              </a:graphicData>
            </a:graphic>
          </wp:anchor>
        </w:drawing>
      </w:r>
      <w:r w:rsidRPr="008B5326" w:rsidR="00034D99">
        <w:rPr>
          <w:noProof/>
        </w:rPr>
        <w:drawing>
          <wp:anchor distT="0" distB="0" distL="114300" distR="114300" simplePos="0" relativeHeight="251673600" behindDoc="0" locked="0" layoutInCell="1" allowOverlap="1">
            <wp:simplePos x="0" y="0"/>
            <wp:positionH relativeFrom="margin">
              <wp:align>right</wp:align>
            </wp:positionH>
            <wp:positionV relativeFrom="paragraph">
              <wp:posOffset>-499576</wp:posOffset>
            </wp:positionV>
            <wp:extent cx="1598103" cy="609600"/>
            <wp:effectExtent l="0" t="0" r="2540" b="0"/>
            <wp:wrapNone/>
            <wp:docPr id="6907422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val="0"/>
                        </a:ext>
                      </a:extLst>
                    </a:blip>
                    <a:srcRect/>
                    <a:stretch>
                      <a:fillRect/>
                    </a:stretch>
                  </pic:blipFill>
                  <pic:spPr bwMode="auto">
                    <a:xfrm>
                      <a:off x="0" y="0"/>
                      <a:ext cx="1598103" cy="609600"/>
                    </a:xfrm>
                    <a:prstGeom prst="rect">
                      <a:avLst/>
                    </a:prstGeom>
                    <a:noFill/>
                    <a:ln>
                      <a:noFill/>
                    </a:ln>
                  </pic:spPr>
                </pic:pic>
              </a:graphicData>
            </a:graphic>
          </wp:anchor>
        </w:drawing>
      </w:r>
    </w:p>
    <w:p w:rsidR="00C23AD2" w:rsidP="001A5FD7">
      <w:pPr>
        <w:rPr>
          <w:b/>
          <w:bCs/>
        </w:rPr>
      </w:pPr>
    </w:p>
    <w:p w:rsidR="004E2EBC" w:rsidRPr="004E2EBC" w:rsidP="001A5FD7">
      <w:pPr>
        <w:rPr>
          <w:b/>
          <w:bCs/>
        </w:rPr>
      </w:pPr>
      <w:r w:rsidRPr="004E2EBC">
        <w:rPr>
          <w:b/>
          <w:bCs/>
        </w:rPr>
        <w:t>References</w:t>
      </w:r>
    </w:p>
    <w:p w:rsidR="00FC3456" w:rsidP="00C60DFE">
      <w:r>
        <w:t xml:space="preserve">Ainsworth, S., </w:t>
      </w:r>
      <w:r w:rsidR="00B6791F">
        <w:t>Adamson, C., &amp; Oldfield, J. (2026a).</w:t>
      </w:r>
      <w:r w:rsidR="009F3D6F">
        <w:t xml:space="preserve"> </w:t>
      </w:r>
      <w:r w:rsidRPr="009F3D6F" w:rsidR="009F3D6F">
        <w:t>Exploring key predictors of teacher well-being, job satisfaction and burnout: Building a broader conceptualisation of teacher resilience</w:t>
      </w:r>
      <w:r w:rsidR="009F3D6F">
        <w:t xml:space="preserve">. </w:t>
      </w:r>
      <w:r w:rsidRPr="0066776C" w:rsidR="009F3D6F">
        <w:rPr>
          <w:i/>
          <w:iCs/>
        </w:rPr>
        <w:t>Review of Education, 14</w:t>
      </w:r>
      <w:r w:rsidR="009F3D6F">
        <w:t xml:space="preserve">(2), </w:t>
      </w:r>
      <w:r w:rsidR="00880713">
        <w:t>e</w:t>
      </w:r>
      <w:r w:rsidR="0066776C">
        <w:t xml:space="preserve">70204. </w:t>
      </w:r>
      <w:r>
        <w:fldChar w:fldCharType="begin"/>
      </w:r>
      <w:r>
        <w:instrText xml:space="preserve"> HYPERLINK "https://doi.org/10.1002/rev3.70204" </w:instrText>
      </w:r>
      <w:r>
        <w:fldChar w:fldCharType="separate"/>
      </w:r>
      <w:r w:rsidRPr="009467F5" w:rsidR="0066776C">
        <w:rPr>
          <w:rStyle w:val="Hyperlink"/>
        </w:rPr>
        <w:t>https://doi.org/10.1002/rev3.70204</w:t>
      </w:r>
      <w:r>
        <w:fldChar w:fldCharType="end"/>
      </w:r>
      <w:r w:rsidR="00F356C1">
        <w:t xml:space="preserve"> </w:t>
      </w:r>
    </w:p>
    <w:p w:rsidR="009F6849" w:rsidP="00C60DFE">
      <w:r w:rsidRPr="00C60DFE">
        <w:t xml:space="preserve">Ainsworth, </w:t>
      </w:r>
      <w:r>
        <w:t xml:space="preserve">S., </w:t>
      </w:r>
      <w:r w:rsidRPr="00C60DFE">
        <w:t xml:space="preserve">Adamson, </w:t>
      </w:r>
      <w:r>
        <w:t xml:space="preserve">C., </w:t>
      </w:r>
      <w:r w:rsidRPr="00C60DFE">
        <w:t xml:space="preserve">Agius, </w:t>
      </w:r>
      <w:r>
        <w:t xml:space="preserve">C., &amp; </w:t>
      </w:r>
      <w:r w:rsidRPr="00C60DFE">
        <w:t>Oldfield</w:t>
      </w:r>
      <w:r w:rsidR="00F801FA">
        <w:t xml:space="preserve">, J. (2026b). </w:t>
      </w:r>
      <w:r w:rsidRPr="00E26113" w:rsidR="00E26113">
        <w:t xml:space="preserve">What are the </w:t>
      </w:r>
      <w:r w:rsidRPr="00E26113" w:rsidR="00E26113">
        <w:t xml:space="preserve">possibilities </w:t>
      </w:r>
      <w:r w:rsidR="0066776C">
        <w:t xml:space="preserve"> </w:t>
      </w:r>
      <w:r w:rsidRPr="00E26113" w:rsidR="00E26113">
        <w:t>of</w:t>
      </w:r>
      <w:r w:rsidRPr="00E26113" w:rsidR="00E26113">
        <w:t xml:space="preserve"> a participatory approach in England</w:t>
      </w:r>
      <w:r w:rsidR="00E26113">
        <w:t xml:space="preserve">. </w:t>
      </w:r>
      <w:r w:rsidRPr="00E26113" w:rsidR="00E26113">
        <w:rPr>
          <w:i/>
          <w:iCs/>
        </w:rPr>
        <w:t>British Educational Research Journal, 52</w:t>
      </w:r>
      <w:r w:rsidR="00E26113">
        <w:t>(3), 1850-1877.</w:t>
      </w:r>
      <w:r w:rsidR="004443C4">
        <w:t xml:space="preserve"> </w:t>
      </w:r>
      <w:r>
        <w:fldChar w:fldCharType="begin"/>
      </w:r>
      <w:r>
        <w:instrText xml:space="preserve"> HYPERLINK "https://doi.org/10.1002/berj.70198" </w:instrText>
      </w:r>
      <w:r>
        <w:fldChar w:fldCharType="separate"/>
      </w:r>
      <w:r w:rsidRPr="009467F5" w:rsidR="004443C4">
        <w:rPr>
          <w:rStyle w:val="Hyperlink"/>
        </w:rPr>
        <w:t>https://doi.org/10.1002/berj.70198</w:t>
      </w:r>
      <w:r>
        <w:fldChar w:fldCharType="end"/>
      </w:r>
      <w:r w:rsidR="004443C4">
        <w:t xml:space="preserve"> </w:t>
      </w:r>
    </w:p>
    <w:p w:rsidR="004443C4" w:rsidP="00C60DFE">
      <w:r w:rsidRPr="00800001">
        <w:t xml:space="preserve">Ainsworth, S., &amp; Oldfield, J. (2019). Quantifying teacher resilience: Context matters. </w:t>
      </w:r>
      <w:r w:rsidRPr="00800001">
        <w:rPr>
          <w:i/>
          <w:iCs/>
        </w:rPr>
        <w:t>Teaching and Teacher Education, 82</w:t>
      </w:r>
      <w:r w:rsidRPr="00800001">
        <w:t>, 117</w:t>
      </w:r>
      <w:r>
        <w:t>-</w:t>
      </w:r>
      <w:r w:rsidRPr="00800001">
        <w:t>128.</w:t>
      </w:r>
      <w:r>
        <w:t xml:space="preserve"> </w:t>
      </w:r>
      <w:r>
        <w:fldChar w:fldCharType="begin"/>
      </w:r>
      <w:r>
        <w:instrText xml:space="preserve"> HYPERLINK "https://doi.org/10.1016/j.tate.2019.03.012" </w:instrText>
      </w:r>
      <w:r>
        <w:fldChar w:fldCharType="separate"/>
      </w:r>
      <w:r w:rsidRPr="009467F5">
        <w:rPr>
          <w:rStyle w:val="Hyperlink"/>
        </w:rPr>
        <w:t>https://doi.org/10.1016/j.tate.2019.03.012</w:t>
      </w:r>
      <w:r>
        <w:fldChar w:fldCharType="end"/>
      </w:r>
      <w:r>
        <w:t xml:space="preserve"> </w:t>
      </w:r>
    </w:p>
    <w:p w:rsidR="00440876" w:rsidP="000C4348">
      <w:r>
        <w:t xml:space="preserve">Greany, T., Thomson, P., Perry, T., &amp; Collins, M. (2026). </w:t>
      </w:r>
      <w:r w:rsidRPr="001E6E24">
        <w:rPr>
          <w:i/>
          <w:iCs/>
        </w:rPr>
        <w:t>Sustainable School Leadership: Final Report</w:t>
      </w:r>
      <w:r>
        <w:t>. University of Nottingham.</w:t>
      </w:r>
      <w:r w:rsidR="001E6E24">
        <w:t xml:space="preserve"> </w:t>
      </w:r>
      <w:r>
        <w:fldChar w:fldCharType="begin"/>
      </w:r>
      <w:r>
        <w:instrText xml:space="preserve"> HYPERLINK "https://sustainableschoolleadership.uk/all-publications/" \l "FinalReport" </w:instrText>
      </w:r>
      <w:r>
        <w:fldChar w:fldCharType="separate"/>
      </w:r>
      <w:r w:rsidRPr="009467F5" w:rsidR="001E6E24">
        <w:rPr>
          <w:rStyle w:val="Hyperlink"/>
        </w:rPr>
        <w:t>https://sustainableschoolleadership.uk/all-publications/#FinalReport</w:t>
      </w:r>
      <w:r>
        <w:fldChar w:fldCharType="end"/>
      </w:r>
      <w:r w:rsidR="001E6E24">
        <w:t xml:space="preserve"> </w:t>
      </w:r>
    </w:p>
    <w:p w:rsidR="00800001" w:rsidP="000C4348">
      <w:r w:rsidRPr="000C4348">
        <w:t>Oldfield, J., &amp; Ainsworth, S. (2022). Decentring the ‘resilient teacher’: exploring interactions between individuals and their social ecologies. </w:t>
      </w:r>
      <w:r w:rsidRPr="000C4348">
        <w:rPr>
          <w:i/>
          <w:iCs/>
        </w:rPr>
        <w:t>Cambridge Journal of Education</w:t>
      </w:r>
      <w:r w:rsidRPr="000C4348">
        <w:t>, </w:t>
      </w:r>
      <w:r w:rsidRPr="000C4348">
        <w:rPr>
          <w:i/>
          <w:iCs/>
        </w:rPr>
        <w:t>52</w:t>
      </w:r>
      <w:r w:rsidRPr="000C4348">
        <w:t xml:space="preserve">(4), 409–430. </w:t>
      </w:r>
      <w:r>
        <w:fldChar w:fldCharType="begin"/>
      </w:r>
      <w:r>
        <w:instrText xml:space="preserve"> HYPERLINK "https://doi.org/10.1080/0305764X.2021.2011139" </w:instrText>
      </w:r>
      <w:r>
        <w:fldChar w:fldCharType="separate"/>
      </w:r>
      <w:r w:rsidRPr="009467F5">
        <w:rPr>
          <w:rStyle w:val="Hyperlink"/>
        </w:rPr>
        <w:t>https://doi.org/10.1080/0305764X.2021.2011139</w:t>
      </w:r>
      <w:r>
        <w:fldChar w:fldCharType="end"/>
      </w:r>
      <w:r>
        <w:t xml:space="preserve"> </w:t>
      </w:r>
    </w:p>
    <w:p w:rsidR="00266758" w:rsidP="000C4348">
      <w:r w:rsidRPr="00266758">
        <w:t>Perryman, J., Bradbury, A., Calvert, G., &amp; Kilian, K. (2025). ‘A Tipping Point’ in Teacher Retention and Accountability: The Case of Inspection. </w:t>
      </w:r>
      <w:r w:rsidRPr="00266758">
        <w:rPr>
          <w:i/>
          <w:iCs/>
        </w:rPr>
        <w:t>British Journal of Educational Studies</w:t>
      </w:r>
      <w:r w:rsidRPr="00266758">
        <w:t>, </w:t>
      </w:r>
      <w:r w:rsidRPr="00266758">
        <w:rPr>
          <w:i/>
          <w:iCs/>
        </w:rPr>
        <w:t>73</w:t>
      </w:r>
      <w:r w:rsidRPr="00266758">
        <w:t xml:space="preserve">(2), 181–200. </w:t>
      </w:r>
      <w:r>
        <w:fldChar w:fldCharType="begin"/>
      </w:r>
      <w:r>
        <w:instrText xml:space="preserve"> HYPERLINK "https://doi.org/10.1080/00071005.2024.2439791" </w:instrText>
      </w:r>
      <w:r>
        <w:fldChar w:fldCharType="separate"/>
      </w:r>
      <w:r w:rsidRPr="009467F5">
        <w:rPr>
          <w:rStyle w:val="Hyperlink"/>
        </w:rPr>
        <w:t>https://doi.org/10.1080/00071005.2024.2439791</w:t>
      </w:r>
      <w:r>
        <w:fldChar w:fldCharType="end"/>
      </w:r>
      <w:r>
        <w:t xml:space="preserve"> </w:t>
      </w:r>
    </w:p>
    <w:p w:rsidR="00D12C6C" w:rsidP="004B709A">
      <w:r>
        <w:t xml:space="preserve">Ryan, R. M., &amp; Deci, E. L. (2000). </w:t>
      </w:r>
      <w:r w:rsidR="004B709A">
        <w:t xml:space="preserve">Self-Determination Theory and the Facilitation of Intrinsic Motivation, Social Development, and Well-Being. </w:t>
      </w:r>
      <w:r w:rsidRPr="00D756BE" w:rsidR="004B709A">
        <w:rPr>
          <w:i/>
          <w:iCs/>
        </w:rPr>
        <w:t>American Psychologist, 55</w:t>
      </w:r>
      <w:r w:rsidR="004B709A">
        <w:t xml:space="preserve">(1), 68-78, </w:t>
      </w:r>
      <w:r w:rsidRPr="00D756BE" w:rsidR="00D756BE">
        <w:t>DOI: 10.1037110003-066X.55.1.68</w:t>
      </w:r>
      <w:r w:rsidR="00D756BE">
        <w:t xml:space="preserve"> </w:t>
      </w:r>
    </w:p>
    <w:p w:rsidR="00730557" w:rsidRPr="00DD2001" w:rsidP="004B709A">
      <w:pPr>
        <w:rPr>
          <w:i/>
          <w:iCs/>
        </w:rPr>
      </w:pPr>
      <w:r w:rsidRPr="00DD2001">
        <w:rPr>
          <w:i/>
          <w:iCs/>
        </w:rPr>
        <w:t>September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E876803"/>
    <w:multiLevelType w:val="multilevel"/>
    <w:tmpl w:val="03123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0D6DE9"/>
    <w:multiLevelType w:val="multilevel"/>
    <w:tmpl w:val="5E80EA3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4A6C4F"/>
    <w:multiLevelType w:val="multilevel"/>
    <w:tmpl w:val="9EE2C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D61E9B"/>
    <w:multiLevelType w:val="multilevel"/>
    <w:tmpl w:val="8EC81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77F07FB"/>
    <w:multiLevelType w:val="multilevel"/>
    <w:tmpl w:val="99F82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813137"/>
    <w:multiLevelType w:val="hybridMultilevel"/>
    <w:tmpl w:val="6E2CF9D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2C61865"/>
    <w:multiLevelType w:val="multilevel"/>
    <w:tmpl w:val="2B048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BE01991"/>
    <w:multiLevelType w:val="multilevel"/>
    <w:tmpl w:val="0E68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D9F21BC"/>
    <w:multiLevelType w:val="multilevel"/>
    <w:tmpl w:val="9CF6F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4"/>
  </w:num>
  <w:num w:numId="5">
    <w:abstractNumId w:val="7"/>
  </w:num>
  <w:num w:numId="6">
    <w:abstractNumId w:val="6"/>
  </w:num>
  <w:num w:numId="7">
    <w:abstractNumId w:val="8"/>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E156C"/>
  </w:style>
  <w:style w:type="paragraph" w:styleId="Heading1">
    <w:name w:val="heading 1"/>
    <w:basedOn w:val="Normal"/>
    <w:next w:val="Normal"/>
    <w:link w:val="Heading1Char"/>
    <w:uiPriority w:val="9"/>
    <w:qFormat/>
    <w:rsid w:val="009F6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6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68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68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68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68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68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68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68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68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68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68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68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68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68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68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68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6849"/>
    <w:rPr>
      <w:rFonts w:eastAsiaTheme="majorEastAsia" w:cstheme="majorBidi"/>
      <w:color w:val="272727" w:themeColor="text1" w:themeTint="D8"/>
    </w:rPr>
  </w:style>
  <w:style w:type="paragraph" w:styleId="Title">
    <w:name w:val="Title"/>
    <w:basedOn w:val="Normal"/>
    <w:next w:val="Normal"/>
    <w:link w:val="TitleChar"/>
    <w:uiPriority w:val="10"/>
    <w:qFormat/>
    <w:rsid w:val="009F68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68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68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68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6849"/>
    <w:pPr>
      <w:spacing w:before="160"/>
      <w:jc w:val="center"/>
    </w:pPr>
    <w:rPr>
      <w:i/>
      <w:iCs/>
      <w:color w:val="404040" w:themeColor="text1" w:themeTint="BF"/>
    </w:rPr>
  </w:style>
  <w:style w:type="character" w:customStyle="1" w:styleId="QuoteChar">
    <w:name w:val="Quote Char"/>
    <w:basedOn w:val="DefaultParagraphFont"/>
    <w:link w:val="Quote"/>
    <w:uiPriority w:val="29"/>
    <w:rsid w:val="009F6849"/>
    <w:rPr>
      <w:i/>
      <w:iCs/>
      <w:color w:val="404040" w:themeColor="text1" w:themeTint="BF"/>
    </w:rPr>
  </w:style>
  <w:style w:type="paragraph" w:styleId="ListParagraph">
    <w:name w:val="List Paragraph"/>
    <w:basedOn w:val="Normal"/>
    <w:uiPriority w:val="34"/>
    <w:qFormat/>
    <w:rsid w:val="009F6849"/>
    <w:pPr>
      <w:ind w:left="720"/>
      <w:contextualSpacing/>
    </w:pPr>
  </w:style>
  <w:style w:type="character" w:styleId="IntenseEmphasis">
    <w:name w:val="Intense Emphasis"/>
    <w:basedOn w:val="DefaultParagraphFont"/>
    <w:uiPriority w:val="21"/>
    <w:qFormat/>
    <w:rsid w:val="009F6849"/>
    <w:rPr>
      <w:i/>
      <w:iCs/>
      <w:color w:val="0F4761" w:themeColor="accent1" w:themeShade="BF"/>
    </w:rPr>
  </w:style>
  <w:style w:type="paragraph" w:styleId="IntenseQuote">
    <w:name w:val="Intense Quote"/>
    <w:basedOn w:val="Normal"/>
    <w:next w:val="Normal"/>
    <w:link w:val="IntenseQuoteChar"/>
    <w:uiPriority w:val="30"/>
    <w:qFormat/>
    <w:rsid w:val="009F68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6849"/>
    <w:rPr>
      <w:i/>
      <w:iCs/>
      <w:color w:val="0F4761" w:themeColor="accent1" w:themeShade="BF"/>
    </w:rPr>
  </w:style>
  <w:style w:type="character" w:styleId="IntenseReference">
    <w:name w:val="Intense Reference"/>
    <w:basedOn w:val="DefaultParagraphFont"/>
    <w:uiPriority w:val="32"/>
    <w:qFormat/>
    <w:rsid w:val="009F6849"/>
    <w:rPr>
      <w:b/>
      <w:bCs/>
      <w:smallCaps/>
      <w:color w:val="0F4761" w:themeColor="accent1" w:themeShade="BF"/>
      <w:spacing w:val="5"/>
    </w:rPr>
  </w:style>
  <w:style w:type="character" w:styleId="Hyperlink">
    <w:name w:val="Hyperlink"/>
    <w:basedOn w:val="DefaultParagraphFont"/>
    <w:uiPriority w:val="99"/>
    <w:unhideWhenUsed/>
    <w:rsid w:val="009F6849"/>
    <w:rPr>
      <w:color w:val="467886" w:themeColor="hyperlink"/>
      <w:u w:val="single"/>
    </w:rPr>
  </w:style>
  <w:style w:type="character" w:customStyle="1" w:styleId="UnresolvedMention">
    <w:name w:val="Unresolved Mention"/>
    <w:basedOn w:val="DefaultParagraphFont"/>
    <w:uiPriority w:val="99"/>
    <w:semiHidden/>
    <w:unhideWhenUsed/>
    <w:rsid w:val="009F6849"/>
    <w:rPr>
      <w:color w:val="605E5C"/>
      <w:shd w:val="clear" w:color="auto" w:fill="E1DFDD"/>
    </w:rPr>
  </w:style>
  <w:style w:type="table" w:styleId="TableGrid">
    <w:name w:val="Table Grid"/>
    <w:basedOn w:val="TableNormal"/>
    <w:uiPriority w:val="39"/>
    <w:rsid w:val="009F68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E01EF"/>
    <w:rPr>
      <w:sz w:val="16"/>
      <w:szCs w:val="16"/>
    </w:rPr>
  </w:style>
  <w:style w:type="paragraph" w:styleId="CommentText">
    <w:name w:val="annotation text"/>
    <w:basedOn w:val="Normal"/>
    <w:link w:val="CommentTextChar"/>
    <w:uiPriority w:val="99"/>
    <w:unhideWhenUsed/>
    <w:rsid w:val="00FE01EF"/>
    <w:pPr>
      <w:spacing w:line="240" w:lineRule="auto"/>
    </w:pPr>
    <w:rPr>
      <w:sz w:val="20"/>
      <w:szCs w:val="20"/>
    </w:rPr>
  </w:style>
  <w:style w:type="character" w:customStyle="1" w:styleId="CommentTextChar">
    <w:name w:val="Comment Text Char"/>
    <w:basedOn w:val="DefaultParagraphFont"/>
    <w:link w:val="CommentText"/>
    <w:uiPriority w:val="99"/>
    <w:rsid w:val="00FE01EF"/>
    <w:rPr>
      <w:sz w:val="20"/>
      <w:szCs w:val="20"/>
    </w:rPr>
  </w:style>
  <w:style w:type="paragraph" w:styleId="CommentSubject">
    <w:name w:val="annotation subject"/>
    <w:basedOn w:val="CommentText"/>
    <w:next w:val="CommentText"/>
    <w:link w:val="CommentSubjectChar"/>
    <w:uiPriority w:val="99"/>
    <w:semiHidden/>
    <w:unhideWhenUsed/>
    <w:rsid w:val="00FE01EF"/>
    <w:rPr>
      <w:b/>
      <w:bCs/>
    </w:rPr>
  </w:style>
  <w:style w:type="character" w:customStyle="1" w:styleId="CommentSubjectChar">
    <w:name w:val="Comment Subject Char"/>
    <w:basedOn w:val="CommentTextChar"/>
    <w:link w:val="CommentSubject"/>
    <w:uiPriority w:val="99"/>
    <w:semiHidden/>
    <w:rsid w:val="00FE01EF"/>
    <w:rPr>
      <w:b/>
      <w:bCs/>
      <w:sz w:val="20"/>
      <w:szCs w:val="20"/>
    </w:rPr>
  </w:style>
  <w:style w:type="character" w:styleId="FollowedHyperlink">
    <w:name w:val="FollowedHyperlink"/>
    <w:basedOn w:val="DefaultParagraphFont"/>
    <w:uiPriority w:val="99"/>
    <w:semiHidden/>
    <w:unhideWhenUsed/>
    <w:rsid w:val="00D12C6C"/>
    <w:rPr>
      <w:color w:val="96607D" w:themeColor="followedHyperlink"/>
      <w:u w:val="single"/>
    </w:rPr>
  </w:style>
  <w:style w:type="paragraph" w:styleId="Header">
    <w:name w:val="header"/>
    <w:basedOn w:val="Normal"/>
    <w:link w:val="HeaderChar"/>
    <w:uiPriority w:val="99"/>
    <w:unhideWhenUsed/>
    <w:rsid w:val="007D4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FD9"/>
  </w:style>
  <w:style w:type="paragraph" w:styleId="Footer">
    <w:name w:val="footer"/>
    <w:basedOn w:val="Normal"/>
    <w:link w:val="FooterChar"/>
    <w:uiPriority w:val="99"/>
    <w:unhideWhenUsed/>
    <w:rsid w:val="007D4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ECA0170</dc:title>
  <cp:revision>0</cp:revision>
</cp:coreProperties>
</file>