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E007C" w:rsidRPr="009951B2">
      <w:pPr>
        <w:spacing w:after="60"/>
        <w:jc w:val="center"/>
        <w:rPr>
          <w:rFonts w:asciiTheme="majorHAnsi" w:hAnsiTheme="majorHAnsi" w:cstheme="majorHAnsi"/>
          <w:sz w:val="24"/>
          <w:szCs w:val="24"/>
        </w:rPr>
      </w:pPr>
      <w:r w:rsidRPr="009951B2">
        <w:rPr>
          <w:rFonts w:asciiTheme="majorHAnsi" w:hAnsiTheme="majorHAnsi" w:cstheme="majorHAnsi"/>
          <w:b/>
          <w:sz w:val="24"/>
          <w:szCs w:val="24"/>
        </w:rPr>
        <w:t>Written evidence submitted by Lloyd's Syndicate 1176</w:t>
      </w:r>
      <w:r w:rsidRPr="009951B2" w:rsidR="00F05FAC">
        <w:rPr>
          <w:rFonts w:asciiTheme="majorHAnsi" w:hAnsiTheme="majorHAnsi" w:cstheme="majorHAnsi"/>
          <w:b/>
          <w:sz w:val="24"/>
          <w:szCs w:val="24"/>
        </w:rPr>
        <w:t xml:space="preserve"> (</w:t>
      </w:r>
      <w:r w:rsidRPr="009951B2" w:rsidR="00BD6D14">
        <w:rPr>
          <w:rFonts w:asciiTheme="majorHAnsi" w:hAnsiTheme="majorHAnsi" w:cstheme="majorHAnsi"/>
          <w:b/>
          <w:sz w:val="24"/>
          <w:szCs w:val="24"/>
        </w:rPr>
        <w:t>NPP0005)</w:t>
      </w:r>
    </w:p>
    <w:p w:rsidR="00DE007C" w:rsidRPr="00AD779F" w:rsidP="005B12C8">
      <w:pPr>
        <w:pStyle w:val="EvidenceHeading1"/>
        <w:spacing w:before="240" w:after="240"/>
        <w:rPr>
          <w:rFonts w:asciiTheme="majorHAnsi" w:hAnsiTheme="majorHAnsi" w:cstheme="majorHAnsi"/>
        </w:rPr>
      </w:pPr>
      <w:r w:rsidRPr="00AD779F">
        <w:rPr>
          <w:rFonts w:asciiTheme="majorHAnsi" w:hAnsiTheme="majorHAnsi" w:cstheme="majorHAnsi"/>
        </w:rPr>
        <w:t>Executive Summary</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This evidence is submitted by Lloyd's Syndicate 1176, managed by the Chaucer Group.  Syndicate 1176 is the largest contributor of risk capacity to Nuclear Risk Insurers Limited (NRI) and NRI's leading member.  NRI manages the British nuclear insurance pool and is active in the emerging fusion market, having underwritten fusion risks.  That experience informs this evidence on how fusion technologies can be assessed and insured proportionately.</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evidence has been prepared by Michael Dawson, founder and Chief Underwriter of Syndicate 1176, which is the world's leading insurer of nuclear risk, and Jasbir Sidhu, consultant to Syndicate 1176 and past President of the Nuclear Institute.  Jasbir Sidhu is a career-long specialist in engineering and operational risk analysis developing Probabilistic Safety/Risk Assessment (PSA/PRA), which underpins safety cases for nuclear facilities.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This submission addresses all six questions in the Committee's call for evidence.  The Syndicate supports a distinct, proportionate, technology and output agnostic planning framework for fusion.  Fusion should not automatically inherit the nuclear site licensing, siting or third-party liability arrangements developed for fission.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central issue is how proportionality is demonstrated.  Fusion reactions stop when the external conditions needed to sustain them are lost, and fusion is expected to produce less long-lived radioactive material than fission.  Fusion facilities can nevertheless contain tritium, neutron-activated material and substantial electrical, magnetic, pressure, thermal or chemical stored energy.  Low projected public dose can coexist with material contamination, clean-up costs and economic disruption.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 xml:space="preserve">EN-1 provides the generic planning framework for environmental, health, safety, socioeconomic, waste and cumulative effects.  Draft EN-8 provides a useful fusion-specific foundation. </w:t>
      </w:r>
      <w:r>
        <w:rPr>
          <w:rFonts w:asciiTheme="majorHAnsi" w:hAnsiTheme="majorHAnsi" w:cstheme="majorHAnsi"/>
          <w:sz w:val="22"/>
        </w:rPr>
        <w:t xml:space="preserve"> </w:t>
      </w:r>
      <w:r w:rsidRPr="00AD779F">
        <w:rPr>
          <w:rFonts w:asciiTheme="majorHAnsi" w:hAnsiTheme="majorHAnsi" w:cstheme="majorHAnsi"/>
          <w:sz w:val="22"/>
        </w:rPr>
        <w:t>It should be strengthened by requiring applicants to integrate the complete site-wide radioactive inventory, stored-energy hazards and credible release mechanisms in one consequence assessment.  Flexibility should relate to technology choice, not to the completeness of the consequence assessment.</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removal of a fission-specific population-density restriction is not inherently contradictory.  A different hazard profile can justify different siting rules.  Population distribution must nevertheless remain relevant to site-specific consequence assessment, emergency planning and the maximum proposed build-out of a site.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Planning clarity will encourage investment, but bankability also depends on clear allocation of accident, recovery, third-party and decommissioning responsibilities.  EN-8 should recognise that interface and require the consequence information needed to inform it. The substantive liability, insurance and decommissioning-finance arrangements should be settled through the wider fusion policy and regulatory framework.</w:t>
      </w:r>
    </w:p>
    <w:p w:rsidR="00DE007C" w:rsidRPr="00AD779F" w:rsidP="005B12C8">
      <w:pPr>
        <w:pStyle w:val="EvidenceHeading1"/>
        <w:spacing w:before="240" w:after="240"/>
        <w:rPr>
          <w:rFonts w:asciiTheme="majorHAnsi" w:hAnsiTheme="majorHAnsi" w:cstheme="majorHAnsi"/>
        </w:rPr>
      </w:pPr>
      <w:r w:rsidRPr="00AD779F">
        <w:rPr>
          <w:rFonts w:asciiTheme="majorHAnsi" w:hAnsiTheme="majorHAnsi" w:cstheme="majorHAnsi"/>
        </w:rPr>
        <w:t>Principal Recommendations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that EN-8 require a proportionate, integrated assessment of the site-wide radioactive inventory, stored-energy hazards, credible release mechanisms and on-site and off-site consequences.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that the assessment cover tritium in process, storage, breeding, coolant, maintenance and waste systems; activation products; contaminated dust and aerosols; and the chemical and physical forms that determine environmental behaviour.</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that EN-8 cover interacting and common-cause hazards, accident recovery, remediation, safe reoccupation and restart, as well as the immediate emergency phase.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explicit assessment of occupational risks during fuel-cycle operations, maintenance, remote handling and internal-component replacement, including foreseeable abnormal work.</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aggregate assessment of multiple fusion devices, development phases and shared tritium, cooling, power, confinement and waste systems.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a bounded consented design envelope.  Material increases in inventory, neutron production, stored energy, accident source term, number of devices or waste liabilities should trigger reassessment.</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early engagement with insurers and reinsurers that have specialist energy and radiological risk expertise.  This would provide an early test of whether the proposed risks can be assessed, allocated and affirmatively transferred, and whether available capacity is compatible with the potential accumulation.</w:t>
      </w:r>
    </w:p>
    <w:p w:rsidR="00DE007C">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recommend that the Government clarify outside EN-8 who bears radiological third-party liability, how affected parties obtain compensation, how systemic accumulation will be controlled, what financial capacity will respond, and how decommissioning costs will be secured.</w:t>
      </w:r>
    </w:p>
    <w:p w:rsidR="00DE007C" w:rsidRPr="00AD779F">
      <w:pPr>
        <w:pStyle w:val="EvidenceParagraph"/>
        <w:numPr>
          <w:ilvl w:val="0"/>
          <w:numId w:val="1"/>
        </w:numPr>
        <w:rPr>
          <w:rFonts w:asciiTheme="majorHAnsi" w:hAnsiTheme="majorHAnsi" w:cstheme="majorHAnsi"/>
          <w:sz w:val="22"/>
        </w:rPr>
      </w:pPr>
      <w:r w:rsidRPr="009021D8">
        <w:rPr>
          <w:rFonts w:asciiTheme="majorHAnsi" w:hAnsiTheme="majorHAnsi" w:cstheme="majorHAnsi"/>
          <w:sz w:val="22"/>
        </w:rPr>
        <w:t>The Committee should recommend that EN</w:t>
      </w:r>
      <w:r w:rsidRPr="009021D8">
        <w:rPr>
          <w:rFonts w:ascii="Cambria Math" w:hAnsi="Cambria Math" w:cs="Cambria Math"/>
          <w:sz w:val="22"/>
        </w:rPr>
        <w:t>‑</w:t>
      </w:r>
      <w:r w:rsidRPr="009021D8">
        <w:rPr>
          <w:rFonts w:asciiTheme="majorHAnsi" w:hAnsiTheme="majorHAnsi" w:cstheme="majorHAnsi"/>
          <w:sz w:val="22"/>
        </w:rPr>
        <w:t xml:space="preserve">8 is reviewed at least every five years and that each project remains within a bounded, change-controlled consent basis. </w:t>
      </w:r>
      <w:r>
        <w:rPr>
          <w:rFonts w:asciiTheme="majorHAnsi" w:hAnsiTheme="majorHAnsi" w:cstheme="majorHAnsi"/>
          <w:sz w:val="22"/>
        </w:rPr>
        <w:t xml:space="preserve"> </w:t>
      </w:r>
      <w:r w:rsidRPr="009021D8">
        <w:rPr>
          <w:rFonts w:asciiTheme="majorHAnsi" w:hAnsiTheme="majorHAnsi" w:cstheme="majorHAnsi"/>
          <w:sz w:val="22"/>
        </w:rPr>
        <w:t xml:space="preserve">Five years after the first commercial fusion facility begins operation, the Government should also review the wider regulatory, liability and financial-protection framework using operational evidence. </w:t>
      </w:r>
      <w:r>
        <w:rPr>
          <w:rFonts w:asciiTheme="majorHAnsi" w:hAnsiTheme="majorHAnsi" w:cstheme="majorHAnsi"/>
          <w:sz w:val="22"/>
        </w:rPr>
        <w:t xml:space="preserve"> </w:t>
      </w:r>
      <w:r w:rsidRPr="009021D8">
        <w:rPr>
          <w:rFonts w:asciiTheme="majorHAnsi" w:hAnsiTheme="majorHAnsi" w:cstheme="majorHAnsi"/>
          <w:sz w:val="22"/>
        </w:rPr>
        <w:t>This should determine whether any elements of the Nuclear Installations Act framework are required and whether arrangements for third-party liability, insurance limits, safety, environmental protection, emergency planning, decommissioning and compensation remain proportionate and fit for purpose.</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1: Does EN-8 provide the basis to encourage investment in fusion energy in the UK?</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Yes, subject to targeted strengthening.  A dedicated National Policy Statement gives developers and investors a clearer route through the nationally significant infrastructure planning system.  Its technology-neutral approach avoids prematurely selecting a single fusion concept or fuel cycle and its separation from EN-7 avoids importing fission requirements without evidence that they are proportionate.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Investment confidence requires more than a route to development consent.</w:t>
      </w:r>
      <w:r>
        <w:rPr>
          <w:rFonts w:asciiTheme="majorHAnsi" w:hAnsiTheme="majorHAnsi" w:cstheme="majorHAnsi"/>
          <w:sz w:val="22"/>
        </w:rPr>
        <w:t xml:space="preserve"> </w:t>
      </w:r>
      <w:r w:rsidRPr="00AD779F">
        <w:rPr>
          <w:rFonts w:asciiTheme="majorHAnsi" w:hAnsiTheme="majorHAnsi" w:cstheme="majorHAnsi"/>
          <w:sz w:val="22"/>
        </w:rPr>
        <w:t xml:space="preserve"> Investors, lenders and insurers need to understand the credible maximum loss, the allocation of operational responsibilities, recovery and restart arrangements, third-party liability and the treatment of premature closure and decommissioning.  Uncertainty in those areas can delay a project even when the planning policy is clear.</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Draft EN-8 paragraphs 3.3.5 to 3.3.7 already require hazard evaluation, consequence assessment and suitable emergency arrangements.  That is a sound foundation.  EN-8 should explain more clearly that the assessment must join together the maximum credible releasable inventory, the energy capable of challenging confinement and the resulting property, environmental, occupational, community and economic consequences.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Early insurer engagement provides a practical test of whether risks have been identified, quantified and allocated.  It can identify gaps in accident scenarios, source terms, loss estimates and contractual interfaces before they become expensive to correct.  The Annex of bodies for early engagement should therefore include insurers and reinsurers with specialist energy and radiological risk expertise.</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2: Does the approach adequately balance flexibility, safety, and impacts on communities and the environment?</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Partially.  EN-1 already covers the generic environmental, health, safety, socioeconomic, waste and cumulative effects of major energy infrastructure.  EN-8 should not duplicate those provisions or turn the planning process into a second regulatory safety assessment.  Its role is to specify the fusion-specific information needed for siting, mitigation, emergency planning, recovery and a robust planning decision.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relevant radioactive inventory extends beyond the plasma.  For a deuterium-tritium facility it may include tritium in storage, feed, separation, breeding, extraction, purification, coolant, detritiation, maintenance and waste systems.  Applicants should state the nature, activity, chemical form and location of the inventory and identify the maximum credible releasable quantity and pathways to air, surface water, groundwater and soil.</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assessment must be specific to the proposed fuel cycle and materials.  Alternative fuel cycles may reduce tritium use or neutron output but can still generate tritium, neutrons or activation products through secondary reactions.  The demonstrated hazard, rather than the label attached to the technology, should determine the proportionate requirements.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Fusion facilities may contain substantial stored energy.  Pressurised coolant, high-energy electrical systems, magnets, cryogens, reactive breeder or coolant materials, fire, steam and hydrogen generation can damage confinement and mobilise radioactive material even though the fusion reaction has stopped.  EN-8 should require assessment of these combined and consequential events and the defence in depth protecting confinement.</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Environmental consequences depend on material form.  Tritiated water can move through watercourses, soil and biological systems and may be difficult to separate after dispersion.  Activated or tritium-contaminated dust and aerosols may be mobilised by air ingress, steam, fire or maintenance activity.  Consequence assessment should therefore extend beyond projected public dose to monitoring, restrictions, remediation, waste and recovery.</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Occupational risk may be greatest during inspection, fuel-cycle operations, maintenance and replacement of first-wall, divertor, blanket, diagnostic, vacuum, cooling and tritium-processing equipment.  Prompt radiation ceases when the reaction stops, but residual activation and tritium contamination can remain.  Foreseeable abnormal work should include tritium leaks, failure of remote-handling equipment, loss of contamination control and unplanned human intervention.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Section 2.6 permits multiple devices and phased development.  Assessment should cover the aggregate inventory and potential loss across the complete site, shared tritium, cooling, power, confinement and waste systems, and common-cause events affecting several devices.  It should also consider construction or commissioning along with operating equipment and the effect of an event in one phase on another.</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relevant consequences include on-site property damage and business interruption; off-site contamination; environmental investigation, monitoring and remediation; restrictions on access or land, water and food use; waste produced during recovery; occupational exposure; and potential harm to neighbouring people, property, businesses, agriculture and public infrastructure.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Emergency planning should cover the recovery phase as well as the immediate response.  Applicants should address contamination characterisation, access restrictions, environmental monitoring, public reassurance, remediation, waste management and criteria for safe reoccupation and restart.  This would protect communities while keeping requirements proportionate to the demonstrated hazard.</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3: Is removal of the Semi-Urban Population Density criterion contradictory?</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No.  Retention of the Semi-Urban Population Density criterion for fission in EN-7 does not require its automatic application to fusion.  The technologies have different inventories, accident mechanisms and potential source terms.</w:t>
      </w:r>
      <w:r>
        <w:rPr>
          <w:rFonts w:asciiTheme="majorHAnsi" w:hAnsiTheme="majorHAnsi" w:cstheme="majorHAnsi"/>
          <w:sz w:val="22"/>
        </w:rPr>
        <w:t xml:space="preserve"> </w:t>
      </w:r>
      <w:r w:rsidRPr="00AD779F">
        <w:rPr>
          <w:rFonts w:asciiTheme="majorHAnsi" w:hAnsiTheme="majorHAnsi" w:cstheme="majorHAnsi"/>
          <w:sz w:val="22"/>
        </w:rPr>
        <w:t xml:space="preserve"> A fission-specific population-density restriction need not be transferred where the evidence supports a different approach.</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Removal of a blanket restriction should not remove population from the assessment. Applicants should demonstrate the consequences of credible events for the actual population distribution around the site, the suitability of emergency arrangements and the effects of contamination or access restrictions on nearby communities and infrastructure.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assessment should reflect the maximum consented build-out, not only the first device or phase.  A site that is acceptable for one lower-inventory device may present a different consequence profile after additional devices, shared tritium systems or other ancillary infrastructure are introduced.</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should therefore support the removal of an automatic fission criterion while recommending that EN-8 retain a proportionate, consequence-led assessment of population distribution and site-wide development.</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4: Is EN-8 adequately future-proofed for advances in fusion technology?</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Partially.  Technology neutrality is the correct starting point, but it can create uncertainty if a Development Consent Order is sought before the final design, fuel cycle, inventory or number of devices is fixed.  Flexibility should sit within a clearly assessed design envelope.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application should define upper bounds for tritium and activation-product inventories, neutron production, stored electrical, magnetic, pressure, thermal and chemical energy, accident source terms, the number of devices and shared systems, and waste and decommissioning assumptions.  It should cover construction, commissioning, experimental operation, routine operation, maintenance and decommissioning.</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A later change in fuel cycle, coolant, breeder material, confinement, operating mode, inventory or site layout could materially change the consequences.  EN-8 should provide that a change beyond the assessed envelope triggers appropriate reassessment rather than being absorbed automatically within a broadly worded consent.</w:t>
      </w:r>
    </w:p>
    <w:p w:rsidR="00DE007C">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five-year review requirement for National Policy Statements is useful, but project-level controls are also needed because a single fusion project may evolve significantly between consent, commissioning and commercial operation.  The Committee should recommend both periodic review of EN-8 and a bounded, change-controlled consent basis for each project.</w:t>
      </w:r>
    </w:p>
    <w:p w:rsidR="00DE007C" w:rsidRPr="00AD779F">
      <w:pPr>
        <w:pStyle w:val="EvidenceParagraph"/>
        <w:numPr>
          <w:ilvl w:val="0"/>
          <w:numId w:val="1"/>
        </w:numPr>
        <w:rPr>
          <w:rFonts w:asciiTheme="majorHAnsi" w:hAnsiTheme="majorHAnsi" w:cstheme="majorHAnsi"/>
          <w:sz w:val="22"/>
        </w:rPr>
      </w:pPr>
      <w:r>
        <w:rPr>
          <w:rFonts w:asciiTheme="majorHAnsi" w:hAnsiTheme="majorHAnsi" w:cstheme="majorHAnsi"/>
          <w:sz w:val="22"/>
        </w:rPr>
        <w:t>In addition, f</w:t>
      </w:r>
      <w:r w:rsidRPr="000D0F0F">
        <w:rPr>
          <w:rFonts w:asciiTheme="majorHAnsi" w:hAnsiTheme="majorHAnsi" w:cstheme="majorHAnsi"/>
          <w:sz w:val="22"/>
        </w:rPr>
        <w:t xml:space="preserve">ive years after the first commercial fusion facility begins operation, the Government should undertake a formal review of the wider fusion framework using operational evidence. </w:t>
      </w:r>
      <w:r>
        <w:rPr>
          <w:rFonts w:asciiTheme="majorHAnsi" w:hAnsiTheme="majorHAnsi" w:cstheme="majorHAnsi"/>
          <w:sz w:val="22"/>
        </w:rPr>
        <w:t xml:space="preserve"> </w:t>
      </w:r>
      <w:r w:rsidRPr="000D0F0F">
        <w:rPr>
          <w:rFonts w:asciiTheme="majorHAnsi" w:hAnsiTheme="majorHAnsi" w:cstheme="majorHAnsi"/>
          <w:sz w:val="22"/>
        </w:rPr>
        <w:t xml:space="preserve">The review should determine whether the regulatory, liability and financial-protection arrangements remain proportionate and fit for purpose. </w:t>
      </w:r>
      <w:r>
        <w:rPr>
          <w:rFonts w:asciiTheme="majorHAnsi" w:hAnsiTheme="majorHAnsi" w:cstheme="majorHAnsi"/>
          <w:sz w:val="22"/>
        </w:rPr>
        <w:t xml:space="preserve"> </w:t>
      </w:r>
      <w:r w:rsidRPr="000D0F0F">
        <w:rPr>
          <w:rFonts w:asciiTheme="majorHAnsi" w:hAnsiTheme="majorHAnsi" w:cstheme="majorHAnsi"/>
          <w:sz w:val="22"/>
        </w:rPr>
        <w:t>It should consider whether any elements of the Nuclear Installations Act framework are required, whether the allocation of third-party liability and applicable insurance limits remain adequate, and whether changes are needed to safety, environmental, emergency-planning, decommissioning or compensation arrangements.</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5: How does EN-8 compare with international approaches?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 xml:space="preserve">Direct comparison requires care.  We have not identified another jurisdiction with a dedicated national planning statement for commercial fusion equivalent to EN-8.  Most international activity has focused on safety and environmental authorisation.  EN-8 is therefore a comparatively developed </w:t>
      </w:r>
      <w:r w:rsidRPr="00AD779F">
        <w:rPr>
          <w:rFonts w:asciiTheme="majorHAnsi" w:hAnsiTheme="majorHAnsi" w:cstheme="majorHAnsi"/>
          <w:sz w:val="22"/>
        </w:rPr>
        <w:t>attempt to provide a clear, centralised planning route while maintaining a separate and proportionate regulatory regime.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United States provides a useful, but not directly transferable, comparison.  The US Nuclear Regulatory Commission's February 2026 proposed rule would regulate fusion machines through the existing Part 30 byproduct-material framework.  The proposal is technology-inclusive, risk-informed and performance-based.  Commercial fusion regulation may be undertaken by the Commission or an Agreement State, while state and local authorities also have important roles in siting and permitting.</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United Kingdom, Canada and Japan have jointly recommended that fusion frameworks should be technology agnostic, proportionate to the demonstrated hazard, transparent and supportive of innovation.  They also emphasise public confidence and review as technologies and evidence develop.  EN-8 broadly follows these principles.  The principal lessons are to maintain a clear interface between planning and safety regulation, engage communities early, require a consistent technology-specific evidence base and reassess material changes beyond the consented design envelope.</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Question 6: Other issues – Liability, Compensation, Insurance &amp; Decommissioning</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Neither EN-1 nor draft EN-8 establishes substantive policy on third-party radiological liability, insurance or other financial protection.  Section 156 of the Energy Act 2023 expressly excludes fusion energy facilities from the nuclear site licensing requirement in section 1 of the Nuclear Installations Act 1965.  The established fission liability and insurance arrangements should therefore not be assumed to apply to fusion facilities.</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For licensed fission sites, the Nuclear Installations Act channels strict and exclusive liability to one identifiable operator and requires financial security up to the applicable amount.  Channeling provides affected parties with a clear compensation route, avoids complex cross-claims against designers, contractors and suppliers, and concentrates finite specialist insurance capacity.  These are established legal and insurance functions of the fission regime; they do not mean that the same regime must be applied to fusion.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From the Syndicate's insurance perspective, radiological contamination also creates a potential accumulation problem.  A severe event could generate correlated property, business interruption, environmental, bodily injury, liability and reinsurance claims across multiple insureds.  The relevant concern is the possibility and potential scale of a market-wide loss, not an assertion that such an event is probable.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Nuclear exclusions in conventional insurance and reinsurance policies are one means of controlling unintended accumulation outside the specialist nuclear market.  Treating fusion outside standard nuclear exclusions, as the 2026 UK Fusion Strategy proposes, requires affirmative policy wording, clear allocation of responsibility and aggregate exposure controls.  Otherwise, the market risks either unrecognised systemic exposure or exclusions that leave affected parties without a credible route to compensation.</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Fusion Strategy identifies the conventional energy insurance market as the appropriate route and rejects replication of the fission third-party liability arrangements.  Within that policy direction, Government should clarify who bears third-party radiological liability, how claims will be pursued, which losses are intended to be compensated, how accumulation will be controlled and what financial capacity will be available.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 xml:space="preserve">EN-8 should recognise this interface without creating the substantive liability or insurance regime. Applicants should explain the principal on-site and off-site consequences of credible events and how operational responsibilities for prevention, emergency response, remediation, recovery and safe </w:t>
      </w:r>
      <w:r w:rsidRPr="00AD779F">
        <w:rPr>
          <w:rFonts w:asciiTheme="majorHAnsi" w:hAnsiTheme="majorHAnsi" w:cstheme="majorHAnsi"/>
          <w:sz w:val="22"/>
        </w:rPr>
        <w:t>restart are allocated across operators, contractors, suppliers and transporters.  That information can support financial-protection arrangements outside planning.</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Annex should encourage early engagement with relevant insurers and reinsurers.  It would help determine whether the proposed risk can be assessed, allocated and affirmatively transferred, and whether available capacity is compatible with the potential accumulation.</w:t>
      </w:r>
    </w:p>
    <w:p w:rsidR="00DE007C" w:rsidRPr="00AD779F" w:rsidP="0042053F">
      <w:pPr>
        <w:pStyle w:val="EvidenceParagraph"/>
        <w:keepNext/>
        <w:keepLines/>
        <w:numPr>
          <w:ilvl w:val="0"/>
          <w:numId w:val="1"/>
        </w:numPr>
        <w:ind w:left="538" w:hanging="357"/>
        <w:rPr>
          <w:rFonts w:asciiTheme="majorHAnsi" w:hAnsiTheme="majorHAnsi" w:cstheme="majorHAnsi"/>
          <w:sz w:val="22"/>
        </w:rPr>
      </w:pPr>
      <w:r w:rsidRPr="00AD779F">
        <w:rPr>
          <w:rFonts w:asciiTheme="majorHAnsi" w:hAnsiTheme="majorHAnsi" w:cstheme="majorHAnsi"/>
          <w:sz w:val="22"/>
        </w:rPr>
        <w:t>EN-8 should require a credible decommissioning strategy addressing radioactive-material management, contaminated land, site restoration and premature closure.  The financial mechanism belongs in the wider fusion policy framework. The Fusion Strategy commits DESNZ to identify by autumn 2027 a proportionate mechanism through which fusion operators can meet decommissioning costs. That mechanism should address changes of ownership and operator insolvency.</w:t>
      </w:r>
    </w:p>
    <w:p w:rsidR="00DE007C" w:rsidRPr="00AD779F" w:rsidP="000E3F22">
      <w:pPr>
        <w:pStyle w:val="EvidenceHeading1"/>
        <w:spacing w:before="240" w:after="240"/>
        <w:ind w:left="-142"/>
        <w:rPr>
          <w:rFonts w:asciiTheme="majorHAnsi" w:hAnsiTheme="majorHAnsi" w:cstheme="majorHAnsi"/>
        </w:rPr>
      </w:pPr>
      <w:r w:rsidRPr="00AD779F">
        <w:rPr>
          <w:rFonts w:asciiTheme="majorHAnsi" w:hAnsiTheme="majorHAnsi" w:cstheme="majorHAnsi"/>
        </w:rPr>
        <w:t>Proposed EN-8 Principle</w:t>
      </w:r>
    </w:p>
    <w:p w:rsidR="00DE007C" w:rsidRPr="00AD779F">
      <w:pPr>
        <w:pStyle w:val="EvidenceParagraph"/>
        <w:numPr>
          <w:ilvl w:val="0"/>
          <w:numId w:val="1"/>
        </w:numPr>
        <w:rPr>
          <w:rFonts w:asciiTheme="majorHAnsi" w:hAnsiTheme="majorHAnsi" w:cstheme="majorHAnsi"/>
          <w:sz w:val="22"/>
        </w:rPr>
      </w:pPr>
      <w:r w:rsidRPr="00AD779F">
        <w:rPr>
          <w:rFonts w:asciiTheme="majorHAnsi" w:hAnsiTheme="majorHAnsi" w:cstheme="majorHAnsi"/>
          <w:sz w:val="22"/>
        </w:rPr>
        <w:t>The Committee may wish to recommend the following principle for inclusion in Section 3:</w:t>
      </w:r>
    </w:p>
    <w:p w:rsidR="00DE007C" w:rsidRPr="00AD779F" w:rsidP="003E2009">
      <w:pPr>
        <w:pStyle w:val="EvidenceParagraph"/>
        <w:ind w:left="540"/>
        <w:rPr>
          <w:rFonts w:asciiTheme="majorHAnsi" w:hAnsiTheme="majorHAnsi" w:cstheme="majorHAnsi"/>
          <w:sz w:val="22"/>
        </w:rPr>
      </w:pPr>
      <w:r w:rsidRPr="00AD779F">
        <w:rPr>
          <w:rFonts w:asciiTheme="majorHAnsi" w:hAnsiTheme="majorHAnsi" w:cstheme="majorHAnsi"/>
          <w:sz w:val="22"/>
        </w:rPr>
        <w:t>'</w:t>
      </w:r>
      <w:r w:rsidRPr="00AD779F">
        <w:rPr>
          <w:rFonts w:asciiTheme="majorHAnsi" w:hAnsiTheme="majorHAnsi" w:cstheme="majorHAnsi"/>
          <w:i/>
          <w:iCs/>
          <w:sz w:val="22"/>
        </w:rPr>
        <w:t>The applicant must assess the reasonably foreseeable on-site and off-site consequences of an accidental release of tritium or other radioactive material over the whole lifecycle of the facility.  The assessment must integrate the complete site-wide radioactive inventory, energetic and interacting hazards, credible release mechanisms, occupational exposure, environmental contamination and recovery, property damage, business interruption and potential harm to third parties.  The applicant should explain how responsibilities for prevention, emergency response, remediation, recovery and decommissioning are allocated.  The resulting consequence information should inform proportionate liability, insurance and decommissioning-finance arrangements developed through the wider fusion policy and regulatory framework</w:t>
      </w:r>
      <w:r w:rsidRPr="00AD779F">
        <w:rPr>
          <w:rFonts w:asciiTheme="majorHAnsi" w:hAnsiTheme="majorHAnsi" w:cstheme="majorHAnsi"/>
          <w:sz w:val="22"/>
        </w:rPr>
        <w:t>.'</w:t>
      </w:r>
    </w:p>
    <w:p w:rsidR="00DE007C" w:rsidRPr="00AD779F" w:rsidP="000E3F22">
      <w:pPr>
        <w:pStyle w:val="EvidenceHeading1"/>
        <w:spacing w:before="240" w:after="240"/>
        <w:ind w:hanging="142"/>
        <w:rPr>
          <w:rFonts w:asciiTheme="majorHAnsi" w:hAnsiTheme="majorHAnsi" w:cstheme="majorHAnsi"/>
        </w:rPr>
      </w:pPr>
      <w:r w:rsidRPr="00AD779F">
        <w:rPr>
          <w:rFonts w:asciiTheme="majorHAnsi" w:hAnsiTheme="majorHAnsi" w:cstheme="majorHAnsi"/>
        </w:rPr>
        <w:t>Principal References</w:t>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Department for Energy Security and Net Zero, Draft National Policy Statement for Fusion Energy Generation (EN-8), June 2026. </w:t>
      </w:r>
      <w:r>
        <w:fldChar w:fldCharType="begin"/>
      </w:r>
      <w:r>
        <w:instrText xml:space="preserve"> HYPERLINK "https://www.gov.uk/government/consultations/draft-national-policy-statement-for-fusion-energy-generation-en-8/draft-national-policy-statement-for-fusion-energy-generation-en-8-accessible-webpage"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Department for Energy Security and Net Zero, Overarching National Policy Statement for Energy (EN-1), 2025, in force from 6 January 2026. </w:t>
      </w:r>
      <w:r>
        <w:fldChar w:fldCharType="begin"/>
      </w:r>
      <w:r>
        <w:instrText xml:space="preserve"> HYPERLINK "https://www.gov.uk/government/publications/overarching-national-policy-statement-for-energy-en-1-2025"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Department for Energy Security and Net Zero, A New Energy Revolution: The UK's Plan for Delivering Fusion Energy, March 2026. </w:t>
      </w:r>
      <w:r>
        <w:fldChar w:fldCharType="begin"/>
      </w:r>
      <w:r>
        <w:instrText xml:space="preserve"> HYPERLINK "https://www.gov.uk/government/publications/uk-fusion-strategy-2026/a-new-energy-revolution-the-uks-plan-for-delivering-fusion-energy-accessible-webpage"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UK Atomic Energy Authority, Technology Report – Safety and Waste Aspects for Fusion Power Plants, Issue 1, UKAEA-RE(21)01, 2021.</w:t>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Radiation (Emergency Preparedness and Public Information) Regulations 2019. </w:t>
      </w:r>
      <w:r>
        <w:fldChar w:fldCharType="begin"/>
      </w:r>
      <w:r>
        <w:instrText xml:space="preserve"> HYPERLINK "https://www.legislation.gov.uk/uksi/2019/703/contents"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Energy Act 2023, section 156, Fusion energy facilities: nuclear site licence not required. </w:t>
      </w:r>
      <w:r>
        <w:fldChar w:fldCharType="begin"/>
      </w:r>
      <w:r>
        <w:instrText xml:space="preserve"> HYPERLINK "https://www.legislation.gov.uk/ukpga/2023/52/section/156"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Nuclear Installations Act 1965, sections 1, 7, 12 and 19, as amended. </w:t>
      </w:r>
      <w:r>
        <w:fldChar w:fldCharType="begin"/>
      </w:r>
      <w:r>
        <w:instrText xml:space="preserve"> HYPERLINK "https://www.legislation.gov.uk/ukpga/1965/57/contents"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Department for Energy Security and Net Zero, Nuclear Third Party Liability for Advanced Nuclear Technologies: Call for Evidence, 23 March 2026. </w:t>
      </w:r>
      <w:r>
        <w:fldChar w:fldCharType="begin"/>
      </w:r>
      <w:r>
        <w:instrText xml:space="preserve"> HYPERLINK "https://www.gov.uk/government/calls-for-evidence/nuclear-third-party-liability-for-advanced-nuclear-technologies/nuclear-third-party-liability-for-advanced-nuclear-technologies-call-for-evidence-accessible-webpage"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OECD Nuclear Energy Agency, Revised Text of the Exposé des Motifs of the Paris Convention on Nuclear Third Party Liability, approved by the OECD Council on 16 November 1982. </w:t>
      </w:r>
      <w:r>
        <w:fldChar w:fldCharType="begin"/>
      </w:r>
      <w:r>
        <w:instrText xml:space="preserve"> HYPERLINK "https://www.oecd-nea.org/law/nlparis_motif"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Lloyd's Market Association, Nuclear Energy Risks Exclusion (Insurance), Bulletin LMA23-022-SD, 7 August 2023. </w:t>
      </w:r>
      <w:r>
        <w:fldChar w:fldCharType="begin"/>
      </w:r>
      <w:r>
        <w:instrText xml:space="preserve"> HYPERLINK "https://my.lmalloyds.com/WP/LMA_Bulletins/LMA23-022-SD.aspx"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United States Nuclear Regulatory Commission, Regulatory Framework for Fusion Machines: Proposed Rule, 26 February 2026. </w:t>
      </w:r>
      <w:r>
        <w:fldChar w:fldCharType="begin"/>
      </w:r>
      <w:r>
        <w:instrText xml:space="preserve"> HYPERLINK "https://www.federalregister.gov/documents/2026/02/26/2026-03865/regulatory-framework-for-fusion-machines" </w:instrText>
      </w:r>
      <w:r>
        <w:fldChar w:fldCharType="separate"/>
      </w:r>
      <w:r w:rsidRPr="00AD779F">
        <w:rPr>
          <w:rFonts w:asciiTheme="majorHAnsi" w:hAnsiTheme="majorHAnsi" w:cstheme="majorHAnsi"/>
          <w:sz w:val="20"/>
          <w:szCs w:val="20"/>
          <w:u w:val="single"/>
        </w:rPr>
        <w:t>Official source</w:t>
      </w:r>
      <w:r>
        <w:fldChar w:fldCharType="end"/>
      </w:r>
    </w:p>
    <w:p w:rsidR="00DE007C" w:rsidRPr="00AD779F" w:rsidP="000C1932">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United States Nuclear Regulatory Commission, Fusion Energy: Frequently Asked Questions. </w:t>
      </w:r>
      <w:r>
        <w:fldChar w:fldCharType="begin"/>
      </w:r>
      <w:r>
        <w:instrText xml:space="preserve"> HYPERLINK "https://www.nrc.gov/materials/fusion/faq" </w:instrText>
      </w:r>
      <w:r>
        <w:fldChar w:fldCharType="separate"/>
      </w:r>
      <w:r w:rsidRPr="00AD779F">
        <w:rPr>
          <w:rFonts w:asciiTheme="majorHAnsi" w:hAnsiTheme="majorHAnsi" w:cstheme="majorHAnsi"/>
          <w:sz w:val="20"/>
          <w:szCs w:val="20"/>
          <w:u w:val="single"/>
        </w:rPr>
        <w:t>Official source</w:t>
      </w:r>
      <w:r>
        <w:fldChar w:fldCharType="end"/>
      </w:r>
    </w:p>
    <w:p w:rsidR="00DE007C" w:rsidRPr="009951B2" w:rsidP="00554FAA">
      <w:pPr>
        <w:pStyle w:val="ListBullet"/>
        <w:spacing w:before="120" w:line="240" w:lineRule="auto"/>
        <w:ind w:left="340" w:hanging="170"/>
        <w:contextualSpacing w:val="0"/>
        <w:rPr>
          <w:rFonts w:asciiTheme="majorHAnsi" w:hAnsiTheme="majorHAnsi" w:cstheme="majorHAnsi"/>
          <w:sz w:val="20"/>
          <w:szCs w:val="20"/>
        </w:rPr>
      </w:pPr>
      <w:r w:rsidRPr="00AD779F">
        <w:rPr>
          <w:rFonts w:asciiTheme="majorHAnsi" w:hAnsiTheme="majorHAnsi" w:cstheme="majorHAnsi"/>
          <w:sz w:val="20"/>
          <w:szCs w:val="20"/>
        </w:rPr>
        <w:t xml:space="preserve">Department for Energy Security and Net Zero, Agile Nations Working Group on Fusion Energy Regulation: Initial Recommendations, 16 October 2023. </w:t>
      </w:r>
      <w:r>
        <w:fldChar w:fldCharType="begin"/>
      </w:r>
      <w:r>
        <w:instrText xml:space="preserve"> HYPERLINK "https://www.gov.uk/government/publications/agile-nations-uk-japan-and-canada-joint-recommendations-on-fusion-energy/agile-nations-working-group-on-fusion-energy-regulation-initial-recommendations" </w:instrText>
      </w:r>
      <w:r>
        <w:fldChar w:fldCharType="separate"/>
      </w:r>
      <w:r w:rsidRPr="00AD779F">
        <w:rPr>
          <w:rFonts w:asciiTheme="majorHAnsi" w:hAnsiTheme="majorHAnsi" w:cstheme="majorHAnsi"/>
          <w:sz w:val="20"/>
          <w:szCs w:val="20"/>
          <w:u w:val="single"/>
        </w:rPr>
        <w:t>Official source</w:t>
      </w:r>
      <w:r>
        <w:fldChar w:fldCharType="end"/>
      </w:r>
    </w:p>
    <w:p w:rsidR="009951B2" w:rsidP="009951B2">
      <w:pPr>
        <w:pStyle w:val="ListBullet"/>
        <w:numPr>
          <w:ilvl w:val="0"/>
          <w:numId w:val="0"/>
        </w:numPr>
        <w:spacing w:before="120" w:line="240" w:lineRule="auto"/>
        <w:ind w:left="540" w:hanging="360"/>
        <w:contextualSpacing w:val="0"/>
      </w:pPr>
    </w:p>
    <w:p w:rsidR="009951B2" w:rsidRPr="009951B2" w:rsidP="009951B2">
      <w:pPr>
        <w:pStyle w:val="ListBullet"/>
        <w:numPr>
          <w:ilvl w:val="0"/>
          <w:numId w:val="0"/>
        </w:numPr>
        <w:spacing w:before="120" w:line="240" w:lineRule="auto"/>
        <w:ind w:left="540" w:hanging="360"/>
        <w:contextualSpacing w:val="0"/>
        <w:rPr>
          <w:rFonts w:asciiTheme="majorHAnsi" w:hAnsiTheme="majorHAnsi" w:cstheme="majorHAnsi"/>
          <w:i/>
          <w:iCs/>
          <w:sz w:val="22"/>
        </w:rPr>
      </w:pPr>
      <w:r w:rsidRPr="009951B2">
        <w:rPr>
          <w:rFonts w:asciiTheme="majorHAnsi" w:hAnsiTheme="majorHAnsi" w:cstheme="majorHAnsi"/>
          <w:i/>
          <w:iCs/>
          <w:sz w:val="22"/>
        </w:rPr>
        <w:t>August 2026</w:t>
      </w:r>
    </w:p>
    <w:sectPr w:rsidSect="002166FA">
      <w:headerReference w:type="default" r:id="rId10"/>
      <w:footerReference w:type="default" r:id="rId11"/>
      <w:pgSz w:w="11906" w:h="16838"/>
      <w:pgMar w:top="1134" w:right="1134" w:bottom="113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07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0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lvlText w:val="%1."/>
      <w:lvlJc w:val="left"/>
      <w:pPr>
        <w:tabs>
          <w:tab w:val="num" w:pos="1080"/>
        </w:tabs>
        <w:ind w:left="1080" w:hanging="360"/>
      </w:pPr>
    </w:lvl>
  </w:abstractNum>
  <w:abstractNum w:abstractNumId="3">
    <w:nsid w:val="FFFFFF7F"/>
    <w:multiLevelType w:val="singleLevel"/>
    <w:tmpl w:val="38441652"/>
    <w:lvl w:ilvl="0">
      <w:start w:val="1"/>
      <w:numFmt w:val="decimal"/>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lvlText w:val="%1."/>
      <w:lvlJc w:val="left"/>
      <w:pPr>
        <w:tabs>
          <w:tab w:val="num" w:pos="360"/>
        </w:tabs>
        <w:ind w:left="360" w:hanging="360"/>
      </w:pPr>
    </w:lvl>
  </w:abstractNum>
  <w:abstractNum w:abstractNumId="8">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nsid w:val="70F66B95"/>
    <w:multiLevelType w:val="singleLevel"/>
    <w:tmpl w:val="FB7C56F4"/>
    <w:lvl w:ilvl="0">
      <w:start w:val="1"/>
      <w:numFmt w:val="decimal"/>
      <w:pStyle w:val="ListBullet"/>
      <w:lvlText w:val="%1."/>
      <w:lvlJc w:val="right"/>
      <w:pPr>
        <w:tabs>
          <w:tab w:val="num" w:pos="540"/>
        </w:tabs>
        <w:ind w:left="540" w:hanging="36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pPr>
      <w:spacing w:after="120" w:line="259" w:lineRule="auto"/>
    </w:pPr>
    <w:rPr>
      <w:rFonts w:ascii="Arial" w:hAnsi="Arial"/>
      <w:color w:val="000000"/>
      <w:sz w:val="21"/>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videnceParagraph">
    <w:name w:val="Evidence Paragraph"/>
    <w:basedOn w:val="Normal"/>
    <w:pPr>
      <w:spacing w:after="100"/>
    </w:pPr>
  </w:style>
  <w:style w:type="paragraph" w:customStyle="1" w:styleId="EvidenceHeading1">
    <w:name w:val="Evidence Heading 1"/>
    <w:basedOn w:val="Normal"/>
    <w:pPr>
      <w:keepNext/>
      <w:spacing w:before="220" w:after="80"/>
    </w:pPr>
    <w:rPr>
      <w:b/>
      <w:sz w:val="24"/>
    </w:rPr>
  </w:style>
  <w:style w:type="paragraph" w:customStyle="1" w:styleId="EvidenceHeading2">
    <w:name w:val="Evidence Heading 2"/>
    <w:basedOn w:val="Normal"/>
    <w:pPr>
      <w:keepNext/>
      <w:spacing w:before="160" w:after="60"/>
    </w:pPr>
    <w:rPr>
      <w:b/>
      <w:sz w:val="22"/>
    </w:rPr>
  </w:style>
  <w:style w:type="character" w:styleId="Hyperlink">
    <w:name w:val="Hyperlink"/>
    <w:basedOn w:val="DefaultParagraphFont"/>
    <w:uiPriority w:val="99"/>
    <w:unhideWhenUsed/>
    <w:rsid w:val="0086023E"/>
    <w:rPr>
      <w:color w:val="0000FF" w:themeColor="hyperlink"/>
      <w:u w:val="single"/>
    </w:rPr>
  </w:style>
  <w:style w:type="character" w:customStyle="1" w:styleId="UnresolvedMention1">
    <w:name w:val="Unresolved Mention1"/>
    <w:basedOn w:val="DefaultParagraphFont"/>
    <w:uiPriority w:val="99"/>
    <w:semiHidden/>
    <w:unhideWhenUsed/>
    <w:rsid w:val="00860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83</Value>
      <Value>5</Value>
      <Value>4</Value>
    </TaxCatchAll>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g3ef09377e3444258679b6035a1ff93a xmlns="4600776d-0a3c-44b4-bff2-0ceaafb13046">
      <Terms xmlns="http://schemas.microsoft.com/office/infopath/2007/PartnerControls"/>
    </g3ef09377e3444258679b6035a1ff93a>
    <p08cee96ced840fcb4556ba8962c53fb xmlns="5ce1c4f0-0394-4cca-b829-34bff9279afc">
      <Terms xmlns="http://schemas.microsoft.com/office/infopath/2007/PartnerControls"/>
    </p08cee96ced840fcb4556ba8962c53fb>
    <Meeting_x0020_Date xmlns="5ce1c4f0-0394-4cca-b829-34bff9279afc" xsi:nil="true"/>
    <Document_x0020_Status xmlns="5ce1c4f0-0394-4cca-b829-34bff9279afc" xsi:nil="true"/>
    <j6c5b17cd04246da82e5604daf08bc68 xmlns="4600776d-0a3c-44b4-bff2-0ceaafb13046">
      <Terms xmlns="http://schemas.microsoft.com/office/infopath/2007/PartnerControls"/>
    </j6c5b17cd04246da82e5604daf08bc68>
    <n634878934ab4ea4b24a27c205468c50 xmlns="5ce1c4f0-0394-4cca-b829-34bff9279afc">
      <Terms xmlns="http://schemas.microsoft.com/office/infopath/2007/PartnerControls"/>
    </n634878934ab4ea4b24a27c205468c50>
    <Additional_x0020_category xmlns="5ce1c4f0-0394-4cca-b829-34bff9279afc" xsi:nil="true"/>
    <TransfertoArchives xmlns="4600776d-0a3c-44b4-bff2-0ceaafb13046">false</TransfertoArchives>
    <a765d009da804bce912190bc95d6c9e6 xmlns="5ce1c4f0-0394-4cca-b829-34bff9279afc">
      <Terms xmlns="http://schemas.microsoft.com/office/infopath/2007/PartnerControls"/>
    </a765d009da804bce912190bc95d6c9e6>
    <mc51d1a24a234f1087cd7964a2103120 xmlns="5ce1c4f0-0394-4cca-b829-34bff9279afc">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mc51d1a24a234f1087cd7964a2103120>
    <cd0fc526a5c840319a97fd94028e9904 xmlns="4600776d-0a3c-44b4-bff2-0ceaafb13046">
      <Terms xmlns="http://schemas.microsoft.com/office/infopath/2007/PartnerControls"/>
    </cd0fc526a5c840319a97fd94028e9904>
    <lcf76f155ced4ddcb4097134ff3c332f xmlns="5ce1c4f0-0394-4cca-b829-34bff9279afc">
      <Terms xmlns="http://schemas.microsoft.com/office/infopath/2007/PartnerControls"/>
    </lcf76f155ced4ddcb4097134ff3c332f>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f539f2df-4f05-45ee-94ae-115352d6540f" xsi:nil="true"/>
    <_dlc_DocId xmlns="f539f2df-4f05-45ee-94ae-115352d6540f">NDSF5EDUHJ47-127007870-12889</_dlc_DocId>
    <_dlc_DocIdUrl xmlns="f539f2df-4f05-45ee-94ae-115352d6540f">
      <Url>https://hopuk.sharepoint.com/sites/hcc-ESNZC/_layouts/15/DocIdRedir.aspx?ID=NDSF5EDUHJ47-127007870-12889</Url>
      <Description>NDSF5EDUHJ47-127007870-12889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E312550B3144247B326AD92924C0F82" ma:contentTypeVersion="162" ma:contentTypeDescription="Create a new document." ma:contentTypeScope="" ma:versionID="04296cff2b31d490a553fd0614691289">
  <xsd:schema xmlns:xsd="http://www.w3.org/2001/XMLSchema" xmlns:xs="http://www.w3.org/2001/XMLSchema" xmlns:p="http://schemas.microsoft.com/office/2006/metadata/properties" xmlns:ns2="5ce1c4f0-0394-4cca-b829-34bff9279afc" xmlns:ns3="4600776d-0a3c-44b4-bff2-0ceaafb13046" xmlns:ns4="f539f2df-4f05-45ee-94ae-115352d6540f" targetNamespace="http://schemas.microsoft.com/office/2006/metadata/properties" ma:root="true" ma:fieldsID="f65f2dd708be4349deb3eca716b5607b" ns2:_="" ns3:_="" ns4:_="">
    <xsd:import namespace="5ce1c4f0-0394-4cca-b829-34bff9279afc"/>
    <xsd:import namespace="4600776d-0a3c-44b4-bff2-0ceaafb13046"/>
    <xsd:import namespace="f539f2df-4f05-45ee-94ae-115352d6540f"/>
    <xsd:element name="properties">
      <xsd:complexType>
        <xsd:sequence>
          <xsd:element name="documentManagement">
            <xsd:complexType>
              <xsd:all>
                <xsd:element ref="ns2:Additional_x0020_category" minOccurs="0"/>
                <xsd:element ref="ns2:Meeting_x0020_Date" minOccurs="0"/>
                <xsd:element ref="ns3:TransfertoArchives" minOccurs="0"/>
                <xsd:element ref="ns2:Document_x0020_Status" minOccurs="0"/>
                <xsd:element ref="ns3:TaxCatchAll" minOccurs="0"/>
                <xsd:element ref="ns4:_dlc_DocId" minOccurs="0"/>
                <xsd:element ref="ns4:_dlc_DocIdUrl" minOccurs="0"/>
                <xsd:element ref="ns4:_dlc_DocIdPersistId" minOccurs="0"/>
                <xsd:element ref="ns3:c4838c65c76546ae93d5703426802f7f" minOccurs="0"/>
                <xsd:element ref="ns3:j6c5b17cd04246da82e5604daf08bc68" minOccurs="0"/>
                <xsd:element ref="ns3:cd0fc526a5c840319a97fd94028e9904" minOccurs="0"/>
                <xsd:element ref="ns3:k5b153ee974a4a57a7568e533217f2cb" minOccurs="0"/>
                <xsd:element ref="ns3:g3ef09377e3444258679b6035a1ff93a" minOccurs="0"/>
                <xsd:element ref="ns2:p08cee96ced840fcb4556ba8962c53fb" minOccurs="0"/>
                <xsd:element ref="ns2:n634878934ab4ea4b24a27c205468c50" minOccurs="0"/>
                <xsd:element ref="ns2:a765d009da804bce912190bc95d6c9e6" minOccurs="0"/>
                <xsd:element ref="ns2:mc51d1a24a234f1087cd7964a2103120" minOccurs="0"/>
                <xsd:element ref="ns3:RecordNumber" minOccurs="0"/>
                <xsd:element ref="ns2:MediaServiceMetadata" minOccurs="0"/>
                <xsd:element ref="ns2:MediaServiceFastMetadata" minOccurs="0"/>
                <xsd:element ref="ns4:SharedWithUsers" minOccurs="0"/>
                <xsd:element ref="ns4:SharedWithDetails"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Location" minOccurs="0"/>
                <xsd:element ref="ns4: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1c4f0-0394-4cca-b829-34bff9279af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ma:readOnly="false">
      <xsd:simpleType>
        <xsd:restriction base="dms:Text">
          <xsd:maxLength value="255"/>
        </xsd:restriction>
      </xsd:simpleType>
    </xsd:element>
    <xsd:element name="Meeting_x0020_Date" ma:index="5" nillable="true" ma:displayName="Meeting Date" ma:format="DateOnly" ma:indexed="true" ma:internalName="Meeting_x0020_Date">
      <xsd:simpleType>
        <xsd:restriction base="dms:DateTime"/>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p08cee96ced840fcb4556ba8962c53fb" ma:index="25" nillable="true" ma:taxonomy="true" ma:internalName="p08cee96ced840fcb4556ba8962c53fb" ma:taxonomyFieldName="Category" ma:displayName="Category" ma:indexed="true" ma:readOnly="false" ma:default="" ma:fieldId="{908cee96-ced8-40fc-b455-6ba8962c53fb}"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n634878934ab4ea4b24a27c205468c50" ma:index="27" nillable="true" ma:taxonomy="true" ma:internalName="n634878934ab4ea4b24a27c205468c50" ma:taxonomyFieldName="Circulation" ma:displayName="Circulation" ma:default="" ma:fieldId="{76348789-34ab-4ea4-b24a-27c205468c50}"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a765d009da804bce912190bc95d6c9e6" ma:index="29" nillable="true" ma:taxonomy="true" ma:internalName="a765d009da804bce912190bc95d6c9e6" ma:taxonomyFieldName="Inquiry" ma:displayName="Inquiry" ma:indexed="true" ma:default="" ma:fieldId="{a765d009-da80-4bce-9121-90bc95d6c9e6}" ma:sspId="eb37f91c-4bb8-4ab3-bc5a-cd8753815459" ma:termSetId="e92b6cb5-89aa-4b85-8d83-b805cf84055d" ma:anchorId="8ac83233-b844-4af9-afd9-ab3c73475b06" ma:open="false" ma:isKeyword="false">
      <xsd:complexType>
        <xsd:sequence>
          <xsd:element ref="pc:Terms" minOccurs="0" maxOccurs="1"/>
        </xsd:sequence>
      </xsd:complexType>
    </xsd:element>
    <xsd:element name="mc51d1a24a234f1087cd7964a2103120" ma:index="33" nillable="true" ma:taxonomy="true" ma:internalName="mc51d1a24a234f1087cd7964a2103120" ma:taxonomyFieldName="Session" ma:displayName="Session" ma:indexed="true" ma:default="" ma:fieldId="{6c51d1a2-4a23-4f10-87cd-7964a2103120}"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Location" ma:index="4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7" nillable="true" ma:displayName="Transfer to Archives" ma:default="0" ma:internalName="TransfertoArchives" ma:readOnly="false">
      <xsd:simpleType>
        <xsd:restriction base="dms:Boolean"/>
      </xsd:simpleType>
    </xsd:element>
    <xsd:element name="TaxCatchAll" ma:index="15" nillable="true" ma:displayName="Taxonomy Catch All Column" ma:hidden="true" ma:list="{6f0ff21d-54d5-43e9-8ff5-c5882b44d39e}" ma:internalName="TaxCatchAll" ma:showField="CatchAllData" ma:web="f539f2df-4f05-45ee-94ae-115352d6540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9"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indexed="true" ma:readOnly="false" ma:default="5;#Unrestricted|ae6bc852-fecb-4b6b-95a3-8d1301f0fcb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g3ef09377e3444258679b6035a1ff93a" ma:index="2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cordNumber" ma:index="34" nillable="true" ma:displayName="Record Number" ma:hidden="true" ma:indexed="true" ma:internalName="Record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9f2df-4f05-45ee-94ae-115352d6540f"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RetentionTriggerDate" ma:index="48" nillable="true" ma:displayName="Retention Trigger Date" ma:format="DateOnly" ma:hidden="true" ma:internalName="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F062E91-2B24-4CCE-A9CE-BAB019BFF2F5}">
  <ds:schemaRefs>
    <ds:schemaRef ds:uri="http://schemas.microsoft.com/office/2006/metadata/customXsn"/>
  </ds:schemaRefs>
</ds:datastoreItem>
</file>

<file path=customXml/itemProps3.xml><?xml version="1.0" encoding="utf-8"?>
<ds:datastoreItem xmlns:ds="http://schemas.openxmlformats.org/officeDocument/2006/customXml" ds:itemID="{F8F2CCF0-8EF2-4909-A87F-879D0B70A8E3}">
  <ds:schemaRefs>
    <ds:schemaRef ds:uri="http://schemas.microsoft.com/sharepoint/v3/contenttype/forms"/>
  </ds:schemaRefs>
</ds:datastoreItem>
</file>

<file path=customXml/itemProps4.xml><?xml version="1.0" encoding="utf-8"?>
<ds:datastoreItem xmlns:ds="http://schemas.openxmlformats.org/officeDocument/2006/customXml" ds:itemID="{5FD85AF1-AEFD-4B82-889A-7DAFBC1A6929}">
  <ds:schemaRefs>
    <ds:schemaRef ds:uri="http://schemas.microsoft.com/sharepoint/events"/>
  </ds:schemaRefs>
</ds:datastoreItem>
</file>

<file path=customXml/itemProps5.xml><?xml version="1.0" encoding="utf-8"?>
<ds:datastoreItem xmlns:ds="http://schemas.openxmlformats.org/officeDocument/2006/customXml" ds:itemID="{CA070FC3-8D55-4566-A2D4-2592499DC99D}">
  <ds:schemaRefs>
    <ds:schemaRef ds:uri="http://schemas.microsoft.com/office/2006/metadata/properties"/>
    <ds:schemaRef ds:uri="http://schemas.microsoft.com/office/infopath/2007/PartnerControls"/>
    <ds:schemaRef ds:uri="4600776d-0a3c-44b4-bff2-0ceaafb13046"/>
    <ds:schemaRef ds:uri="5ce1c4f0-0394-4cca-b829-34bff9279afc"/>
    <ds:schemaRef ds:uri="f539f2df-4f05-45ee-94ae-115352d6540f"/>
  </ds:schemaRefs>
</ds:datastoreItem>
</file>

<file path=customXml/itemProps6.xml><?xml version="1.0" encoding="utf-8"?>
<ds:datastoreItem xmlns:ds="http://schemas.openxmlformats.org/officeDocument/2006/customXml" ds:itemID="{0361667D-859B-4BCE-87CA-4265E41B3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1c4f0-0394-4cca-b829-34bff9279afc"/>
    <ds:schemaRef ds:uri="4600776d-0a3c-44b4-bff2-0ceaafb13046"/>
    <ds:schemaRef ds:uri="f539f2df-4f05-45ee-94ae-115352d65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NPP0005</dc:title>
  <cp:revision>0</cp:revision>
</cp:coreProperties>
</file>