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95866" w:rsidRPr="0081118D" w:rsidP="00695866">
      <w:pPr>
        <w:rPr>
          <w:b/>
          <w:sz w:val="22"/>
        </w:rPr>
      </w:pPr>
    </w:p>
    <w:p w:rsidR="00695866" w:rsidRPr="0081118D">
      <w:pPr>
        <w:jc w:val="center"/>
        <w:rPr>
          <w:b/>
          <w:sz w:val="22"/>
        </w:rPr>
      </w:pPr>
      <w:r w:rsidRPr="0081118D">
        <w:rPr>
          <w:b/>
          <w:sz w:val="22"/>
        </w:rPr>
        <w:t xml:space="preserve">Written evidence submitted by the </w:t>
      </w:r>
      <w:r w:rsidRPr="0081118D">
        <w:rPr>
          <w:b/>
          <w:sz w:val="22"/>
        </w:rPr>
        <w:t>Fusion Industry Taskforce</w:t>
      </w:r>
      <w:r w:rsidRPr="0081118D">
        <w:rPr>
          <w:b/>
          <w:sz w:val="22"/>
        </w:rPr>
        <w:t xml:space="preserve"> (NPP0004)</w:t>
      </w:r>
    </w:p>
    <w:p w:rsidR="00C257C2" w:rsidRPr="0081118D">
      <w:pPr>
        <w:jc w:val="center"/>
        <w:rPr>
          <w:b/>
          <w:sz w:val="22"/>
        </w:rPr>
      </w:pPr>
    </w:p>
    <w:p w:rsidR="00000000" w:rsidRPr="0081118D" w:rsidP="00D942FC">
      <w:pPr>
        <w:ind w:left="259" w:hanging="259"/>
        <w:jc w:val="both"/>
        <w:rPr>
          <w:sz w:val="22"/>
        </w:rPr>
      </w:pPr>
      <w:r w:rsidRPr="0081118D">
        <w:rPr>
          <w:b/>
          <w:sz w:val="22"/>
        </w:rPr>
        <w:t xml:space="preserve">0.1 </w:t>
      </w:r>
      <w:r w:rsidRPr="0081118D" w:rsidR="003F61BD">
        <w:rPr>
          <w:b/>
          <w:sz w:val="22"/>
        </w:rPr>
        <w:t xml:space="preserve">  </w:t>
      </w:r>
      <w:r w:rsidRPr="0081118D">
        <w:rPr>
          <w:sz w:val="22"/>
        </w:rPr>
        <w:t>The Fusion Industry Taskforce (FIT) welcomes the opportunity to respond to the Energy Security and Net Zero Committee inquiry into the draft National Policy Statement for fusion energy (EN-8). FIT represents the views of the fusion industry supply chain in the UK and counts among its members developers, supply chain organisations, leading universities and local authority representatives. This response draws on input from across that supply chain.</w:t>
      </w:r>
    </w:p>
    <w:p w:rsidR="00000000" w:rsidRPr="0081118D" w:rsidP="00D942FC">
      <w:pPr>
        <w:ind w:left="259" w:hanging="259"/>
        <w:jc w:val="both"/>
        <w:rPr>
          <w:sz w:val="22"/>
        </w:rPr>
      </w:pPr>
      <w:r w:rsidRPr="0081118D">
        <w:rPr>
          <w:b/>
          <w:sz w:val="22"/>
        </w:rPr>
        <w:t xml:space="preserve">0.2  </w:t>
      </w:r>
      <w:r w:rsidRPr="0081118D">
        <w:rPr>
          <w:sz w:val="22"/>
        </w:rPr>
        <w:t>FIT</w:t>
      </w:r>
      <w:r w:rsidRPr="0081118D">
        <w:rPr>
          <w:sz w:val="22"/>
        </w:rPr>
        <w:t xml:space="preserve"> supports a dedicated, proportionate and technology-agnostic National Policy Statement for fusion. A clear and stable consenting route improves the certainty on which developers and the supply chain can base investment, recruitment and contracting decisions. The framework should also help the UK develop the engineering and industrial capability needed to move from first-of-a-kind projects to repeat commercial deployment.</w:t>
      </w:r>
    </w:p>
    <w:p w:rsidR="00000000" w:rsidRPr="0081118D" w:rsidP="00D942FC">
      <w:pPr>
        <w:pStyle w:val="Heading1"/>
        <w:rPr>
          <w:color w:val="auto"/>
          <w:sz w:val="24"/>
          <w:szCs w:val="24"/>
        </w:rPr>
      </w:pPr>
      <w:r w:rsidRPr="0081118D">
        <w:rPr>
          <w:color w:val="auto"/>
          <w:sz w:val="24"/>
          <w:szCs w:val="24"/>
        </w:rPr>
        <w:t xml:space="preserve">Question 1 </w:t>
      </w:r>
      <w:r w:rsidRPr="0081118D">
        <w:rPr>
          <w:color w:val="auto"/>
          <w:sz w:val="24"/>
          <w:szCs w:val="24"/>
        </w:rPr>
        <w:t xml:space="preserve">– </w:t>
      </w:r>
      <w:r w:rsidRPr="0081118D">
        <w:rPr>
          <w:color w:val="auto"/>
          <w:sz w:val="24"/>
          <w:szCs w:val="24"/>
        </w:rPr>
        <w:t>Does EN-8 provide the basis to encourage investment in fusion energy in the UK?</w:t>
      </w:r>
    </w:p>
    <w:p w:rsidR="00000000" w:rsidRPr="0081118D" w:rsidP="00D942FC">
      <w:pPr>
        <w:ind w:left="259" w:hanging="259"/>
        <w:jc w:val="both"/>
        <w:rPr>
          <w:sz w:val="22"/>
        </w:rPr>
      </w:pPr>
      <w:r w:rsidRPr="0081118D">
        <w:rPr>
          <w:b/>
          <w:sz w:val="22"/>
        </w:rPr>
        <w:t xml:space="preserve">1.1  </w:t>
      </w:r>
      <w:r w:rsidRPr="0081118D">
        <w:rPr>
          <w:sz w:val="22"/>
        </w:rPr>
        <w:t>Broadly</w:t>
      </w:r>
      <w:r w:rsidRPr="0081118D">
        <w:rPr>
          <w:sz w:val="22"/>
        </w:rPr>
        <w:t>, yes. FIT considers that EN-8 provides a proportionate basis for fusion energy development. Its dedicated and technology-agnostic approach, read alongside EN-1 and EN-5 where relevant, is broadly clear and coherent. The proposed capacity thresholds should, however, remain future-proofed so that novel designs and non-electrical outputs are neither inadvertently caught nor excluded as fusion technology evolves.</w:t>
      </w:r>
    </w:p>
    <w:p w:rsidR="00000000" w:rsidRPr="0081118D" w:rsidP="00D942FC">
      <w:pPr>
        <w:ind w:left="259" w:hanging="259"/>
        <w:jc w:val="both"/>
        <w:rPr>
          <w:sz w:val="22"/>
        </w:rPr>
      </w:pPr>
      <w:r w:rsidRPr="0081118D">
        <w:rPr>
          <w:b/>
          <w:sz w:val="22"/>
        </w:rPr>
        <w:t xml:space="preserve">1.2  </w:t>
      </w:r>
      <w:r w:rsidRPr="0081118D">
        <w:rPr>
          <w:sz w:val="22"/>
        </w:rPr>
        <w:t>Planning</w:t>
      </w:r>
      <w:r w:rsidRPr="0081118D">
        <w:rPr>
          <w:sz w:val="22"/>
        </w:rPr>
        <w:t xml:space="preserve"> certainty is only one component of investment confidence. Investors also need confidence that projects can be engineered, integrated, constructed, commissioned and operated successfully. A predictable and proportionate planning regime therefore needs to sit alongside the development of engineering, programme management, systems integration, manufacturing, testing and supply-chain capabilities required to deliver commercial fusion facilities.</w:t>
      </w:r>
    </w:p>
    <w:p w:rsidR="00000000" w:rsidRPr="0081118D" w:rsidP="00D942FC">
      <w:pPr>
        <w:ind w:left="259" w:hanging="259"/>
        <w:jc w:val="both"/>
        <w:rPr>
          <w:sz w:val="22"/>
        </w:rPr>
      </w:pPr>
      <w:r w:rsidRPr="0081118D">
        <w:rPr>
          <w:b/>
          <w:bCs/>
          <w:sz w:val="22"/>
        </w:rPr>
        <w:t xml:space="preserve">1.3  </w:t>
      </w:r>
      <w:r w:rsidRPr="0081118D">
        <w:rPr>
          <w:sz w:val="22"/>
        </w:rPr>
        <w:t>There</w:t>
      </w:r>
      <w:r w:rsidRPr="0081118D">
        <w:rPr>
          <w:sz w:val="22"/>
        </w:rPr>
        <w:t xml:space="preserve"> is an important distinction between creating an attractive environment for investment in fusion technology and creating an attractive environment for investment in a fusion industry. The UK should </w:t>
      </w:r>
      <w:r w:rsidRPr="0081118D">
        <w:rPr>
          <w:sz w:val="22"/>
        </w:rPr>
        <w:t>focus on the latter. The opportunity extends beyond individual facilities to the industrial ecosystem needed to deliver them, including engineering capability, systems integration, manufacturing capacity, testing infrastructure, digital capability, skilled workforce development and resilient supply chains.</w:t>
      </w:r>
    </w:p>
    <w:p w:rsidR="00000000" w:rsidRPr="0081118D" w:rsidP="00D942FC">
      <w:pPr>
        <w:ind w:left="259" w:hanging="259"/>
        <w:jc w:val="both"/>
        <w:rPr>
          <w:sz w:val="22"/>
        </w:rPr>
      </w:pPr>
      <w:r w:rsidRPr="0081118D">
        <w:rPr>
          <w:b/>
          <w:sz w:val="22"/>
        </w:rPr>
        <w:t xml:space="preserve">1.4  </w:t>
      </w:r>
      <w:r w:rsidRPr="0081118D">
        <w:rPr>
          <w:sz w:val="22"/>
        </w:rPr>
        <w:t>Clarity</w:t>
      </w:r>
      <w:r w:rsidRPr="0081118D">
        <w:rPr>
          <w:sz w:val="22"/>
        </w:rPr>
        <w:t xml:space="preserve"> on regulatory sequencing is central to investment confidence. The interaction between regulatory justification, the Health and Safety Executive and Environment Agency, and the development consent process would benefit from sharper clarity on timing. These interfaces and decision points govern when projects and their supply chains can commit and contract with confidence.</w:t>
      </w:r>
    </w:p>
    <w:p w:rsidR="00000000" w:rsidRPr="0081118D" w:rsidP="00D942FC">
      <w:pPr>
        <w:ind w:left="259" w:hanging="259"/>
        <w:jc w:val="both"/>
        <w:rPr>
          <w:sz w:val="22"/>
        </w:rPr>
      </w:pPr>
      <w:r w:rsidRPr="0081118D">
        <w:rPr>
          <w:b/>
          <w:sz w:val="22"/>
        </w:rPr>
        <w:t xml:space="preserve">1.5  </w:t>
      </w:r>
      <w:r w:rsidRPr="0081118D">
        <w:rPr>
          <w:sz w:val="22"/>
        </w:rPr>
        <w:t>The</w:t>
      </w:r>
      <w:r w:rsidRPr="0081118D">
        <w:rPr>
          <w:sz w:val="22"/>
        </w:rPr>
        <w:t xml:space="preserve"> provisions for multiple devices and phased Development Consent Orders are welcome and should be retained. They support the multi-device build-out programmes </w:t>
      </w:r>
      <w:r w:rsidRPr="0081118D">
        <w:rPr>
          <w:sz w:val="22"/>
        </w:rPr>
        <w:t>anticipated</w:t>
      </w:r>
      <w:r w:rsidRPr="0081118D">
        <w:rPr>
          <w:sz w:val="22"/>
        </w:rPr>
        <w:t xml:space="preserve"> across the sector and provide a basis for progression beyond initial demonstration facilities. An efficient, predictable and proportionate planning framework is itself a competitive advantage for the UK and can support inward investment, UK engineering capability and exportable expertise.</w:t>
      </w:r>
    </w:p>
    <w:p w:rsidR="00000000" w:rsidRPr="0081118D" w:rsidP="00D942FC">
      <w:pPr>
        <w:pStyle w:val="Heading1"/>
        <w:rPr>
          <w:color w:val="auto"/>
          <w:sz w:val="24"/>
          <w:szCs w:val="24"/>
        </w:rPr>
      </w:pPr>
      <w:r w:rsidRPr="0081118D">
        <w:rPr>
          <w:color w:val="auto"/>
          <w:sz w:val="24"/>
          <w:szCs w:val="24"/>
        </w:rPr>
        <w:t xml:space="preserve">Question 2 </w:t>
      </w:r>
      <w:r w:rsidRPr="0081118D">
        <w:rPr>
          <w:color w:val="auto"/>
          <w:sz w:val="24"/>
          <w:szCs w:val="24"/>
        </w:rPr>
        <w:t>– Does the proposed approach adequately balance flexibility, safety, and impact on communities and the environment?</w:t>
      </w:r>
    </w:p>
    <w:p w:rsidR="00000000" w:rsidRPr="0081118D" w:rsidP="00D942FC">
      <w:pPr>
        <w:ind w:left="259" w:hanging="259"/>
        <w:jc w:val="both"/>
        <w:rPr>
          <w:sz w:val="22"/>
        </w:rPr>
      </w:pPr>
      <w:r w:rsidRPr="0081118D">
        <w:rPr>
          <w:b/>
          <w:sz w:val="22"/>
        </w:rPr>
        <w:t xml:space="preserve">2.1  </w:t>
      </w:r>
      <w:r w:rsidRPr="0081118D">
        <w:rPr>
          <w:sz w:val="22"/>
        </w:rPr>
        <w:t>Broadly</w:t>
      </w:r>
      <w:r w:rsidRPr="0081118D">
        <w:rPr>
          <w:sz w:val="22"/>
        </w:rPr>
        <w:t xml:space="preserve">, yes. The technology-agnostic and proportionate approach is important because fusion technologies under development can have different configurations and risk profiles. Requirements should be proportionate to the actual hazards and impacts presented by </w:t>
      </w:r>
      <w:r w:rsidRPr="0081118D">
        <w:rPr>
          <w:sz w:val="22"/>
        </w:rPr>
        <w:t>an individual</w:t>
      </w:r>
      <w:r w:rsidRPr="0081118D">
        <w:rPr>
          <w:sz w:val="22"/>
        </w:rPr>
        <w:t xml:space="preserve"> technology rather than inherited automatically from the fission regime.</w:t>
      </w:r>
    </w:p>
    <w:p w:rsidR="00000000" w:rsidRPr="0081118D" w:rsidP="00D942FC">
      <w:pPr>
        <w:ind w:left="259" w:hanging="259"/>
        <w:jc w:val="both"/>
        <w:rPr>
          <w:sz w:val="22"/>
        </w:rPr>
      </w:pPr>
      <w:r w:rsidRPr="0081118D">
        <w:rPr>
          <w:b/>
          <w:sz w:val="22"/>
        </w:rPr>
        <w:t xml:space="preserve">2.2  </w:t>
      </w:r>
      <w:r w:rsidRPr="0081118D">
        <w:rPr>
          <w:sz w:val="22"/>
        </w:rPr>
        <w:t>Project</w:t>
      </w:r>
      <w:r w:rsidRPr="0081118D">
        <w:rPr>
          <w:sz w:val="22"/>
        </w:rPr>
        <w:t xml:space="preserve">-level assessment must remain technology-specific, place-sensitive and capable of responding to evolving fusion designs. This is particularly important </w:t>
      </w:r>
      <w:r w:rsidRPr="0081118D">
        <w:rPr>
          <w:sz w:val="22"/>
        </w:rPr>
        <w:t xml:space="preserve">in terms of proximity to populations and emergency planning. Decisions should take a proportionate view of the risks of specific projects while recognising the need to build and retain public trust in </w:t>
      </w:r>
      <w:r w:rsidRPr="0081118D">
        <w:rPr>
          <w:sz w:val="22"/>
        </w:rPr>
        <w:t>a developing</w:t>
      </w:r>
      <w:r w:rsidRPr="0081118D">
        <w:rPr>
          <w:sz w:val="22"/>
        </w:rPr>
        <w:t xml:space="preserve"> technology.</w:t>
      </w:r>
    </w:p>
    <w:p w:rsidR="00000000" w:rsidRPr="0081118D" w:rsidP="00D942FC">
      <w:pPr>
        <w:ind w:left="259" w:hanging="259"/>
        <w:jc w:val="both"/>
        <w:rPr>
          <w:sz w:val="22"/>
        </w:rPr>
      </w:pPr>
      <w:r w:rsidRPr="0081118D">
        <w:rPr>
          <w:b/>
          <w:bCs/>
          <w:sz w:val="22"/>
        </w:rPr>
        <w:t xml:space="preserve">2.3 </w:t>
      </w:r>
      <w:r w:rsidRPr="0081118D">
        <w:rPr>
          <w:b/>
          <w:bCs/>
          <w:sz w:val="22"/>
        </w:rPr>
        <w:t xml:space="preserve"> </w:t>
      </w:r>
      <w:r w:rsidRPr="0081118D">
        <w:rPr>
          <w:sz w:val="22"/>
        </w:rPr>
        <w:t>Whole</w:t>
      </w:r>
      <w:r w:rsidRPr="0081118D">
        <w:rPr>
          <w:sz w:val="22"/>
        </w:rPr>
        <w:t>-life engineering is relevant to achieving this balance. Early consideration of constructability, operability, maintainability, commissioning, decommissioning and future expansion can reduce project risk and impacts on host communities. EN-8 should encourage applicants to demonstrate this thinking during planning and design rather than focusing solely on the immediate consenting requirements.</w:t>
      </w:r>
    </w:p>
    <w:p w:rsidR="00000000" w:rsidRPr="0081118D" w:rsidP="00D942FC">
      <w:pPr>
        <w:ind w:left="259" w:hanging="259"/>
        <w:jc w:val="both"/>
        <w:rPr>
          <w:sz w:val="22"/>
        </w:rPr>
      </w:pPr>
      <w:r w:rsidRPr="0081118D">
        <w:rPr>
          <w:b/>
          <w:sz w:val="22"/>
        </w:rPr>
        <w:t>2.</w:t>
      </w:r>
      <w:r w:rsidRPr="0081118D">
        <w:rPr>
          <w:b/>
          <w:sz w:val="22"/>
        </w:rPr>
        <w:t xml:space="preserve">4  </w:t>
      </w:r>
      <w:r w:rsidRPr="0081118D">
        <w:rPr>
          <w:sz w:val="22"/>
        </w:rPr>
        <w:t>Several</w:t>
      </w:r>
      <w:r w:rsidRPr="0081118D">
        <w:rPr>
          <w:sz w:val="22"/>
        </w:rPr>
        <w:t xml:space="preserve"> considerations will rely on forward-looking, model-based assessment because fusion facilities are first-of-a-kind and there is limited operational precedent. EN-8 should state that predictive modelling includes a proportionate characterisation of uncertainty. Well-characterised uncertainty should be treated as evidence of a robust safety and environmental case rather than as a weakness of the model.</w:t>
      </w:r>
    </w:p>
    <w:p w:rsidR="00000000" w:rsidRPr="0081118D" w:rsidP="00D942FC">
      <w:pPr>
        <w:ind w:left="259" w:hanging="259"/>
        <w:jc w:val="both"/>
        <w:rPr>
          <w:sz w:val="22"/>
        </w:rPr>
      </w:pPr>
      <w:r w:rsidRPr="0081118D">
        <w:rPr>
          <w:b/>
          <w:sz w:val="22"/>
        </w:rPr>
        <w:t>2.</w:t>
      </w:r>
      <w:r w:rsidRPr="0081118D">
        <w:rPr>
          <w:b/>
          <w:sz w:val="22"/>
        </w:rPr>
        <w:t xml:space="preserve">5  </w:t>
      </w:r>
      <w:r w:rsidRPr="0081118D">
        <w:rPr>
          <w:sz w:val="22"/>
        </w:rPr>
        <w:t>FIT</w:t>
      </w:r>
      <w:r w:rsidRPr="0081118D">
        <w:rPr>
          <w:sz w:val="22"/>
        </w:rPr>
        <w:t xml:space="preserve"> also supports stronger recognition of socio-economic benefits, including the role of fusion facilities as anchor investments capable of attracting complementary businesses, research institutions and supply chains.</w:t>
      </w:r>
    </w:p>
    <w:p w:rsidR="00000000" w:rsidRPr="0081118D" w:rsidP="00D942FC">
      <w:pPr>
        <w:pStyle w:val="Heading1"/>
        <w:rPr>
          <w:color w:val="auto"/>
          <w:sz w:val="24"/>
          <w:szCs w:val="24"/>
        </w:rPr>
      </w:pPr>
      <w:r w:rsidRPr="0081118D">
        <w:rPr>
          <w:color w:val="auto"/>
          <w:sz w:val="24"/>
          <w:szCs w:val="24"/>
        </w:rPr>
        <w:t xml:space="preserve">Question 3 </w:t>
      </w:r>
      <w:r w:rsidRPr="0081118D">
        <w:rPr>
          <w:color w:val="auto"/>
          <w:sz w:val="24"/>
          <w:szCs w:val="24"/>
        </w:rPr>
        <w:t>– The draft EN-8 removes the need for the Semi-Urban Population Density criterion for siting fusion energy technology. Given its retention in EN-7, is it contradictory to remove it for fusion facilities?</w:t>
      </w:r>
    </w:p>
    <w:p w:rsidR="00000000" w:rsidRPr="0081118D" w:rsidP="00D942FC">
      <w:pPr>
        <w:ind w:left="259" w:hanging="259"/>
        <w:jc w:val="both"/>
        <w:rPr>
          <w:sz w:val="22"/>
        </w:rPr>
      </w:pPr>
      <w:r w:rsidRPr="0081118D">
        <w:rPr>
          <w:b/>
          <w:sz w:val="22"/>
        </w:rPr>
        <w:t xml:space="preserve">3.1  </w:t>
      </w:r>
      <w:r w:rsidRPr="0081118D">
        <w:rPr>
          <w:sz w:val="22"/>
        </w:rPr>
        <w:t>FIT</w:t>
      </w:r>
      <w:r w:rsidRPr="0081118D">
        <w:rPr>
          <w:sz w:val="22"/>
        </w:rPr>
        <w:t xml:space="preserve"> does not consider that this issue should be approached simply as a comparison between fusion and fission. The relevant principle is that </w:t>
      </w:r>
      <w:r w:rsidRPr="0081118D">
        <w:rPr>
          <w:sz w:val="22"/>
        </w:rPr>
        <w:t>siting</w:t>
      </w:r>
      <w:r w:rsidRPr="0081118D">
        <w:rPr>
          <w:sz w:val="22"/>
        </w:rPr>
        <w:t xml:space="preserve"> requirements should be evidence-led and proportionate to the hazard presented by the facility. Fusion technologies can have very different inventories, configurations and risk profiles, so an arbitrary population-density restriction may not be appropriate in every case.</w:t>
      </w:r>
    </w:p>
    <w:p w:rsidR="00000000" w:rsidRPr="0081118D" w:rsidP="00D942FC">
      <w:pPr>
        <w:ind w:left="259" w:hanging="259"/>
        <w:jc w:val="both"/>
        <w:rPr>
          <w:sz w:val="22"/>
        </w:rPr>
      </w:pPr>
      <w:r w:rsidRPr="0081118D">
        <w:rPr>
          <w:b/>
          <w:sz w:val="22"/>
        </w:rPr>
        <w:t xml:space="preserve">3.2  </w:t>
      </w:r>
      <w:r w:rsidRPr="0081118D">
        <w:rPr>
          <w:sz w:val="22"/>
        </w:rPr>
        <w:t>Removal</w:t>
      </w:r>
      <w:r w:rsidRPr="0081118D">
        <w:rPr>
          <w:sz w:val="22"/>
        </w:rPr>
        <w:t xml:space="preserve"> of the </w:t>
      </w:r>
      <w:r w:rsidRPr="0081118D">
        <w:rPr>
          <w:sz w:val="22"/>
        </w:rPr>
        <w:t>criterion</w:t>
      </w:r>
      <w:r w:rsidRPr="0081118D">
        <w:rPr>
          <w:sz w:val="22"/>
        </w:rPr>
        <w:t xml:space="preserve"> must be accompanied by convincing, technology-specific evidence that a facility is safe in its proposed location. Regulators will need the capability and suitably qualified and experienced personnel to assess the design and justification of the relevant elements of fusion energy plants, including where activated materials or seismic risks are involved. A lack of capability could create delays and undermine confidence in the regime.</w:t>
      </w:r>
    </w:p>
    <w:p w:rsidR="00000000" w:rsidRPr="0081118D" w:rsidP="00D942FC">
      <w:pPr>
        <w:ind w:left="259" w:hanging="259"/>
        <w:jc w:val="both"/>
        <w:rPr>
          <w:sz w:val="22"/>
        </w:rPr>
      </w:pPr>
      <w:r w:rsidRPr="0081118D">
        <w:rPr>
          <w:b/>
          <w:sz w:val="22"/>
        </w:rPr>
        <w:t xml:space="preserve">3.3  </w:t>
      </w:r>
      <w:r w:rsidRPr="0081118D">
        <w:rPr>
          <w:sz w:val="22"/>
        </w:rPr>
        <w:t>Public</w:t>
      </w:r>
      <w:r w:rsidRPr="0081118D">
        <w:rPr>
          <w:sz w:val="22"/>
        </w:rPr>
        <w:t xml:space="preserve"> confidence will be critical as commercial fusion moves towards deployment. </w:t>
      </w:r>
      <w:r w:rsidRPr="0081118D">
        <w:rPr>
          <w:sz w:val="22"/>
        </w:rPr>
        <w:t>Siting</w:t>
      </w:r>
      <w:r w:rsidRPr="0081118D">
        <w:rPr>
          <w:sz w:val="22"/>
        </w:rPr>
        <w:t xml:space="preserve"> decisions should therefore be transparent, proportionate to the risks of </w:t>
      </w:r>
      <w:r w:rsidRPr="0081118D">
        <w:rPr>
          <w:sz w:val="22"/>
        </w:rPr>
        <w:t>the specific</w:t>
      </w:r>
      <w:r w:rsidRPr="0081118D">
        <w:rPr>
          <w:sz w:val="22"/>
        </w:rPr>
        <w:t xml:space="preserve"> technology and cognisant of public perception. The objective should be a framework that avoids unnecessary restrictions while requiring a clear and credible safety case for each proposed location.</w:t>
      </w:r>
    </w:p>
    <w:p w:rsidR="00000000" w:rsidRPr="0081118D" w:rsidP="00D942FC">
      <w:pPr>
        <w:pStyle w:val="Heading1"/>
        <w:rPr>
          <w:color w:val="auto"/>
          <w:sz w:val="24"/>
          <w:szCs w:val="24"/>
        </w:rPr>
      </w:pPr>
      <w:r w:rsidRPr="0081118D">
        <w:rPr>
          <w:color w:val="auto"/>
          <w:sz w:val="24"/>
          <w:szCs w:val="24"/>
        </w:rPr>
        <w:t>Question 4</w:t>
      </w:r>
      <w:r w:rsidRPr="0081118D">
        <w:rPr>
          <w:color w:val="auto"/>
          <w:sz w:val="24"/>
          <w:szCs w:val="24"/>
        </w:rPr>
        <w:t xml:space="preserve"> </w:t>
      </w:r>
      <w:r w:rsidRPr="0081118D">
        <w:rPr>
          <w:color w:val="auto"/>
          <w:sz w:val="24"/>
          <w:szCs w:val="24"/>
        </w:rPr>
        <w:t>– Is EN-8 adequately future-proofed to accommodate advancements in fusion energy technologies?</w:t>
      </w:r>
    </w:p>
    <w:p w:rsidR="00000000" w:rsidRPr="0081118D" w:rsidP="00D942FC">
      <w:pPr>
        <w:ind w:left="259" w:hanging="259"/>
        <w:jc w:val="both"/>
        <w:rPr>
          <w:sz w:val="22"/>
        </w:rPr>
      </w:pPr>
      <w:r w:rsidRPr="0081118D">
        <w:rPr>
          <w:b/>
          <w:sz w:val="22"/>
        </w:rPr>
        <w:t xml:space="preserve">4.1  </w:t>
      </w:r>
      <w:r w:rsidRPr="0081118D">
        <w:rPr>
          <w:sz w:val="22"/>
        </w:rPr>
        <w:t>Technology</w:t>
      </w:r>
      <w:r w:rsidRPr="0081118D">
        <w:rPr>
          <w:sz w:val="22"/>
        </w:rPr>
        <w:t xml:space="preserve"> neutrality is a strong starting point, but </w:t>
      </w:r>
      <w:r w:rsidRPr="0081118D">
        <w:rPr>
          <w:sz w:val="22"/>
        </w:rPr>
        <w:t>future-proofing</w:t>
      </w:r>
      <w:r w:rsidRPr="0081118D">
        <w:rPr>
          <w:sz w:val="22"/>
        </w:rPr>
        <w:t xml:space="preserve"> should mean more than accommodating different fusion technologies. The framework should also support the transition from first-of-a-kind demonstration facilities to repeat commercial deployment. The test will be whether experience from early projects enables later projects to progress more efficiently without compromising safety or environmental standards.</w:t>
      </w:r>
    </w:p>
    <w:p w:rsidR="00000000" w:rsidRPr="0081118D" w:rsidP="00D942FC">
      <w:pPr>
        <w:ind w:left="259" w:hanging="259"/>
        <w:jc w:val="both"/>
        <w:rPr>
          <w:sz w:val="22"/>
        </w:rPr>
      </w:pPr>
      <w:r w:rsidRPr="0081118D">
        <w:rPr>
          <w:b/>
          <w:sz w:val="22"/>
        </w:rPr>
        <w:t xml:space="preserve">4.2  </w:t>
      </w:r>
      <w:r w:rsidRPr="0081118D">
        <w:rPr>
          <w:sz w:val="22"/>
        </w:rPr>
        <w:t>The</w:t>
      </w:r>
      <w:r w:rsidRPr="0081118D">
        <w:rPr>
          <w:sz w:val="22"/>
        </w:rPr>
        <w:t xml:space="preserve"> NSIP</w:t>
      </w:r>
      <w:r w:rsidRPr="0081118D">
        <w:rPr>
          <w:sz w:val="22"/>
        </w:rPr>
        <w:t xml:space="preserve"> (National</w:t>
      </w:r>
      <w:r w:rsidRPr="0081118D">
        <w:rPr>
          <w:sz w:val="22"/>
        </w:rPr>
        <w:t>ly Significant Infrastructure Projects) capacity thresholds should be kept under review as designs and outputs evolve. They should account for thermal as well as electrical capacity and retain sufficient flexibility for projects to use the NSIP route where national consideration is appropriate. Greater consistency between the English and Welsh thresholds would also support UK-wide supply chains, research partnerships and inward investment.</w:t>
      </w:r>
    </w:p>
    <w:p w:rsidR="00000000" w:rsidRPr="0081118D" w:rsidP="00D942FC">
      <w:pPr>
        <w:ind w:left="259" w:hanging="259"/>
        <w:jc w:val="both"/>
        <w:rPr>
          <w:sz w:val="22"/>
        </w:rPr>
      </w:pPr>
      <w:r w:rsidRPr="0081118D">
        <w:rPr>
          <w:b/>
          <w:sz w:val="22"/>
        </w:rPr>
        <w:t xml:space="preserve">4.3  </w:t>
      </w:r>
      <w:r w:rsidRPr="0081118D">
        <w:rPr>
          <w:sz w:val="22"/>
        </w:rPr>
        <w:t>The</w:t>
      </w:r>
      <w:r w:rsidRPr="0081118D">
        <w:rPr>
          <w:sz w:val="22"/>
        </w:rPr>
        <w:t xml:space="preserve"> framework should avoid a position in which every commercial facility is treated as another first-of-a-kind project. The provisions for multiple devices and phased consent should be retained, and supporting guidance should keep pace as assessment methods mature. This would allow consent decisions to remain proportionate as designs evolve and experience accumulates.</w:t>
      </w:r>
    </w:p>
    <w:p w:rsidR="00000000" w:rsidRPr="0081118D" w:rsidP="00D942FC">
      <w:pPr>
        <w:ind w:left="259" w:hanging="259"/>
        <w:jc w:val="both"/>
        <w:rPr>
          <w:sz w:val="22"/>
        </w:rPr>
      </w:pPr>
      <w:r w:rsidRPr="0081118D">
        <w:rPr>
          <w:b/>
          <w:sz w:val="22"/>
        </w:rPr>
        <w:t xml:space="preserve">4.4  </w:t>
      </w:r>
      <w:r w:rsidRPr="0081118D">
        <w:rPr>
          <w:sz w:val="22"/>
        </w:rPr>
        <w:t>Future</w:t>
      </w:r>
      <w:r w:rsidRPr="0081118D">
        <w:rPr>
          <w:sz w:val="22"/>
        </w:rPr>
        <w:t xml:space="preserve">-proofing also requires clarity on long-term waste liabilities. EN-8 should make clear the applicable requirements and where responsibility rests </w:t>
      </w:r>
      <w:r w:rsidRPr="0081118D">
        <w:rPr>
          <w:sz w:val="22"/>
        </w:rPr>
        <w:t xml:space="preserve">(e.g. among </w:t>
      </w:r>
      <w:r w:rsidRPr="0081118D">
        <w:rPr>
          <w:sz w:val="22"/>
        </w:rPr>
        <w:t>developer</w:t>
      </w:r>
      <w:r w:rsidRPr="0081118D">
        <w:rPr>
          <w:sz w:val="22"/>
        </w:rPr>
        <w:t xml:space="preserve">, </w:t>
      </w:r>
      <w:r w:rsidRPr="0081118D">
        <w:rPr>
          <w:sz w:val="22"/>
        </w:rPr>
        <w:t>operator</w:t>
      </w:r>
      <w:r w:rsidRPr="0081118D">
        <w:rPr>
          <w:sz w:val="22"/>
        </w:rPr>
        <w:t xml:space="preserve"> and government</w:t>
      </w:r>
      <w:r w:rsidRPr="0081118D">
        <w:rPr>
          <w:sz w:val="22"/>
        </w:rPr>
        <w:t>). This has a significant effect on investment cases and profitability across the project lifecycle and, consequently, on the ability to attract private investment into the UK market.</w:t>
      </w:r>
    </w:p>
    <w:p w:rsidR="00000000" w:rsidRPr="0081118D" w:rsidP="00D942FC">
      <w:pPr>
        <w:pStyle w:val="Heading1"/>
        <w:rPr>
          <w:color w:val="auto"/>
          <w:sz w:val="24"/>
          <w:szCs w:val="24"/>
        </w:rPr>
      </w:pPr>
      <w:r w:rsidRPr="0081118D">
        <w:rPr>
          <w:color w:val="auto"/>
          <w:sz w:val="24"/>
          <w:szCs w:val="24"/>
        </w:rPr>
        <w:t xml:space="preserve">Question 5 </w:t>
      </w:r>
      <w:r w:rsidRPr="0081118D">
        <w:rPr>
          <w:color w:val="auto"/>
          <w:sz w:val="24"/>
          <w:szCs w:val="24"/>
        </w:rPr>
        <w:t>– How does EN-8 compare to international approaches? Are there lessons to be learned from other countries’ planning systems?</w:t>
      </w:r>
    </w:p>
    <w:p w:rsidR="00000000" w:rsidRPr="0081118D" w:rsidP="00D942FC">
      <w:pPr>
        <w:ind w:left="259" w:hanging="259"/>
        <w:jc w:val="both"/>
        <w:rPr>
          <w:sz w:val="22"/>
        </w:rPr>
      </w:pPr>
      <w:r w:rsidRPr="0081118D">
        <w:rPr>
          <w:b/>
          <w:sz w:val="22"/>
        </w:rPr>
        <w:t xml:space="preserve">5.1  </w:t>
      </w:r>
      <w:r w:rsidRPr="0081118D">
        <w:rPr>
          <w:sz w:val="22"/>
        </w:rPr>
        <w:t>International</w:t>
      </w:r>
      <w:r w:rsidRPr="0081118D">
        <w:rPr>
          <w:sz w:val="22"/>
        </w:rPr>
        <w:t xml:space="preserve"> fusion developers increasingly have choices about where they locate facilities, investment and supply chains. The UK’s proportionate regulatory approach can therefore be a competitive advantage, but only if regulatory proportionality translates into programm</w:t>
      </w:r>
      <w:r w:rsidRPr="0081118D">
        <w:rPr>
          <w:sz w:val="22"/>
        </w:rPr>
        <w:t>atic advantage.</w:t>
      </w:r>
    </w:p>
    <w:p w:rsidR="00000000" w:rsidRPr="0081118D" w:rsidP="00D942FC">
      <w:pPr>
        <w:ind w:left="259" w:hanging="259"/>
        <w:jc w:val="both"/>
        <w:rPr>
          <w:sz w:val="22"/>
        </w:rPr>
      </w:pPr>
      <w:r w:rsidRPr="0081118D">
        <w:rPr>
          <w:b/>
          <w:bCs/>
          <w:sz w:val="22"/>
        </w:rPr>
        <w:t xml:space="preserve">5.2 </w:t>
      </w:r>
      <w:r w:rsidRPr="0081118D">
        <w:rPr>
          <w:sz w:val="22"/>
        </w:rPr>
        <w:t>Predictability of schedule, regulatory interfaces and decision points matters alongside the regulatory requirements themselves. The planning and regulatory system should give developers and supply chains sufficient certainty to plan investment, recruit capability and enter contracts. Supporting guidance should evolve as designs and methods mature so that the regime remains proportionate and does not add unnecessary delay.</w:t>
      </w:r>
    </w:p>
    <w:p w:rsidR="00000000" w:rsidRPr="0081118D" w:rsidP="00D942FC">
      <w:pPr>
        <w:ind w:left="259" w:hanging="259"/>
        <w:jc w:val="both"/>
        <w:rPr>
          <w:sz w:val="22"/>
        </w:rPr>
      </w:pPr>
      <w:r w:rsidRPr="0081118D">
        <w:rPr>
          <w:b/>
          <w:bCs/>
          <w:sz w:val="22"/>
        </w:rPr>
        <w:t xml:space="preserve">5.3 </w:t>
      </w:r>
      <w:r w:rsidRPr="0081118D">
        <w:rPr>
          <w:sz w:val="22"/>
        </w:rPr>
        <w:t xml:space="preserve">International competition is also about industrial capability, not simply being first to demonstrate fusion. Countries that establish strong engineering, manufacturing, testing, systems-integration and supply-chain </w:t>
      </w:r>
      <w:r w:rsidRPr="0081118D">
        <w:rPr>
          <w:sz w:val="22"/>
        </w:rPr>
        <w:t>capability</w:t>
      </w:r>
      <w:r w:rsidRPr="0081118D">
        <w:rPr>
          <w:sz w:val="22"/>
        </w:rPr>
        <w:t xml:space="preserve"> will be better positioned to capture the economic value from subsequent global deployment. </w:t>
      </w:r>
    </w:p>
    <w:p w:rsidR="00000000" w:rsidRPr="0081118D" w:rsidP="00D942FC">
      <w:pPr>
        <w:pStyle w:val="Heading1"/>
        <w:rPr>
          <w:color w:val="auto"/>
          <w:sz w:val="24"/>
          <w:szCs w:val="24"/>
        </w:rPr>
      </w:pPr>
      <w:r w:rsidRPr="0081118D">
        <w:rPr>
          <w:color w:val="auto"/>
          <w:sz w:val="24"/>
          <w:szCs w:val="24"/>
        </w:rPr>
        <w:t xml:space="preserve">Question 6 </w:t>
      </w:r>
      <w:r w:rsidRPr="0081118D">
        <w:rPr>
          <w:color w:val="auto"/>
          <w:sz w:val="24"/>
          <w:szCs w:val="24"/>
        </w:rPr>
        <w:t>– Are there any other issues, concerns, or opportunities the Committee should consider in relation to EN-8?</w:t>
      </w:r>
    </w:p>
    <w:p w:rsidR="00000000" w:rsidRPr="0081118D" w:rsidP="00D942FC">
      <w:pPr>
        <w:ind w:left="259" w:hanging="259"/>
        <w:jc w:val="both"/>
        <w:rPr>
          <w:sz w:val="22"/>
        </w:rPr>
      </w:pPr>
      <w:r w:rsidRPr="0081118D">
        <w:rPr>
          <w:b/>
          <w:bCs/>
          <w:sz w:val="22"/>
        </w:rPr>
        <w:t xml:space="preserve">6.1 </w:t>
      </w:r>
      <w:r w:rsidRPr="0081118D">
        <w:rPr>
          <w:sz w:val="22"/>
        </w:rPr>
        <w:t xml:space="preserve">The UK’s strategic opportunity is considerably larger than delivering individual fusion facilities. Long-term competitive advantage will depend on developing an industrial ecosystem capable of repeatedly delivering </w:t>
      </w:r>
      <w:r w:rsidRPr="0081118D">
        <w:rPr>
          <w:sz w:val="22"/>
        </w:rPr>
        <w:t>fusion reactors in fleets. This requires mature engineering, systems integration, programme and project delivery, independent assurance, manufacturing, testing infrastructure, digital capability and skilled supply chains alongside fusion technology development.</w:t>
      </w:r>
    </w:p>
    <w:p w:rsidR="00000000" w:rsidRPr="0081118D" w:rsidP="00D942FC">
      <w:pPr>
        <w:ind w:left="259" w:hanging="259"/>
        <w:jc w:val="both"/>
        <w:rPr>
          <w:sz w:val="22"/>
        </w:rPr>
      </w:pPr>
      <w:r w:rsidRPr="0081118D">
        <w:rPr>
          <w:b/>
          <w:bCs/>
          <w:sz w:val="22"/>
        </w:rPr>
        <w:t xml:space="preserve">6.2 </w:t>
      </w:r>
      <w:r w:rsidRPr="0081118D">
        <w:rPr>
          <w:b/>
          <w:bCs/>
          <w:sz w:val="22"/>
        </w:rPr>
        <w:t xml:space="preserve"> </w:t>
      </w:r>
      <w:r w:rsidRPr="0081118D">
        <w:rPr>
          <w:sz w:val="22"/>
        </w:rPr>
        <w:t>If</w:t>
      </w:r>
      <w:r w:rsidRPr="0081118D">
        <w:rPr>
          <w:sz w:val="22"/>
        </w:rPr>
        <w:t xml:space="preserve"> these capabilities are developed through strong industrial leadership within the STEP programme, alongside UKAEA, academia and the emerging private fusion market, they can become exportable UK capabilities able to support fusion programmes internationally. The objective should not simply be to make the UK an attractive place to build a fusion plant, but one of the best places in the world to develop, engineer and deliver fusion programmes.</w:t>
      </w:r>
    </w:p>
    <w:p w:rsidR="00000000" w:rsidRPr="0081118D" w:rsidP="1444B9A0">
      <w:pPr>
        <w:ind w:left="259" w:hanging="259"/>
        <w:jc w:val="both"/>
        <w:rPr>
          <w:sz w:val="22"/>
        </w:rPr>
      </w:pPr>
      <w:r w:rsidRPr="0081118D">
        <w:rPr>
          <w:b/>
          <w:bCs/>
          <w:sz w:val="22"/>
        </w:rPr>
        <w:t xml:space="preserve">6.3  </w:t>
      </w:r>
      <w:r w:rsidRPr="0081118D">
        <w:rPr>
          <w:sz w:val="22"/>
        </w:rPr>
        <w:t>DESNZ</w:t>
      </w:r>
      <w:r w:rsidRPr="0081118D">
        <w:rPr>
          <w:sz w:val="22"/>
        </w:rPr>
        <w:t xml:space="preserve"> should also consider regulator capability. FIT</w:t>
      </w:r>
      <w:r w:rsidRPr="0081118D">
        <w:rPr>
          <w:sz w:val="22"/>
        </w:rPr>
        <w:t xml:space="preserve"> members raise the point that</w:t>
      </w:r>
      <w:r w:rsidRPr="0081118D">
        <w:rPr>
          <w:sz w:val="22"/>
        </w:rPr>
        <w:t xml:space="preserve"> – at present </w:t>
      </w:r>
      <w:r w:rsidRPr="0081118D">
        <w:rPr>
          <w:sz w:val="22"/>
        </w:rPr>
        <w:t>–</w:t>
      </w:r>
      <w:r w:rsidRPr="0081118D">
        <w:rPr>
          <w:sz w:val="22"/>
        </w:rPr>
        <w:t xml:space="preserve"> the Health and Safety Executive and Environment Agency may not have sufficient suitably qualified and experienced personnel to make judgments on all relevant fusion plant designs and their justification. Where needed, support from organisations with relevant expertise should be considered so that capability constraints do not cause severe delays in the approval of new plants, particularly </w:t>
      </w:r>
      <w:r w:rsidRPr="0081118D">
        <w:rPr>
          <w:sz w:val="22"/>
        </w:rPr>
        <w:t>at</w:t>
      </w:r>
      <w:r w:rsidRPr="0081118D">
        <w:rPr>
          <w:sz w:val="22"/>
        </w:rPr>
        <w:t xml:space="preserve"> scale.</w:t>
      </w:r>
    </w:p>
    <w:p w:rsidR="00000000" w:rsidRPr="0081118D" w:rsidP="00D942FC">
      <w:pPr>
        <w:ind w:left="259" w:hanging="259"/>
        <w:jc w:val="both"/>
        <w:rPr>
          <w:sz w:val="22"/>
        </w:rPr>
      </w:pPr>
      <w:r w:rsidRPr="0081118D">
        <w:rPr>
          <w:b/>
          <w:sz w:val="22"/>
        </w:rPr>
        <w:t xml:space="preserve">6.4  </w:t>
      </w:r>
      <w:r w:rsidRPr="0081118D">
        <w:rPr>
          <w:sz w:val="22"/>
        </w:rPr>
        <w:t>Finally</w:t>
      </w:r>
      <w:r w:rsidRPr="0081118D">
        <w:rPr>
          <w:sz w:val="22"/>
        </w:rPr>
        <w:t>, EN-8 should recognise the wider role of fusion in industrial competitiveness and regional economic growth, including co-location with high-demand strategic industrial users. A planning system that provides certainty, supports industrial delivery and enables repeat deployment will strengthen the UK’s position as a destination for inward investment while building engineering capability and exportable expertise.</w:t>
      </w:r>
    </w:p>
    <w:p w:rsidR="0081118D" w:rsidRPr="0081118D" w:rsidP="003F61BD">
      <w:pPr>
        <w:rPr>
          <w:i/>
          <w:iCs/>
          <w:sz w:val="22"/>
        </w:rPr>
      </w:pPr>
    </w:p>
    <w:p w:rsidR="00000000" w:rsidRPr="0081118D" w:rsidP="003F61BD">
      <w:pPr>
        <w:rPr>
          <w:i/>
          <w:iCs/>
          <w:sz w:val="22"/>
        </w:rPr>
      </w:pPr>
      <w:r w:rsidRPr="0081118D">
        <w:rPr>
          <w:i/>
          <w:iCs/>
          <w:sz w:val="22"/>
        </w:rPr>
        <w:t>August 2026</w:t>
      </w:r>
    </w:p>
    <w:sectPr w:rsidSect="00034616">
      <w:headerReference w:type="default" r:id="rId8"/>
      <w:footerReference w:type="default" r:id="rId9"/>
      <w:pgSz w:w="12240" w:h="15840"/>
      <w:pgMar w:top="936" w:right="1152" w:bottom="936" w:left="1152"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P="1B4564C2">
    <w:pPr>
      <w:pStyle w:val="Footer"/>
      <w:jc w:val="right"/>
    </w:pPr>
    <w:r>
      <w:fldChar w:fldCharType="begin"/>
    </w:r>
    <w:r>
      <w:instrText>PAGE</w:instrText>
    </w:r>
    <w:r>
      <w:fldChar w:fldCharType="separate"/>
    </w:r>
    <w:r>
      <w:rPr>
        <w:noProof/>
      </w:rPr>
      <w:t>1</w:t>
    </w:r>
    <w:r>
      <w:fldChar w:fldCharType="end"/>
    </w:r>
  </w:p>
  <w:p w:rsidR="00000000" w:rsidP="1B4564C2">
    <w:pPr>
      <w:pStyle w:val="Footer"/>
      <w:jc w:val="center"/>
      <w:rPr>
        <w:noProof/>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310"/>
      <w:gridCol w:w="3310"/>
      <w:gridCol w:w="3310"/>
    </w:tblGrid>
    <w:tr w:rsidTr="3E05F1E0">
      <w:tblPrEx>
        <w:tblW w:w="0" w:type="auto"/>
        <w:tblLook w:val="06A0"/>
      </w:tblPrEx>
      <w:trPr>
        <w:trHeight w:val="300"/>
      </w:trPr>
      <w:tc>
        <w:tcPr>
          <w:tcW w:w="3310" w:type="dxa"/>
        </w:tcPr>
        <w:p w:rsidR="00000000" w:rsidP="3E05F1E0">
          <w:pPr>
            <w:pStyle w:val="Header"/>
            <w:ind w:left="-115"/>
          </w:pPr>
        </w:p>
      </w:tc>
      <w:tc>
        <w:tcPr>
          <w:tcW w:w="3310" w:type="dxa"/>
        </w:tcPr>
        <w:p w:rsidR="00000000" w:rsidP="3E05F1E0">
          <w:pPr>
            <w:pStyle w:val="Header"/>
            <w:jc w:val="center"/>
          </w:pPr>
        </w:p>
      </w:tc>
      <w:tc>
        <w:tcPr>
          <w:tcW w:w="3310" w:type="dxa"/>
        </w:tcPr>
        <w:p w:rsidR="00000000" w:rsidP="3E05F1E0">
          <w:pPr>
            <w:pStyle w:val="Header"/>
            <w:ind w:right="-115"/>
            <w:jc w:val="right"/>
          </w:pPr>
        </w:p>
      </w:tc>
    </w:tr>
  </w:tbl>
  <w:p w:rsidR="00000000" w:rsidP="3E05F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C693F"/>
    <w:pPr>
      <w:spacing w:after="100" w:line="252" w:lineRule="auto"/>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365F91" w:themeColor="accent1" w:themeShade="BF"/>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D40EA4"/>
    <w:pPr>
      <w:spacing w:after="0" w:line="240" w:lineRule="auto"/>
    </w:pPr>
    <w:rPr>
      <w:rFonts w:ascii="Arial" w:eastAsia="Arial" w:hAnsi="Arial"/>
      <w:sz w:val="20"/>
    </w:rPr>
  </w:style>
  <w:style w:type="character" w:styleId="CommentReference">
    <w:name w:val="annotation reference"/>
    <w:basedOn w:val="DefaultParagraphFont"/>
    <w:uiPriority w:val="99"/>
    <w:semiHidden/>
    <w:unhideWhenUsed/>
    <w:rsid w:val="00F32A1D"/>
    <w:rPr>
      <w:sz w:val="16"/>
      <w:szCs w:val="16"/>
    </w:rPr>
  </w:style>
  <w:style w:type="paragraph" w:styleId="CommentText">
    <w:name w:val="annotation text"/>
    <w:basedOn w:val="Normal"/>
    <w:link w:val="CommentTextChar"/>
    <w:uiPriority w:val="99"/>
    <w:semiHidden/>
    <w:unhideWhenUsed/>
    <w:rsid w:val="00F32A1D"/>
    <w:pPr>
      <w:spacing w:line="240" w:lineRule="auto"/>
    </w:pPr>
    <w:rPr>
      <w:szCs w:val="20"/>
    </w:rPr>
  </w:style>
  <w:style w:type="character" w:customStyle="1" w:styleId="CommentTextChar">
    <w:name w:val="Comment Text Char"/>
    <w:basedOn w:val="DefaultParagraphFont"/>
    <w:link w:val="CommentText"/>
    <w:uiPriority w:val="99"/>
    <w:semiHidden/>
    <w:rsid w:val="00F32A1D"/>
    <w:rPr>
      <w:rFonts w:ascii="Arial" w:eastAsia="Arial" w:hAnsi="Arial"/>
      <w:sz w:val="20"/>
      <w:szCs w:val="20"/>
    </w:rPr>
  </w:style>
  <w:style w:type="paragraph" w:styleId="CommentSubject">
    <w:name w:val="annotation subject"/>
    <w:basedOn w:val="CommentText"/>
    <w:next w:val="CommentText"/>
    <w:link w:val="CommentSubjectChar"/>
    <w:uiPriority w:val="99"/>
    <w:semiHidden/>
    <w:unhideWhenUsed/>
    <w:rsid w:val="00F32A1D"/>
    <w:rPr>
      <w:b/>
      <w:bCs/>
    </w:rPr>
  </w:style>
  <w:style w:type="character" w:customStyle="1" w:styleId="CommentSubjectChar">
    <w:name w:val="Comment Subject Char"/>
    <w:basedOn w:val="CommentTextChar"/>
    <w:link w:val="CommentSubject"/>
    <w:uiPriority w:val="99"/>
    <w:semiHidden/>
    <w:rsid w:val="00F32A1D"/>
    <w:rPr>
      <w:rFonts w:ascii="Arial" w:eastAsia="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c89b7b-d17a-44ef-bc40-b7c0f9ef0e45">
      <Terms xmlns="http://schemas.microsoft.com/office/infopath/2007/PartnerControls"/>
    </lcf76f155ced4ddcb4097134ff3c332f>
    <TaxCatchAll xmlns="a603f21c-3b9f-4400-a4cc-5e164cc71fc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AD6924C6690F749AAF0412AF8DFB544" ma:contentTypeVersion="14" ma:contentTypeDescription="Create a new document." ma:contentTypeScope="" ma:versionID="4b82f63cf741169f034f10da3f32d877">
  <xsd:schema xmlns:xsd="http://www.w3.org/2001/XMLSchema" xmlns:xs="http://www.w3.org/2001/XMLSchema" xmlns:p="http://schemas.microsoft.com/office/2006/metadata/properties" xmlns:ns2="20c89b7b-d17a-44ef-bc40-b7c0f9ef0e45" xmlns:ns3="a603f21c-3b9f-4400-a4cc-5e164cc71fc9" targetNamespace="http://schemas.microsoft.com/office/2006/metadata/properties" ma:root="true" ma:fieldsID="e46aa8fbdd231fd6c39aeb43e1215b37" ns2:_="" ns3:_="">
    <xsd:import namespace="20c89b7b-d17a-44ef-bc40-b7c0f9ef0e45"/>
    <xsd:import namespace="a603f21c-3b9f-4400-a4cc-5e164cc71f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89b7b-d17a-44ef-bc40-b7c0f9ef0e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54f3665-58a3-4573-8b90-c0e59fb3c402"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03f21c-3b9f-4400-a4cc-5e164cc71fc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3aa767b-0ea9-4074-99a0-513e586542cd}" ma:internalName="TaxCatchAll" ma:showField="CatchAllData" ma:web="a603f21c-3b9f-4400-a4cc-5e164cc71f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A5D3A5-A91F-43B3-9F2D-8AF9AE54230A}">
  <ds:schemaRefs>
    <ds:schemaRef ds:uri="http://schemas.microsoft.com/sharepoint/v3/contenttype/forms"/>
  </ds:schemaRefs>
</ds:datastoreItem>
</file>

<file path=customXml/itemProps2.xml><?xml version="1.0" encoding="utf-8"?>
<ds:datastoreItem xmlns:ds="http://schemas.openxmlformats.org/officeDocument/2006/customXml" ds:itemID="{D10A88AC-A778-43E1-AAD6-F83F0C36F70F}">
  <ds:schemaRefs>
    <ds:schemaRef ds:uri="http://schemas.microsoft.com/office/2006/metadata/properties"/>
    <ds:schemaRef ds:uri="http://schemas.microsoft.com/office/infopath/2007/PartnerControls"/>
    <ds:schemaRef ds:uri="20c89b7b-d17a-44ef-bc40-b7c0f9ef0e45"/>
    <ds:schemaRef ds:uri="a603f21c-3b9f-4400-a4cc-5e164cc71fc9"/>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A1DC05BD-6C8B-4873-A6ED-362AB4A47C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89b7b-d17a-44ef-bc40-b7c0f9ef0e45"/>
    <ds:schemaRef ds:uri="a603f21c-3b9f-4400-a4cc-5e164cc71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NPP0004</dc:title>
  <cp:revision>0</cp:revision>
</cp:coreProperties>
</file>