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5E7C" w:rsidP="00095E7C">
      <w:pPr>
        <w:pBdr>
          <w:bottom w:val="single" w:sz="8" w:space="6" w:color="E2231A"/>
        </w:pBdr>
        <w:spacing w:after="40"/>
        <w:ind w:left="720"/>
        <w:jc w:val="center"/>
        <w:rPr>
          <w:b/>
          <w:bCs/>
          <w:sz w:val="30"/>
          <w:szCs w:val="30"/>
        </w:rPr>
      </w:pPr>
      <w:r>
        <w:rPr>
          <w:b/>
          <w:bCs/>
          <w:sz w:val="30"/>
          <w:szCs w:val="30"/>
        </w:rPr>
        <w:t>Written evidence submitted by the National Education Union</w:t>
      </w:r>
      <w:r>
        <w:rPr>
          <w:b/>
          <w:bCs/>
          <w:sz w:val="30"/>
          <w:szCs w:val="30"/>
        </w:rPr>
        <w:t xml:space="preserve"> (</w:t>
      </w:r>
      <w:r w:rsidRPr="00095E7C">
        <w:rPr>
          <w:b/>
          <w:bCs/>
          <w:sz w:val="30"/>
          <w:szCs w:val="30"/>
        </w:rPr>
        <w:t>ECA0165</w:t>
      </w:r>
      <w:r>
        <w:rPr>
          <w:b/>
          <w:bCs/>
          <w:sz w:val="30"/>
          <w:szCs w:val="30"/>
        </w:rPr>
        <w:t>)</w:t>
      </w:r>
    </w:p>
    <w:p w:rsidR="00095E7C" w:rsidRPr="00095E7C" w:rsidP="00095E7C">
      <w:pPr>
        <w:pBdr>
          <w:bottom w:val="single" w:sz="8" w:space="6" w:color="E2231A"/>
        </w:pBdr>
        <w:spacing w:after="40"/>
        <w:ind w:left="720"/>
        <w:jc w:val="center"/>
        <w:rPr>
          <w:b/>
          <w:bCs/>
          <w:sz w:val="30"/>
          <w:szCs w:val="30"/>
        </w:rPr>
      </w:pPr>
    </w:p>
    <w:p w:rsidR="00531DB0">
      <w:pPr>
        <w:pBdr>
          <w:bottom w:val="single" w:sz="8" w:space="6" w:color="E2231A"/>
        </w:pBdr>
        <w:spacing w:after="40"/>
      </w:pPr>
    </w:p>
    <w:p w:rsidR="00531DB0">
      <w:pPr>
        <w:spacing w:before="120" w:after="40"/>
      </w:pPr>
      <w:r w:rsidRPr="50140857">
        <w:rPr>
          <w:b/>
          <w:bCs/>
          <w:color w:val="E2231A"/>
          <w:sz w:val="26"/>
          <w:szCs w:val="26"/>
        </w:rPr>
        <w:t xml:space="preserve">Education </w:t>
      </w:r>
      <w:r w:rsidRPr="50140857" w:rsidR="6502A69D">
        <w:rPr>
          <w:b/>
          <w:bCs/>
          <w:color w:val="E2231A"/>
          <w:sz w:val="26"/>
          <w:szCs w:val="26"/>
        </w:rPr>
        <w:t xml:space="preserve">Select </w:t>
      </w:r>
      <w:r w:rsidRPr="50140857">
        <w:rPr>
          <w:b/>
          <w:bCs/>
          <w:color w:val="E2231A"/>
          <w:sz w:val="26"/>
          <w:szCs w:val="26"/>
        </w:rPr>
        <w:t>Committee inquiry: ‘Every Child Achieving and Thriving’ White Paper</w:t>
      </w:r>
    </w:p>
    <w:p w:rsidR="00531DB0">
      <w:pPr>
        <w:spacing w:after="220"/>
      </w:pPr>
      <w:r w:rsidRPr="50140857">
        <w:rPr>
          <w:i/>
          <w:iCs/>
          <w:color w:val="595959" w:themeColor="text1" w:themeTint="A6"/>
          <w:sz w:val="20"/>
          <w:szCs w:val="20"/>
        </w:rPr>
        <w:t>Ju</w:t>
      </w:r>
      <w:r w:rsidRPr="50140857" w:rsidR="5DC46ADD">
        <w:rPr>
          <w:i/>
          <w:iCs/>
          <w:color w:val="595959" w:themeColor="text1" w:themeTint="A6"/>
          <w:sz w:val="20"/>
          <w:szCs w:val="20"/>
        </w:rPr>
        <w:t>ly</w:t>
      </w:r>
      <w:r w:rsidRPr="50140857">
        <w:rPr>
          <w:i/>
          <w:iCs/>
          <w:color w:val="595959" w:themeColor="text1" w:themeTint="A6"/>
          <w:sz w:val="20"/>
          <w:szCs w:val="20"/>
        </w:rPr>
        <w:t xml:space="preserve"> 2026</w:t>
      </w:r>
    </w:p>
    <w:p w:rsidR="00531DB0">
      <w:pPr>
        <w:pStyle w:val="Heading1"/>
      </w:pPr>
      <w:r>
        <w:t>About the National Education Union</w:t>
      </w:r>
    </w:p>
    <w:p w:rsidR="00531DB0">
      <w:pPr>
        <w:spacing w:after="140"/>
      </w:pPr>
      <w:r>
        <w:t>The National Education Union (NEU) is the largest education union in the UK, representing around 500,000 teachers, leaders and support staff in early years settings, schools, academies, colleges and independent schools.</w:t>
      </w:r>
    </w:p>
    <w:p w:rsidR="00531DB0">
      <w:pPr>
        <w:pStyle w:val="Heading1"/>
      </w:pPr>
      <w:r>
        <w:t>1. Raising attainment</w:t>
      </w:r>
    </w:p>
    <w:p w:rsidR="00531DB0">
      <w:pPr>
        <w:pStyle w:val="Heading2"/>
      </w:pPr>
      <w:r>
        <w:t>Accountability measures: Progress 8, Attainment 8 and new measures for low and high attainers</w:t>
      </w:r>
    </w:p>
    <w:p w:rsidR="00531DB0">
      <w:pPr>
        <w:spacing w:after="140"/>
      </w:pPr>
      <w:r w:rsidRPr="50140857">
        <w:rPr>
          <w:b/>
          <w:bCs/>
        </w:rPr>
        <w:t xml:space="preserve">1. </w:t>
      </w:r>
      <w:r>
        <w:t xml:space="preserve">We welcome the recognition </w:t>
      </w:r>
      <w:r w:rsidR="44F9BD3E">
        <w:t xml:space="preserve">in the </w:t>
      </w:r>
      <w:r w:rsidR="2024FE36">
        <w:t xml:space="preserve">White </w:t>
      </w:r>
      <w:r w:rsidR="22BD2BEE">
        <w:t>P</w:t>
      </w:r>
      <w:r w:rsidR="44F9BD3E">
        <w:t xml:space="preserve">aper </w:t>
      </w:r>
      <w:r>
        <w:t xml:space="preserve">that accountability has become too narrow, and the removal of the English Baccalaureate (EBacc) measures. But Progress 8 and Attainment 8 remain despite long-standing evidence that attainment and progress are shaped by factors beyond schools’ control. Publishing school-level scores and bandings implies a precision that does not exist, unfairly compares schools serving different communities, and frames success as competition rather than shared endeavour. </w:t>
      </w:r>
      <w:r w:rsidR="00D161BD">
        <w:br/>
      </w:r>
      <w:r w:rsidRPr="50140857">
        <w:rPr>
          <w:b/>
          <w:bCs/>
        </w:rPr>
        <w:t>Recommendation: stop publishing school-level data calculated using qualification results, including Progress 8 and Attainment 8.</w:t>
      </w:r>
    </w:p>
    <w:p w:rsidR="00531DB0">
      <w:pPr>
        <w:spacing w:after="140"/>
      </w:pPr>
      <w:r>
        <w:rPr>
          <w:b/>
          <w:bCs/>
        </w:rPr>
        <w:t xml:space="preserve">2. </w:t>
      </w:r>
      <w:r>
        <w:t>The focus on low prior attainers reflects a long-standing NEU call: 15% of pupils do not fill all eight Progress 8 slots, rising to 33% of low prior attainers and 49% of pupils with special educational needs and disabilities (SEND)</w:t>
      </w:r>
      <w:r>
        <w:rPr>
          <w:vertAlign w:val="superscript"/>
        </w:rPr>
        <w:footnoteReference w:id="2"/>
      </w:r>
      <w:r>
        <w:t xml:space="preserve">. However, the proposed ‘best fit’ measure adds to, rather than reforms, a model whose incentives distort curriculum choices and disadvantage some learners. </w:t>
      </w:r>
      <w:r>
        <w:br/>
      </w:r>
      <w:r>
        <w:rPr>
          <w:b/>
          <w:bCs/>
        </w:rPr>
        <w:t>Recommendation: do not publish the 'best fit' measure or use it for accountability purposes.</w:t>
      </w:r>
    </w:p>
    <w:p w:rsidR="00531DB0">
      <w:pPr>
        <w:pStyle w:val="Heading2"/>
      </w:pPr>
      <w:r>
        <w:t>Whether accountability changes support a broad and balanced curriculum</w:t>
      </w:r>
    </w:p>
    <w:p w:rsidR="00531DB0">
      <w:pPr>
        <w:spacing w:after="140"/>
      </w:pPr>
      <w:r>
        <w:rPr>
          <w:b/>
          <w:bCs/>
        </w:rPr>
        <w:t xml:space="preserve">3. </w:t>
      </w:r>
      <w:r>
        <w:t>The proposed changes to Progress 8 do not go far enough and work against the government's own aim: the cap on technical awards and restrictions on vocational qualifications reduce access and choice, and adding science as a breadth category would leave Progress 8 recognising only one of humanities, creative subjects or languages. Education Datalab analysis suggests the changes could reduce entries in geography and history.</w:t>
      </w:r>
      <w:r>
        <w:rPr>
          <w:rStyle w:val="FootnoteReference"/>
        </w:rPr>
        <w:footnoteReference w:id="3"/>
      </w:r>
      <w:r>
        <w:t xml:space="preserve"> </w:t>
      </w:r>
      <w:r>
        <w:br/>
      </w:r>
      <w:r>
        <w:rPr>
          <w:b/>
          <w:bCs/>
        </w:rPr>
        <w:t xml:space="preserve">Recommendation: drop the cap on technical awards and restrictions on vocational </w:t>
      </w:r>
      <w:r>
        <w:rPr>
          <w:b/>
          <w:bCs/>
        </w:rPr>
        <w:t>qualifications, and</w:t>
      </w:r>
      <w:r>
        <w:rPr>
          <w:b/>
          <w:bCs/>
        </w:rPr>
        <w:t xml:space="preserve"> preferably remove all conditions on subject choice.</w:t>
      </w:r>
    </w:p>
    <w:p w:rsidR="0012549D">
      <w:pPr>
        <w:spacing w:after="140"/>
      </w:pPr>
      <w:r>
        <w:rPr>
          <w:b/>
          <w:bCs/>
        </w:rPr>
        <w:t xml:space="preserve">4. </w:t>
      </w:r>
      <w:r>
        <w:t xml:space="preserve">The same tension runs through post-16 qualifications: the proposed Level 1 English and maths qualification still requires GCSE re-sits, a reactive intervention after pupils ‘fail’ at 16 rather than early support. England's reliance on terminal exams is linked by the Education </w:t>
      </w:r>
      <w:r>
        <w:t>Policy Institute to rising numbers not in education, employment or training.</w:t>
      </w:r>
      <w:r>
        <w:rPr>
          <w:rStyle w:val="FootnoteReference"/>
        </w:rPr>
        <w:footnoteReference w:id="4"/>
      </w:r>
      <w:r>
        <w:t xml:space="preserve"> We have raised the same concern with Ofqual's plan to make new vocational qualifications primarily a supply of attainment data, beyond its remit.</w:t>
      </w:r>
      <w:r>
        <w:rPr>
          <w:rStyle w:val="FootnoteReference"/>
        </w:rPr>
        <w:footnoteReference w:id="5"/>
      </w:r>
      <w:r>
        <w:t xml:space="preserve"> </w:t>
      </w:r>
    </w:p>
    <w:p w:rsidR="00531DB0">
      <w:pPr>
        <w:spacing w:after="140"/>
        <w:rPr>
          <w:b/>
          <w:bCs/>
        </w:rPr>
      </w:pPr>
      <w:r>
        <w:rPr>
          <w:b/>
          <w:bCs/>
        </w:rPr>
        <w:t>Recommendation: flexible post-16 pathways and the use of a broader range of assessment for qualifications across all phases.</w:t>
      </w:r>
    </w:p>
    <w:p w:rsidR="00531DB0">
      <w:pPr>
        <w:pStyle w:val="Heading2"/>
      </w:pPr>
      <w:r>
        <w:t>School improvement structures, including RISE</w:t>
      </w:r>
    </w:p>
    <w:p w:rsidR="00531DB0">
      <w:pPr>
        <w:spacing w:after="140"/>
      </w:pPr>
      <w:r>
        <w:rPr>
          <w:b/>
          <w:bCs/>
        </w:rPr>
        <w:t xml:space="preserve">5. </w:t>
      </w:r>
      <w:r>
        <w:t>Extending Targeted RISE – the Regional Improvement for Standards and Excellence programme – to schools with the lowest outcomes turns school improvement into mandatory intervention triggered by data. From September 2026 it becomes the first stage of a process that ends in academisation or rebrokering within 18 months. The first evaluation found the support often felt like monitoring rather than help, with leaders feeling ‘on trial’; leadership bodies warn the ‘stuck’ category is easier to enter than leave, and that the new Ofsted framework sets schools up to fail.</w:t>
      </w:r>
      <w:r>
        <w:rPr>
          <w:rStyle w:val="FootnoteReference"/>
        </w:rPr>
        <w:footnoteReference w:id="6"/>
      </w:r>
      <w:r>
        <w:t xml:space="preserve"> Both risk penalising schools in the most disadvantaged communities. </w:t>
      </w:r>
      <w:r>
        <w:br/>
      </w:r>
      <w:r>
        <w:rPr>
          <w:b/>
          <w:bCs/>
        </w:rPr>
        <w:t>Recommendation: make targeted RISE support opt-in and decoupled from academisation.</w:t>
      </w:r>
    </w:p>
    <w:p w:rsidR="00531DB0">
      <w:pPr>
        <w:spacing w:after="140"/>
      </w:pPr>
      <w:r>
        <w:rPr>
          <w:b/>
          <w:bCs/>
        </w:rPr>
        <w:t>How essential skills can be more effectively integrated into the curriculum</w:t>
      </w:r>
    </w:p>
    <w:p w:rsidR="00531DB0">
      <w:pPr>
        <w:spacing w:after="140" w:line="259" w:lineRule="auto"/>
      </w:pPr>
      <w:r>
        <w:rPr>
          <w:b/>
          <w:bCs/>
        </w:rPr>
        <w:t xml:space="preserve">6. </w:t>
      </w:r>
      <w:r>
        <w:t xml:space="preserve"> The current assessment system leaves little room for essential skills. At primary level, NEU research finds more than half of curriculum time (over 12 hours a week) goes on English and maths, squeezing out a broad curriculum and enrichment. At secondary, more than 4 in 5 GCSE entries are assessed entirely by written exam, limiting opportunities to develop wider skills. The Curriculum and Assessment Review acknowledged these challenges. </w:t>
      </w:r>
      <w:r>
        <w:br/>
      </w:r>
      <w:r>
        <w:rPr>
          <w:b/>
          <w:bCs/>
        </w:rPr>
        <w:t>Recommendation: reduce curriculum and qualification content, particularly at KS4; remove high-stakes statutory tests in primary; and broaden secondary assessment.</w:t>
      </w:r>
    </w:p>
    <w:p w:rsidR="00531DB0">
      <w:pPr>
        <w:pStyle w:val="Heading1"/>
      </w:pPr>
      <w:r>
        <w:t>2. Improving attendance</w:t>
      </w:r>
    </w:p>
    <w:p w:rsidR="00531DB0">
      <w:pPr>
        <w:pStyle w:val="Heading2"/>
      </w:pPr>
      <w:r>
        <w:t>The reasons for persistent absence among disadvantaged pupils</w:t>
      </w:r>
    </w:p>
    <w:p w:rsidR="00531DB0">
      <w:pPr>
        <w:spacing w:after="140"/>
      </w:pPr>
      <w:r>
        <w:rPr>
          <w:b/>
          <w:bCs/>
        </w:rPr>
        <w:t xml:space="preserve">7. </w:t>
      </w:r>
      <w:r>
        <w:t>Persistent absence is largely a symptom of poverty, unmet SEND need, poor mental health, and children not feeling they belong. Treating it mainly as a behaviour or enforcement problem will not address these causes. NEU research with the UCL Institute of Education shows belonging is built through relationships and inclusive practice;</w:t>
      </w:r>
      <w:r>
        <w:rPr>
          <w:rStyle w:val="FootnoteReference"/>
        </w:rPr>
        <w:footnoteReference w:id="7"/>
      </w:r>
      <w:r>
        <w:t xml:space="preserve"> the White Paper’s own evidence, that the UK ranks last of 27 countries for how satisfied 15-year-olds are with their lives, points the same way. </w:t>
      </w:r>
      <w:r w:rsidR="2C30DA45">
        <w:t xml:space="preserve">The NEU would </w:t>
      </w:r>
      <w:r>
        <w:t xml:space="preserve">caution against fines and prosecution, which fall on families in poverty and have no evidence of success. </w:t>
      </w:r>
      <w:r w:rsidR="00D161BD">
        <w:br/>
      </w:r>
      <w:r w:rsidRPr="50140857">
        <w:rPr>
          <w:b/>
          <w:bCs/>
        </w:rPr>
        <w:t>Recommendation: prioritise mental health support, action on the cost of the school day, and SEND inclusion over fines and prosecution.</w:t>
      </w:r>
    </w:p>
    <w:p w:rsidR="00531DB0">
      <w:pPr>
        <w:pStyle w:val="Heading1"/>
      </w:pPr>
      <w:r>
        <w:t>3. Moving to a trust-led school system</w:t>
      </w:r>
    </w:p>
    <w:p w:rsidR="00531DB0">
      <w:pPr>
        <w:pStyle w:val="Heading2"/>
      </w:pPr>
      <w:r>
        <w:t>The expectation that all schools join or form a trust</w:t>
      </w:r>
    </w:p>
    <w:p w:rsidR="00531DB0">
      <w:pPr>
        <w:spacing w:after="140"/>
      </w:pPr>
      <w:r>
        <w:rPr>
          <w:b/>
          <w:bCs/>
        </w:rPr>
        <w:t xml:space="preserve">8. </w:t>
      </w:r>
      <w:r>
        <w:t xml:space="preserve">Compelling all schools into trusts is positioned as the main route to improvement, despite mixed evidence and no comparison with collaboration between maintained schools, including through federations. Collaboration does not require academisation. The workforce </w:t>
      </w:r>
      <w:r>
        <w:t>evidence runs the same way: NEU analysis of the School Workforce Census shows retention is worse in academies than in maintained schools, with around one in five teachers in the largest trusts leaving each year and more than one in nine leaving teaching altogether, against one in seven and one in eleven in maintained schools, with over a quarter leaving annually in some trusts.</w:t>
      </w:r>
      <w:r>
        <w:rPr>
          <w:rStyle w:val="FootnoteReference"/>
        </w:rPr>
        <w:footnoteReference w:id="8"/>
      </w:r>
      <w:r>
        <w:t xml:space="preserve"> The proposals implicitly acknowledge those harms by rolling back pay and admissions freedoms and introducing trust inspection. We strongly oppose pushing schools into academies. </w:t>
      </w:r>
      <w:r>
        <w:br/>
      </w:r>
      <w:r>
        <w:rPr>
          <w:b/>
          <w:bCs/>
        </w:rPr>
        <w:t>Recommendation: challenge the government's commitment to a fully trust-led system and the evidence base behind it.</w:t>
      </w:r>
    </w:p>
    <w:p w:rsidR="5AA3EB6F" w:rsidP="5AA3EB6F">
      <w:pPr>
        <w:pStyle w:val="Heading2"/>
      </w:pPr>
    </w:p>
    <w:p w:rsidR="00531DB0">
      <w:pPr>
        <w:pStyle w:val="Heading2"/>
      </w:pPr>
      <w:r>
        <w:t>The practical challenges of transition</w:t>
      </w:r>
    </w:p>
    <w:p w:rsidR="00531DB0" w:rsidP="024F1E71">
      <w:pPr>
        <w:spacing w:after="140" w:line="259" w:lineRule="auto"/>
      </w:pPr>
      <w:r w:rsidRPr="024F1E71">
        <w:rPr>
          <w:b/>
          <w:bCs/>
        </w:rPr>
        <w:t xml:space="preserve">9. </w:t>
      </w:r>
      <w:r>
        <w:t xml:space="preserve">The cost, timescale and legal status of the proposed local authority enabled trusts are now clearer: schools in a local authority-established trust would become academies, with the authority stepping back from day-to-day operations once it sets the trust up. This extends the existing academy model and removes maintained schools from local oversight. We are concerned about instability, re-brokering and loss of community voice if </w:t>
      </w:r>
      <w:r w:rsidR="54AAC4A1">
        <w:t xml:space="preserve">this policy is </w:t>
      </w:r>
      <w:r w:rsidR="7E5B6181">
        <w:t>pursued</w:t>
      </w:r>
      <w:r w:rsidR="54AAC4A1">
        <w:t xml:space="preserve">. </w:t>
      </w:r>
      <w:r>
        <w:br/>
      </w:r>
      <w:r w:rsidRPr="024F1E71">
        <w:rPr>
          <w:b/>
          <w:bCs/>
        </w:rPr>
        <w:t>Recommendation:</w:t>
      </w:r>
      <w:r w:rsidRPr="024F1E71" w:rsidR="1B6AC43F">
        <w:rPr>
          <w:b/>
          <w:bCs/>
        </w:rPr>
        <w:t xml:space="preserve"> </w:t>
      </w:r>
      <w:r w:rsidRPr="024F1E71" w:rsidR="4C4AEE00">
        <w:rPr>
          <w:b/>
          <w:bCs/>
        </w:rPr>
        <w:t xml:space="preserve">The priority should be strengthening and extending local oversight and support </w:t>
      </w:r>
      <w:r w:rsidRPr="024F1E71" w:rsidR="32E6CEAE">
        <w:rPr>
          <w:b/>
          <w:bCs/>
        </w:rPr>
        <w:t>for</w:t>
      </w:r>
      <w:r w:rsidRPr="024F1E71" w:rsidR="4C4AEE00">
        <w:rPr>
          <w:b/>
          <w:bCs/>
        </w:rPr>
        <w:t xml:space="preserve"> schools through the LA, with a pathway back into maintained status.</w:t>
      </w:r>
    </w:p>
    <w:p w:rsidR="00531DB0">
      <w:pPr>
        <w:pStyle w:val="Heading2"/>
      </w:pPr>
      <w:r>
        <w:t>The role of local authorities</w:t>
      </w:r>
    </w:p>
    <w:p w:rsidR="00531DB0">
      <w:pPr>
        <w:spacing w:after="140"/>
      </w:pPr>
      <w:r w:rsidRPr="024F1E71">
        <w:rPr>
          <w:b/>
          <w:bCs/>
        </w:rPr>
        <w:t xml:space="preserve">10. </w:t>
      </w:r>
      <w:r>
        <w:t xml:space="preserve">Local authorities should have full control over coordinating provision, place planning and admissions, with power to hold partners to account; the White Paper gives them limited control over the trusts they establish, weakening that role. The Children's Wellbeing and Schools Act 2026 (the Act) has narrowed academy freedoms, but on pay and conditions it stops short of equalising terms: academies must meet the School Teachers' Pay and Conditions Document (STPCD) pay minimums and have due regard to the rest, but may still depart from it, with the national curriculum applying only after a further process. This stops well short of full parity with maintained schools. </w:t>
      </w:r>
      <w:r>
        <w:br/>
      </w:r>
      <w:r w:rsidRPr="024F1E71">
        <w:rPr>
          <w:b/>
          <w:bCs/>
        </w:rPr>
        <w:t>Recommendation: require academies to follow the STPCD, Burgundy Book, Green Book and national curriculum in full, not merely have due regard to them.</w:t>
      </w:r>
    </w:p>
    <w:p w:rsidR="00531DB0">
      <w:pPr>
        <w:pStyle w:val="Heading2"/>
      </w:pPr>
      <w:r>
        <w:t>Trust inspection and new trust standards</w:t>
      </w:r>
    </w:p>
    <w:p w:rsidR="00531DB0">
      <w:pPr>
        <w:spacing w:after="140"/>
      </w:pPr>
      <w:r w:rsidRPr="024F1E71">
        <w:rPr>
          <w:b/>
          <w:bCs/>
        </w:rPr>
        <w:t xml:space="preserve">11. </w:t>
      </w:r>
      <w:r>
        <w:t xml:space="preserve">Trust-level inspection is already provided for under the Children's Wellbeing and Schools Act 2026; we welcome the new trust standards on inclusion, collaboration and value for money. MAT finances are opaque, unlike transparent maintained school budgets, worsened by pooling the general annual grant (GAG). The top-slice taken from each school is often too high, poorly spent, and varies widely even within the same trust. The national funding formula (NFF) is meant to match funding to need and should bind academies as it does maintained schools. However, these reforms do not go far enough, and it is not clear how new trust standards will be enforced. </w:t>
      </w:r>
      <w:r>
        <w:br/>
      </w:r>
      <w:r w:rsidRPr="024F1E71">
        <w:rPr>
          <w:b/>
          <w:bCs/>
        </w:rPr>
        <w:t>Recommendation: cap existing and future MAT executive pay, set national conditions for</w:t>
      </w:r>
      <w:r w:rsidR="00D661C9">
        <w:rPr>
          <w:b/>
          <w:bCs/>
        </w:rPr>
        <w:t xml:space="preserve"> all</w:t>
      </w:r>
      <w:r w:rsidRPr="024F1E71">
        <w:rPr>
          <w:b/>
          <w:bCs/>
        </w:rPr>
        <w:t xml:space="preserve"> central</w:t>
      </w:r>
      <w:r w:rsidR="00D661C9">
        <w:rPr>
          <w:b/>
          <w:bCs/>
        </w:rPr>
        <w:t>ly</w:t>
      </w:r>
      <w:r w:rsidRPr="024F1E71">
        <w:rPr>
          <w:b/>
          <w:bCs/>
        </w:rPr>
        <w:t xml:space="preserve"> </w:t>
      </w:r>
      <w:r w:rsidR="00602612">
        <w:rPr>
          <w:b/>
          <w:bCs/>
        </w:rPr>
        <w:t xml:space="preserve">employed </w:t>
      </w:r>
      <w:r w:rsidRPr="024F1E71">
        <w:rPr>
          <w:b/>
          <w:bCs/>
        </w:rPr>
        <w:t>staff, and limit trust size for geographical coherence.</w:t>
      </w:r>
    </w:p>
    <w:p w:rsidR="00531DB0">
      <w:pPr>
        <w:pStyle w:val="Heading1"/>
      </w:pPr>
      <w:r>
        <w:t>4. Enrichment, belonging and behaviour</w:t>
      </w:r>
    </w:p>
    <w:p w:rsidR="00531DB0">
      <w:pPr>
        <w:pStyle w:val="Heading2"/>
      </w:pPr>
      <w:r>
        <w:t>Enrichment and wellbeing</w:t>
      </w:r>
    </w:p>
    <w:p w:rsidR="00531DB0">
      <w:pPr>
        <w:spacing w:after="140"/>
      </w:pPr>
      <w:r>
        <w:rPr>
          <w:b/>
          <w:bCs/>
        </w:rPr>
        <w:t xml:space="preserve">12. </w:t>
      </w:r>
      <w:r>
        <w:t xml:space="preserve">Enrichment for all pupils is welcome, but without funding it will widen inequality. </w:t>
      </w:r>
      <w:r>
        <w:t>NEU  evidence</w:t>
      </w:r>
      <w:r>
        <w:t xml:space="preserve"> shows two-thirds of teachers say their school depends on donations, and that 40% </w:t>
      </w:r>
      <w:r>
        <w:t>in the least deprived areas can rely on donations to plug capital gaps, against only 19% in the most deprived.</w:t>
      </w:r>
      <w:r>
        <w:rPr>
          <w:rStyle w:val="FootnoteReference"/>
        </w:rPr>
        <w:footnoteReference w:id="9"/>
      </w:r>
      <w:r>
        <w:t xml:space="preserve"> Enrichment benchmarks inspected by Ofsted from September 2026 add expectation without resource. </w:t>
      </w:r>
      <w:r w:rsidR="00D161BD">
        <w:br/>
      </w:r>
      <w:r w:rsidRPr="50140857">
        <w:rPr>
          <w:b/>
          <w:bCs/>
        </w:rPr>
        <w:t>Recommendation: fund and fully resource a rich, embedded cultural offer for every pupil rather than measuring extracurricular activities as a tick-box list.</w:t>
      </w:r>
    </w:p>
    <w:p w:rsidR="00531DB0">
      <w:pPr>
        <w:pStyle w:val="Heading2"/>
      </w:pPr>
      <w:r>
        <w:t>Belonging, relationships, bullying and discrimination</w:t>
      </w:r>
    </w:p>
    <w:p w:rsidR="00531DB0">
      <w:pPr>
        <w:spacing w:after="140"/>
      </w:pPr>
      <w:r>
        <w:rPr>
          <w:b/>
          <w:bCs/>
        </w:rPr>
        <w:t xml:space="preserve">13. </w:t>
      </w:r>
      <w:r>
        <w:t>Belonging is built through stable relationships, inclusive practice and a broad curriculum, not measurement. Schools need staffing and time to know their pupils, and support to tackle bullying and discrimination. In the NEU's 2026 survey, 89% of teachers said class sizes are too big to enable effective inclusion;</w:t>
      </w:r>
      <w:r>
        <w:rPr>
          <w:rStyle w:val="FootnoteReference"/>
        </w:rPr>
        <w:footnoteReference w:id="10"/>
      </w:r>
      <w:r>
        <w:t xml:space="preserve"> an inclusion aim set against falling teacher numbers will not be met. </w:t>
      </w:r>
      <w:r>
        <w:br/>
      </w:r>
      <w:r>
        <w:rPr>
          <w:b/>
          <w:bCs/>
        </w:rPr>
        <w:t>Recommendation: reduce class sizes to give staff the time needed to build belonging and deliver effective inclusion.</w:t>
      </w:r>
    </w:p>
    <w:p w:rsidR="00531DB0">
      <w:pPr>
        <w:pStyle w:val="Heading2"/>
      </w:pPr>
      <w:r>
        <w:t>Measuring enrichment and engagement, and the Pupil Engagement Framework</w:t>
      </w:r>
    </w:p>
    <w:p w:rsidR="00531DB0">
      <w:pPr>
        <w:spacing w:after="140"/>
      </w:pPr>
      <w:r>
        <w:rPr>
          <w:b/>
          <w:bCs/>
        </w:rPr>
        <w:t xml:space="preserve">14. </w:t>
      </w:r>
      <w:r>
        <w:t xml:space="preserve">Measuring engagement could help if it informs support, but not as another published metric ranking schools. The proposed Pupil Engagement Framework is a further demand on schools with insufficient funding behind it. Wellbeing follows from tackling poverty, supporting SEND students properly and offering a broad curriculum, not from an accountability framework that works against it. </w:t>
      </w:r>
      <w:r>
        <w:br/>
      </w:r>
      <w:r>
        <w:rPr>
          <w:b/>
          <w:bCs/>
        </w:rPr>
        <w:t>Recommendation: do not use the Pupil Engagement Framework as a published, school-ranking metric.</w:t>
      </w:r>
    </w:p>
    <w:p w:rsidR="00531DB0">
      <w:pPr>
        <w:pStyle w:val="Heading2"/>
      </w:pPr>
      <w:r>
        <w:t>Behaviour, suspension and exclusion</w:t>
      </w:r>
    </w:p>
    <w:p w:rsidR="00531DB0">
      <w:pPr>
        <w:spacing w:after="140"/>
      </w:pPr>
      <w:r>
        <w:rPr>
          <w:b/>
          <w:bCs/>
        </w:rPr>
        <w:t xml:space="preserve">15. </w:t>
      </w:r>
      <w:r>
        <w:t xml:space="preserve">Behaviour is shaped by unmet need, including unidentified SEND, and by whether pupils feel that they belong. In the NEU’s 2026 survey, teachers attributed rising low-level disruption mainly to growing numbers of pupils with additional needs not adequately supported because of </w:t>
      </w:r>
      <w:r w:rsidRPr="00866CED">
        <w:t>inadequate funding.</w:t>
      </w:r>
      <w:r>
        <w:rPr>
          <w:rStyle w:val="FootnoteReference"/>
        </w:rPr>
        <w:footnoteReference w:id="11"/>
      </w:r>
      <w:r w:rsidRPr="00866CED" w:rsidR="00866CED">
        <w:t xml:space="preserve"> </w:t>
      </w:r>
      <w:r w:rsidRPr="00866CED">
        <w:t>Rising suspensions and exclusions are a symptom of a system without capacity to include,</w:t>
      </w:r>
      <w:r>
        <w:t xml:space="preserve"> not of insufficient enforcement. Excluded pupils are disproportionately more likely to be Black, live in poverty and have SEND, so an enforcement-led approach widens the gaps the White Paper aims to close. </w:t>
      </w:r>
      <w:r w:rsidR="00D161BD">
        <w:br/>
      </w:r>
      <w:r>
        <w:rPr>
          <w:b/>
          <w:bCs/>
        </w:rPr>
        <w:t>Recommendation: invest in earlier support, mental health provision and inclusion funding rather than an enforcement-led approach to behaviour.</w:t>
      </w:r>
    </w:p>
    <w:p w:rsidR="00531DB0">
      <w:pPr>
        <w:pStyle w:val="Heading1"/>
      </w:pPr>
      <w:r>
        <w:t>5. Reducing disadvantage gaps</w:t>
      </w:r>
    </w:p>
    <w:p w:rsidR="00531DB0">
      <w:pPr>
        <w:pStyle w:val="Heading2"/>
      </w:pPr>
      <w:r>
        <w:t>Disadvantage funding: the stepped model, household income and the free school meals link</w:t>
      </w:r>
    </w:p>
    <w:p w:rsidR="00531DB0">
      <w:pPr>
        <w:spacing w:after="140"/>
      </w:pPr>
      <w:r>
        <w:rPr>
          <w:b/>
          <w:bCs/>
        </w:rPr>
        <w:t xml:space="preserve">16. </w:t>
      </w:r>
      <w:r>
        <w:t>Reducing the gap for working-class children is the test of these reforms, and it will not be met while child poverty rises. We welcome the plan to consult on a household income measure rather than FSM as a proxy</w:t>
      </w:r>
      <w:r w:rsidRPr="00866CED">
        <w:t>; the National Audit Office has shown the NFF shifted funding from more deprived to less deprived schools.</w:t>
      </w:r>
      <w:r>
        <w:rPr>
          <w:rStyle w:val="FootnoteReference"/>
        </w:rPr>
        <w:footnoteReference w:id="12"/>
      </w:r>
      <w:r w:rsidR="00866CED">
        <w:t xml:space="preserve"> </w:t>
      </w:r>
      <w:r>
        <w:t xml:space="preserve">But breaking the FSM-deprivation funding link carries risks: eligibility now reaches more than a quarter of pupils and will extend to all universal credit families from September 2026. Any new measure must capture persistent disadvantage, protect the Pupil Premium and not lose pupils now identified, with detail on the stepped model needed before its effects can be judged. NFF factor values should shift towards additional needs and away from basic per-pupil funding – combined </w:t>
      </w:r>
      <w:r>
        <w:t xml:space="preserve">with additional funding, not redistribution within a fixed total. </w:t>
      </w:r>
      <w:r>
        <w:br/>
      </w:r>
      <w:r>
        <w:rPr>
          <w:b/>
          <w:bCs/>
        </w:rPr>
        <w:t>Recommendation: treat the two-child limit, free school meals (FSM) and the cost of the school day as attainment policy.</w:t>
      </w:r>
    </w:p>
    <w:p w:rsidR="00531DB0">
      <w:pPr>
        <w:pStyle w:val="Heading2"/>
      </w:pPr>
      <w:r>
        <w:t>Place-based approaches to disadvantage</w:t>
      </w:r>
    </w:p>
    <w:p w:rsidR="00531DB0">
      <w:pPr>
        <w:spacing w:after="140"/>
      </w:pPr>
      <w:r>
        <w:rPr>
          <w:b/>
          <w:bCs/>
        </w:rPr>
        <w:t xml:space="preserve">17. </w:t>
      </w:r>
      <w:r>
        <w:t xml:space="preserve">The two place-based missions – Mission </w:t>
      </w:r>
      <w:r>
        <w:t>North East</w:t>
      </w:r>
      <w:r>
        <w:t xml:space="preserve">, focused on white working-class children, and Mission Coastal – are announced without funding. </w:t>
      </w:r>
      <w:r>
        <w:br/>
      </w:r>
      <w:r>
        <w:rPr>
          <w:b/>
          <w:bCs/>
        </w:rPr>
        <w:t>Recommendation: fund each mission at £20 million to £30 million a year, in line with the London Challenge.</w:t>
      </w:r>
    </w:p>
    <w:p w:rsidR="00531DB0">
      <w:pPr>
        <w:pStyle w:val="Heading1"/>
      </w:pPr>
      <w:r>
        <w:t>6. School admissions</w:t>
      </w:r>
    </w:p>
    <w:p w:rsidR="00531DB0">
      <w:pPr>
        <w:pStyle w:val="Heading2"/>
      </w:pPr>
      <w:r>
        <w:t>The role of local authorities in admissions</w:t>
      </w:r>
    </w:p>
    <w:p w:rsidR="00531DB0">
      <w:pPr>
        <w:spacing w:after="140"/>
      </w:pPr>
      <w:r>
        <w:rPr>
          <w:b/>
          <w:bCs/>
        </w:rPr>
        <w:t xml:space="preserve">18. </w:t>
      </w:r>
      <w:r>
        <w:t xml:space="preserve">The Act's duty on academies merely to co-operate with local authorities on admissions is weak and bureaucratic, adding process without the power to direct places quickly where they are needed. </w:t>
      </w:r>
      <w:r>
        <w:br/>
      </w:r>
      <w:r>
        <w:rPr>
          <w:b/>
          <w:bCs/>
        </w:rPr>
        <w:t>Recommendation: give local authorities full powers over admissions for all state-funded schools, including pupils with SEND.</w:t>
      </w:r>
    </w:p>
    <w:p w:rsidR="00531DB0">
      <w:pPr>
        <w:pStyle w:val="Heading1"/>
      </w:pPr>
      <w:r>
        <w:t>7. Workforce reforms</w:t>
      </w:r>
    </w:p>
    <w:p w:rsidR="00531DB0">
      <w:pPr>
        <w:pStyle w:val="Heading2"/>
      </w:pPr>
      <w:r>
        <w:t>The 6,500 additional teachers target</w:t>
      </w:r>
    </w:p>
    <w:p w:rsidR="00531DB0">
      <w:pPr>
        <w:spacing w:after="140"/>
      </w:pPr>
      <w:r>
        <w:rPr>
          <w:b/>
          <w:bCs/>
        </w:rPr>
        <w:t xml:space="preserve">19. </w:t>
      </w:r>
      <w:r>
        <w:t>The pledge acknowledged unsustainable pressure, but it has been redefined to count only secondary, special and further education, excluding primary, where the falls are largest. That is wrong: primary teachers face at least as much strain, on the same qualifications, contracts, pay and conditions.</w:t>
      </w:r>
      <w:r>
        <w:rPr>
          <w:rStyle w:val="FootnoteReference"/>
        </w:rPr>
        <w:footnoteReference w:id="13"/>
      </w:r>
      <w:r>
        <w:t xml:space="preserve"> The government claims progress of 4,654 towards the 6,500 on this redefinition; in reality, total teacher numbers fell by 1,900 last year to 466,372 full-time equivalents, with nursery and primary down 2,900 as rolls dropped.</w:t>
      </w:r>
      <w:r>
        <w:rPr>
          <w:rStyle w:val="FootnoteReference"/>
        </w:rPr>
        <w:footnoteReference w:id="14"/>
      </w:r>
      <w:r>
        <w:t xml:space="preserve"> This is redistribution, not new resource, and pupil-teacher ratios remain well above other European nations.</w:t>
      </w:r>
      <w:r>
        <w:rPr>
          <w:rStyle w:val="FootnoteReference"/>
        </w:rPr>
        <w:footnoteReference w:id="15"/>
      </w:r>
      <w:r>
        <w:t xml:space="preserve"> </w:t>
      </w:r>
      <w:r>
        <w:br/>
      </w:r>
      <w:r>
        <w:rPr>
          <w:b/>
          <w:bCs/>
        </w:rPr>
        <w:t>Recommendation: count primary teachers within the 6,500 pledge and fund it as additional teachers, not redistribution.</w:t>
      </w:r>
    </w:p>
    <w:p w:rsidR="00531DB0">
      <w:pPr>
        <w:pStyle w:val="Heading2"/>
      </w:pPr>
      <w:r>
        <w:t>Falling rolls and the workforce</w:t>
      </w:r>
    </w:p>
    <w:p w:rsidR="00531DB0">
      <w:pPr>
        <w:spacing w:after="140"/>
      </w:pPr>
      <w:r>
        <w:rPr>
          <w:b/>
          <w:bCs/>
        </w:rPr>
        <w:t xml:space="preserve">20. </w:t>
      </w:r>
      <w:r>
        <w:t>The fall in rolls is now broad-based: state-school pupil numbers fell by 85,400 in the past year, the first such fall, with primary down 82,300 – around 141,000 over two years – and secondary falling for the first time.</w:t>
      </w:r>
      <w:r>
        <w:rPr>
          <w:rStyle w:val="FootnoteReference"/>
        </w:rPr>
        <w:footnoteReference w:id="16"/>
      </w:r>
      <w:r>
        <w:t xml:space="preserve"> The Institute for Fiscal Studies shows policymakers have chosen differently before: teacher numbers were cut as rolls fell in the 1970s and 1980s, but falling primary rolls raised teacher numbers and cut class sizes in the 2000s.</w:t>
      </w:r>
      <w:r>
        <w:rPr>
          <w:rStyle w:val="FootnoteReference"/>
        </w:rPr>
        <w:footnoteReference w:id="17"/>
      </w:r>
      <w:r>
        <w:t xml:space="preserve"> The government now plans the opposite: its Teacher Workforce Model projects primary teacher demand falling by about 4%, has cut initial teacher training need by 22.7% for 2026–27, and states the average school will need no extra teachers until at least 2029.</w:t>
      </w:r>
      <w:r>
        <w:rPr>
          <w:rStyle w:val="FootnoteReference"/>
        </w:rPr>
        <w:footnoteReference w:id="18"/>
      </w:r>
      <w:r>
        <w:t xml:space="preserve"> Cutting teachers as rolls fall is historically unprecedented and forgoes the chance to cut the biggest classes – over one million pupils are still taught in classes of 31 or more, the highest since 2001/02. </w:t>
      </w:r>
      <w:r>
        <w:br/>
      </w:r>
      <w:r>
        <w:rPr>
          <w:b/>
          <w:bCs/>
        </w:rPr>
        <w:t>Recommendation: use falling rolls to reduce class sizes and deliver inclusion rather than cut teacher numbers.</w:t>
      </w:r>
    </w:p>
    <w:p w:rsidR="00531DB0">
      <w:pPr>
        <w:pStyle w:val="Heading2"/>
      </w:pPr>
      <w:r>
        <w:t>The effectiveness of retention measures</w:t>
      </w:r>
    </w:p>
    <w:p w:rsidR="00531DB0">
      <w:pPr>
        <w:spacing w:after="140"/>
      </w:pPr>
      <w:r>
        <w:rPr>
          <w:b/>
          <w:bCs/>
        </w:rPr>
        <w:t xml:space="preserve">21. </w:t>
      </w:r>
      <w:r>
        <w:t>The government's retention approach rests largely on training but will not move retention far, since the drivers of leaving are structural. The Department for Education's Working Lives of Teachers and Leaders survey (wave 4, 2025) found 29% of teachers and leaders considering leaving within a year, mainly workload, stress, poor wellbeing, lack of flexible working, feeling undervalued, and pay</w:t>
      </w:r>
      <w:r>
        <w:footnoteReference w:id="19"/>
      </w:r>
      <w:r>
        <w:t xml:space="preserve">. Full-time teachers still work around 50 hours a week and leaders more than 56, and 86% report stress at work. The recent fall in the leaver rate reflects a collapse in retirements, not better conditions, and head teachers are leaving at around four times the early-2010s rate. </w:t>
      </w:r>
      <w:r>
        <w:br/>
      </w:r>
      <w:r>
        <w:rPr>
          <w:b/>
          <w:bCs/>
        </w:rPr>
        <w:t>Recommendation: deliver structural change on workload, accountability, class sizes, SEND and mental health support, and funded pay.</w:t>
      </w:r>
    </w:p>
    <w:p w:rsidR="00531DB0">
      <w:pPr>
        <w:pStyle w:val="Heading2"/>
      </w:pPr>
      <w:r>
        <w:t>The lack of progress in educators’ working lives</w:t>
      </w:r>
    </w:p>
    <w:p w:rsidR="00531DB0">
      <w:pPr>
        <w:spacing w:after="140"/>
      </w:pPr>
      <w:r>
        <w:rPr>
          <w:b/>
          <w:bCs/>
        </w:rPr>
        <w:t xml:space="preserve">22. </w:t>
      </w:r>
      <w:r>
        <w:t xml:space="preserve">Two years into this government, educators' working lives have not improved. Gains in the workforce survey are minor; members report the same, with the share of teachers calling class sizes a barrier to inclusion rising from 51% to 62% in a year. Over the same period the government has expected schools to part-fund pay awards while taking on new SEND and enrichment duties – more for less. </w:t>
      </w:r>
      <w:r>
        <w:br/>
      </w:r>
      <w:r>
        <w:rPr>
          <w:b/>
          <w:bCs/>
        </w:rPr>
        <w:t>Recommendation: fund pay awards and new duties in full, rather than expecting schools to absorb them from existing budgets.</w:t>
      </w:r>
    </w:p>
    <w:p w:rsidR="00531DB0">
      <w:pPr>
        <w:pStyle w:val="Heading2"/>
      </w:pPr>
      <w:r>
        <w:t>Recruitment in high-need areas</w:t>
      </w:r>
    </w:p>
    <w:p w:rsidR="00531DB0" w:rsidP="2C0A11E4">
      <w:pPr>
        <w:spacing w:after="140"/>
        <w:rPr>
          <w:b/>
          <w:bCs/>
        </w:rPr>
      </w:pPr>
      <w:r>
        <w:rPr>
          <w:b/>
          <w:bCs/>
        </w:rPr>
        <w:t xml:space="preserve">23. </w:t>
      </w:r>
      <w:r>
        <w:t xml:space="preserve">Recruitment is hardest where need is greatest. The intake of newly qualified teachers, around 16,300, is the lowest in 30 years; this year's better headline followed trainee targets cut by almost a fifth, and secondary targets missed in 12 of the last 13 years. The fall in rolls is uneven, and recruitment is already hardest in disadvantaged schools and shortage subjects; national-average projections say nothing about whether specialist teachers reach the schools that need them. </w:t>
      </w:r>
      <w:r>
        <w:br/>
      </w:r>
      <w:r>
        <w:rPr>
          <w:b/>
          <w:bCs/>
        </w:rPr>
        <w:t>Recommendation: teachers' pay requires an across-the-board uplift to address shortages in hard-to-recruit schools and subjects.</w:t>
      </w:r>
    </w:p>
    <w:p w:rsidR="00531DB0">
      <w:pPr>
        <w:pStyle w:val="Heading2"/>
      </w:pPr>
      <w:r>
        <w:t>Pay and conditions</w:t>
      </w:r>
    </w:p>
    <w:p w:rsidR="00531DB0" w:rsidP="024F1E71">
      <w:pPr>
        <w:spacing w:after="140" w:line="259" w:lineRule="auto"/>
      </w:pPr>
      <w:r w:rsidRPr="50140857">
        <w:rPr>
          <w:b/>
          <w:bCs/>
        </w:rPr>
        <w:t xml:space="preserve">24. </w:t>
      </w:r>
      <w:r>
        <w:t xml:space="preserve"> The Act does not equalise </w:t>
      </w:r>
      <w:r w:rsidR="0CBC997F">
        <w:t xml:space="preserve">pay and </w:t>
      </w:r>
      <w:r>
        <w:t>conditions</w:t>
      </w:r>
      <w:r w:rsidR="67A3EC3C">
        <w:t xml:space="preserve"> in academies</w:t>
      </w:r>
      <w:r>
        <w:t>: on pay it sets only a floor and a duty to have regard to the STPCD</w:t>
      </w:r>
      <w:r w:rsidR="3CE45B71">
        <w:t xml:space="preserve"> for </w:t>
      </w:r>
      <w:r w:rsidR="0F7E6777">
        <w:t xml:space="preserve">academies, allowing for continued </w:t>
      </w:r>
      <w:r w:rsidR="4211A4E9">
        <w:t>fragmentation</w:t>
      </w:r>
      <w:r w:rsidR="0F7E6777">
        <w:t xml:space="preserve"> and inequity. This will do nothing to address</w:t>
      </w:r>
      <w:r w:rsidR="0F305AA4">
        <w:t xml:space="preserve"> to address teacher shortages</w:t>
      </w:r>
      <w:r>
        <w:t xml:space="preserve"> with pay still far below its </w:t>
      </w:r>
      <w:r w:rsidR="16125584">
        <w:t>2010 level</w:t>
      </w:r>
      <w:r w:rsidR="3FF911BF">
        <w:t xml:space="preserve"> in real terms compared to RPI inflation over that period</w:t>
      </w:r>
      <w:r>
        <w:t xml:space="preserve">. </w:t>
      </w:r>
      <w:r w:rsidR="089195D1">
        <w:t>Maternity pay will improve from 2027–28, doubling full pay from four to eight weeks, but teachers will still lag behind the department that sets the policy, where civil servants get 26 weeks at full pay.</w:t>
      </w:r>
      <w:r w:rsidR="00D161BD">
        <w:br/>
      </w:r>
      <w:r w:rsidRPr="50140857">
        <w:rPr>
          <w:b/>
          <w:bCs/>
        </w:rPr>
        <w:t>Recommendation: equalise maternity pay with the civil service and require academies to follow the STPCD, Burgundy Book and Green Book</w:t>
      </w:r>
      <w:r w:rsidRPr="50140857" w:rsidR="754BD270">
        <w:rPr>
          <w:b/>
          <w:bCs/>
        </w:rPr>
        <w:t xml:space="preserve"> </w:t>
      </w:r>
      <w:r w:rsidRPr="50140857">
        <w:rPr>
          <w:b/>
          <w:bCs/>
        </w:rPr>
        <w:t>in full.</w:t>
      </w:r>
    </w:p>
    <w:p w:rsidR="00531DB0">
      <w:pPr>
        <w:pStyle w:val="Heading2"/>
      </w:pPr>
      <w:r>
        <w:t>The funding of pay awards</w:t>
      </w:r>
    </w:p>
    <w:p w:rsidR="00531DB0" w:rsidP="50140857">
      <w:pPr>
        <w:spacing w:after="140"/>
        <w:rPr>
          <w:b/>
          <w:bCs/>
        </w:rPr>
      </w:pPr>
      <w:r>
        <w:rPr>
          <w:b/>
          <w:bCs/>
        </w:rPr>
        <w:t xml:space="preserve">25. </w:t>
      </w:r>
      <w:r>
        <w:t>From April 2027 the Teachers' Pension Scheme employer contribution rate falls from 28.6% to 17.6%, an annual saving to schools of around £3.6bn. The government has confirmed that additional funding for pay and recruitment rises to £1.1bn in 2027–28, but that school funding will be cut by the corresponding pension saving so that the change is “cost neutral for public sector employers as a whole”</w:t>
      </w:r>
      <w:r>
        <w:rPr>
          <w:rStyle w:val="FootnoteReference"/>
        </w:rPr>
        <w:footnoteReference w:id="20"/>
      </w:r>
      <w:r>
        <w:t xml:space="preserve"> – leaving an estimated £2.5bn clawed back </w:t>
      </w:r>
      <w:r>
        <w:t>by the Treasury rather than reaching schools. The pattern is not new: schools face a further £460m of cuts in 2026–27 alone, as a 1.9% funding increase falls well short of the 3.3% to 3.5% needed to cover staff pay.</w:t>
      </w:r>
      <w:r>
        <w:rPr>
          <w:rStyle w:val="FootnoteReference"/>
        </w:rPr>
        <w:footnoteReference w:id="21"/>
      </w:r>
      <w:r>
        <w:t xml:space="preserve"> This underlying funding position is the single largest obstacle to the White Paper's success: its aims cannot be met while school spending power is repeatedly cut. </w:t>
      </w:r>
      <w:r w:rsidR="00D161BD">
        <w:br/>
      </w:r>
      <w:r w:rsidRPr="50140857">
        <w:rPr>
          <w:b/>
          <w:bCs/>
        </w:rPr>
        <w:t>Recommendation: reinvest the TPS employer contribution saving in schools rather than allowing the Treasury to claw it back.</w:t>
      </w:r>
    </w:p>
    <w:p w:rsidR="00531DB0">
      <w:pPr>
        <w:pStyle w:val="Heading2"/>
      </w:pPr>
      <w:r>
        <w:t>Digital technology and AI</w:t>
      </w:r>
    </w:p>
    <w:p w:rsidR="00531DB0">
      <w:pPr>
        <w:spacing w:after="140"/>
      </w:pPr>
      <w:r>
        <w:rPr>
          <w:b/>
          <w:bCs/>
        </w:rPr>
        <w:t xml:space="preserve">26. </w:t>
      </w:r>
      <w:r>
        <w:t>Teachers need time, training and guidance to use technology well; AI should cut workload, not replace teachers or expand staff monitoring. Only 14% support the government’s AI tutor plan, and nearly half oppose it as cost-cutting education on the cheap.</w:t>
      </w:r>
      <w:r>
        <w:rPr>
          <w:rStyle w:val="FootnoteReference"/>
        </w:rPr>
        <w:footnoteReference w:id="22"/>
      </w:r>
      <w:r>
        <w:t xml:space="preserve"> We are concerned about the AI Tutoring Tools Pioneer Programme, which would put AI tutors before disadvantaged pupils with no published evaluation protocol – no control groups, independent evaluators or pre-specified outcomes – ahead of a 2027 national roll-out.</w:t>
      </w:r>
      <w:r>
        <w:rPr>
          <w:rStyle w:val="FootnoteReference"/>
        </w:rPr>
        <w:footnoteReference w:id="23"/>
      </w:r>
      <w:r>
        <w:t xml:space="preserve"> Disadvantaged pupils need human interaction, not an experiment; roll-out should be evidence-led and developed with the profession. Members in special and hospital schools report AI can help produce individual plans for pupils with SEND more </w:t>
      </w:r>
      <w:r w:rsidR="2825B6AF">
        <w:t>quickly, but</w:t>
      </w:r>
      <w:r>
        <w:t xml:space="preserve"> cannot replace staff: it cannot manage behaviour or respond to a pupil becoming dysregulated. </w:t>
      </w:r>
      <w:r w:rsidR="30D55688">
        <w:br/>
      </w:r>
      <w:r w:rsidRPr="50140857">
        <w:rPr>
          <w:b/>
          <w:bCs/>
        </w:rPr>
        <w:t>Recommendation: pause the AI Tutoring Tools Pioneer Programme until it has a published, independent evaluation protocol; gather evidence on AI's positive use for pupils with SEND.</w:t>
      </w:r>
    </w:p>
    <w:p w:rsidR="00531DB0">
      <w:pPr>
        <w:spacing w:after="20"/>
      </w:pPr>
    </w:p>
    <w:p w:rsidR="00095E7C" w:rsidRPr="00095E7C">
      <w:pPr>
        <w:spacing w:after="20"/>
        <w:rPr>
          <w:i/>
          <w:iCs/>
        </w:rPr>
      </w:pPr>
      <w:r w:rsidRPr="00095E7C">
        <w:rPr>
          <w:i/>
          <w:iCs/>
        </w:rPr>
        <w:t>August 2026</w:t>
      </w:r>
    </w:p>
    <w:sectPr>
      <w:footerReference w:type="even" r:id="rId8"/>
      <w:footerReference w:type="default" r:id="rId9"/>
      <w:footerReference w:type="first" r:id="rId10"/>
      <w:pgSz w:w="11906" w:h="16838"/>
      <w:pgMar w:top="1440" w:right="1440" w:bottom="1440" w:left="1440" w:header="708" w:footer="708"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1D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1DB0">
    <w:pPr>
      <w:jc w:val="center"/>
    </w:pPr>
    <w:r>
      <w:rPr>
        <w:color w:val="595959"/>
        <w:sz w:val="16"/>
        <w:szCs w:val="16"/>
      </w:rPr>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7</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7</w:t>
    </w:r>
    <w:r>
      <w:rPr>
        <w:color w:val="595959"/>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1DB0">
    <w:pPr>
      <w:jc w:val="center"/>
    </w:pPr>
    <w:r>
      <w:rPr>
        <w:color w:val="595959"/>
        <w:sz w:val="16"/>
        <w:szCs w:val="16"/>
      </w:rPr>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7</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7</w:t>
    </w:r>
    <w:r>
      <w:rPr>
        <w:color w:val="595959"/>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C4671">
      <w:pPr>
        <w:rPr>
          <w:sz w:val="12"/>
        </w:rPr>
      </w:pPr>
      <w:r>
        <w:separator/>
      </w:r>
    </w:p>
  </w:footnote>
  <w:footnote w:type="continuationSeparator" w:id="1">
    <w:p w:rsidR="00FC4671">
      <w:pPr>
        <w:rPr>
          <w:sz w:val="12"/>
        </w:rPr>
      </w:pPr>
      <w:r>
        <w:continuationSeparator/>
      </w:r>
    </w:p>
  </w:footnote>
  <w:footnote w:id="2">
    <w:p w:rsidR="00531DB0">
      <w:pPr>
        <w:spacing w:after="40"/>
      </w:pPr>
      <w:r>
        <w:rPr>
          <w:rStyle w:val="FootnoteCharacters"/>
        </w:rPr>
        <w:footnoteRef/>
      </w:r>
      <w:r>
        <w:rPr>
          <w:sz w:val="18"/>
          <w:szCs w:val="18"/>
        </w:rPr>
        <w:t>DfE, Key stage 4 performance measures and targeted RISE extension: consultation, Feb 2026 (closed 4 May 2026).</w:t>
      </w:r>
    </w:p>
  </w:footnote>
  <w:footnote w:id="3">
    <w:p w:rsidR="00531DB0">
      <w:pPr>
        <w:spacing w:after="40"/>
      </w:pPr>
      <w:r>
        <w:rPr>
          <w:rStyle w:val="FootnoteCharacters"/>
        </w:rPr>
        <w:footnoteRef/>
      </w:r>
      <w:r>
        <w:rPr>
          <w:sz w:val="18"/>
          <w:szCs w:val="18"/>
        </w:rPr>
        <w:t xml:space="preserve">FFT </w:t>
      </w:r>
      <w:r>
        <w:rPr>
          <w:sz w:val="18"/>
          <w:szCs w:val="18"/>
        </w:rPr>
        <w:t>Datalab</w:t>
      </w:r>
      <w:r>
        <w:rPr>
          <w:sz w:val="18"/>
          <w:szCs w:val="18"/>
        </w:rPr>
        <w:t>, analysis of the proposed Progress 8 changes, 2026.</w:t>
      </w:r>
    </w:p>
  </w:footnote>
  <w:footnote w:id="4">
    <w:p w:rsidR="00531DB0">
      <w:pPr>
        <w:spacing w:after="40"/>
      </w:pPr>
      <w:r>
        <w:rPr>
          <w:rStyle w:val="FootnoteCharacters"/>
        </w:rPr>
        <w:footnoteRef/>
      </w:r>
      <w:r>
        <w:rPr>
          <w:sz w:val="18"/>
          <w:szCs w:val="18"/>
        </w:rPr>
        <w:t xml:space="preserve">EPI, Securing real progress in the </w:t>
      </w:r>
      <w:r>
        <w:rPr>
          <w:sz w:val="18"/>
          <w:szCs w:val="18"/>
        </w:rPr>
        <w:t>schools</w:t>
      </w:r>
      <w:r>
        <w:rPr>
          <w:sz w:val="18"/>
          <w:szCs w:val="18"/>
        </w:rPr>
        <w:t xml:space="preserve"> white paper, 2026.</w:t>
      </w:r>
    </w:p>
  </w:footnote>
  <w:footnote w:id="5">
    <w:p w:rsidR="00531DB0">
      <w:pPr>
        <w:spacing w:after="40"/>
      </w:pPr>
      <w:r>
        <w:rPr>
          <w:rStyle w:val="FootnoteCharacters"/>
        </w:rPr>
        <w:footnoteRef/>
      </w:r>
      <w:r>
        <w:rPr>
          <w:sz w:val="18"/>
          <w:szCs w:val="18"/>
        </w:rPr>
        <w:t>Ofqual, Regulating post-16 vocational and technical qualifications at levels 2 and 3: consultation, 2026.</w:t>
      </w:r>
    </w:p>
  </w:footnote>
  <w:footnote w:id="6">
    <w:p w:rsidR="00531DB0">
      <w:pPr>
        <w:spacing w:after="40"/>
      </w:pPr>
      <w:r>
        <w:rPr>
          <w:rStyle w:val="FootnoteCharacters"/>
        </w:rPr>
        <w:footnoteRef/>
      </w:r>
      <w:r>
        <w:rPr>
          <w:sz w:val="18"/>
          <w:szCs w:val="18"/>
        </w:rPr>
        <w:t>DfE, Regional Improvement for Standards and Excellence (RISE): interim process evaluation, 2026.</w:t>
      </w:r>
    </w:p>
  </w:footnote>
  <w:footnote w:id="7">
    <w:p w:rsidR="00531DB0">
      <w:pPr>
        <w:spacing w:after="40"/>
      </w:pPr>
      <w:r>
        <w:rPr>
          <w:rStyle w:val="FootnoteCharacters"/>
        </w:rPr>
        <w:footnoteRef/>
      </w:r>
      <w:r>
        <w:rPr>
          <w:sz w:val="18"/>
          <w:szCs w:val="18"/>
        </w:rPr>
        <w:t>K. Riley and others, Place and Belonging in School, UCL IoE and NEU, 2020.</w:t>
      </w:r>
    </w:p>
  </w:footnote>
  <w:footnote w:id="8">
    <w:p w:rsidR="00531DB0">
      <w:pPr>
        <w:spacing w:after="40"/>
      </w:pPr>
      <w:r>
        <w:rPr>
          <w:rStyle w:val="FootnoteCharacters"/>
        </w:rPr>
        <w:footnoteRef/>
      </w:r>
      <w:r>
        <w:rPr>
          <w:sz w:val="18"/>
          <w:szCs w:val="18"/>
        </w:rPr>
        <w:t>NEU, teacher retention by school type: analysis of FOI returns and the School Workforce Census, 2025; NEU, The case against academisation, neu.org.uk.</w:t>
      </w:r>
    </w:p>
  </w:footnote>
  <w:footnote w:id="9">
    <w:p w:rsidR="00531DB0">
      <w:pPr>
        <w:spacing w:after="40"/>
      </w:pPr>
      <w:r>
        <w:rPr>
          <w:rStyle w:val="FootnoteCharacters"/>
        </w:rPr>
        <w:footnoteRef/>
      </w:r>
      <w:r>
        <w:rPr>
          <w:sz w:val="18"/>
          <w:szCs w:val="18"/>
        </w:rPr>
        <w:t>NEU, State of Education 2026: Funding, Apr 2026, neu.org.uk/latest/press-releases/state-education-2026-funding.</w:t>
      </w:r>
    </w:p>
  </w:footnote>
  <w:footnote w:id="10">
    <w:p w:rsidR="00531DB0">
      <w:pPr>
        <w:spacing w:after="40"/>
      </w:pPr>
      <w:r>
        <w:rPr>
          <w:rStyle w:val="FootnoteCharacters"/>
        </w:rPr>
        <w:footnoteRef/>
      </w:r>
      <w:r>
        <w:rPr>
          <w:sz w:val="18"/>
          <w:szCs w:val="18"/>
        </w:rPr>
        <w:t>NEU, State of Education 2026: SEND, Apr 2026, neu.org.uk/latest/press-releases/state-education-2026-send.</w:t>
      </w:r>
    </w:p>
  </w:footnote>
  <w:footnote w:id="11">
    <w:p w:rsidR="00180CB8">
      <w:pPr>
        <w:pStyle w:val="FootnoteText"/>
      </w:pPr>
      <w:r>
        <w:rPr>
          <w:rStyle w:val="FootnoteReference"/>
        </w:rPr>
        <w:footnoteRef/>
      </w:r>
      <w:r>
        <w:t xml:space="preserve"> </w:t>
      </w:r>
      <w:r w:rsidRPr="00866CED" w:rsidR="00866CED">
        <w:t>NEU, State of Education 2026: Behaviour, Apr 2026, neu.org.uk/latest/press-releases/state-education-2026-behaviour.</w:t>
      </w:r>
    </w:p>
  </w:footnote>
  <w:footnote w:id="12">
    <w:p w:rsidR="00866CED">
      <w:pPr>
        <w:pStyle w:val="FootnoteText"/>
      </w:pPr>
      <w:r>
        <w:rPr>
          <w:rStyle w:val="FootnoteReference"/>
        </w:rPr>
        <w:footnoteRef/>
      </w:r>
      <w:r>
        <w:t xml:space="preserve"> </w:t>
      </w:r>
      <w:r w:rsidRPr="00866CED">
        <w:t>National Audit Office, School funding in England, 2021, nao.org.uk</w:t>
      </w:r>
    </w:p>
  </w:footnote>
  <w:footnote w:id="13">
    <w:p w:rsidR="00531DB0">
      <w:pPr>
        <w:spacing w:after="40"/>
      </w:pPr>
      <w:r>
        <w:rPr>
          <w:rStyle w:val="FootnoteCharacters"/>
        </w:rPr>
        <w:footnoteRef/>
      </w:r>
      <w:r>
        <w:rPr>
          <w:sz w:val="18"/>
          <w:szCs w:val="18"/>
        </w:rPr>
        <w:t xml:space="preserve">DfE and IFF, Working Lives of Teachers and Leaders survey: wave 4, 2025 (average teaching hours 25.6 per week in primary schools against 21.4 in secondary); OECD, Education </w:t>
      </w:r>
      <w:r>
        <w:rPr>
          <w:sz w:val="18"/>
          <w:szCs w:val="18"/>
        </w:rPr>
        <w:t>at a Glance</w:t>
      </w:r>
      <w:r>
        <w:rPr>
          <w:sz w:val="18"/>
          <w:szCs w:val="18"/>
        </w:rPr>
        <w:t xml:space="preserve"> 2025, Ch. D2 (England is unusual in having larger classes in primary than in secondary schools).</w:t>
      </w:r>
    </w:p>
  </w:footnote>
  <w:footnote w:id="14">
    <w:p w:rsidR="00531DB0">
      <w:pPr>
        <w:spacing w:after="40"/>
      </w:pPr>
      <w:r>
        <w:rPr>
          <w:rStyle w:val="FootnoteCharacters"/>
        </w:rPr>
        <w:footnoteRef/>
      </w:r>
      <w:r>
        <w:rPr>
          <w:sz w:val="18"/>
          <w:szCs w:val="18"/>
        </w:rPr>
        <w:t>DfE, School Workforce in England, reporting year 2025/26, 2026.</w:t>
      </w:r>
    </w:p>
  </w:footnote>
  <w:footnote w:id="15">
    <w:p w:rsidR="00531DB0">
      <w:pPr>
        <w:spacing w:after="40"/>
      </w:pPr>
      <w:r>
        <w:rPr>
          <w:rStyle w:val="FootnoteCharacters"/>
        </w:rPr>
        <w:footnoteRef/>
      </w:r>
      <w:r>
        <w:rPr>
          <w:sz w:val="18"/>
          <w:szCs w:val="18"/>
        </w:rPr>
        <w:t xml:space="preserve">OECD, Education </w:t>
      </w:r>
      <w:r>
        <w:rPr>
          <w:sz w:val="18"/>
          <w:szCs w:val="18"/>
        </w:rPr>
        <w:t>at a Glance</w:t>
      </w:r>
      <w:r>
        <w:rPr>
          <w:sz w:val="18"/>
          <w:szCs w:val="18"/>
        </w:rPr>
        <w:t xml:space="preserve"> 2025, Ch. D2 (student-teacher ratios and class sizes).</w:t>
      </w:r>
    </w:p>
  </w:footnote>
  <w:footnote w:id="16">
    <w:p w:rsidR="00531DB0">
      <w:pPr>
        <w:spacing w:after="40"/>
      </w:pPr>
      <w:r>
        <w:rPr>
          <w:rStyle w:val="FootnoteCharacters"/>
        </w:rPr>
        <w:footnoteRef/>
      </w:r>
      <w:r>
        <w:rPr>
          <w:sz w:val="18"/>
          <w:szCs w:val="18"/>
        </w:rPr>
        <w:t>DfE, Schools, Pupils and their Characteristics, Jan 2026.</w:t>
      </w:r>
    </w:p>
  </w:footnote>
  <w:footnote w:id="17">
    <w:p w:rsidR="00531DB0">
      <w:pPr>
        <w:spacing w:after="40"/>
      </w:pPr>
      <w:r>
        <w:rPr>
          <w:rStyle w:val="FootnoteCharacters"/>
        </w:rPr>
        <w:footnoteRef/>
      </w:r>
      <w:r>
        <w:rPr>
          <w:sz w:val="18"/>
          <w:szCs w:val="18"/>
        </w:rPr>
        <w:t>L. Sibieta, Demographic change and schools across the UK: lessons from history, IFS, 2025.</w:t>
      </w:r>
    </w:p>
  </w:footnote>
  <w:footnote w:id="18">
    <w:p w:rsidR="00531DB0">
      <w:pPr>
        <w:spacing w:after="40"/>
      </w:pPr>
      <w:r>
        <w:rPr>
          <w:rStyle w:val="FootnoteCharacters"/>
        </w:rPr>
        <w:footnoteRef/>
      </w:r>
      <w:r>
        <w:rPr>
          <w:sz w:val="18"/>
          <w:szCs w:val="18"/>
        </w:rPr>
        <w:t>DfE, Teacher demand and postgraduate trainee need, 2026/27 (Teacher Workforce Model), 2026.</w:t>
      </w:r>
    </w:p>
  </w:footnote>
  <w:footnote w:id="19">
    <w:p w:rsidR="00531DB0">
      <w:pPr>
        <w:spacing w:after="40"/>
      </w:pPr>
      <w:r>
        <w:rPr>
          <w:rStyle w:val="FootnoteCharacters"/>
        </w:rPr>
        <w:footnoteRef/>
      </w:r>
      <w:r>
        <w:rPr>
          <w:sz w:val="18"/>
          <w:szCs w:val="18"/>
        </w:rPr>
        <w:t>DfE and IFF, Working Lives of Teachers and Leaders survey: wave 4, 2025.</w:t>
      </w:r>
    </w:p>
  </w:footnote>
  <w:footnote w:id="20">
    <w:p w:rsidR="00531DB0">
      <w:pPr>
        <w:spacing w:after="40"/>
      </w:pPr>
      <w:r>
        <w:rPr>
          <w:rStyle w:val="FootnoteCharacters"/>
        </w:rPr>
        <w:footnoteRef/>
      </w:r>
      <w:r>
        <w:rPr>
          <w:sz w:val="18"/>
          <w:szCs w:val="18"/>
        </w:rPr>
        <w:t>Baroness Smith of Malvern, Written Ministerial Statement, Teacher pay and pension funding adjustments, 1 July 2026 (HCWS171).</w:t>
      </w:r>
    </w:p>
  </w:footnote>
  <w:footnote w:id="21">
    <w:p w:rsidR="00531DB0">
      <w:pPr>
        <w:spacing w:after="40"/>
      </w:pPr>
      <w:r>
        <w:rPr>
          <w:rStyle w:val="FootnoteCharacters"/>
        </w:rPr>
        <w:footnoteRef/>
      </w:r>
      <w:r>
        <w:rPr>
          <w:sz w:val="18"/>
          <w:szCs w:val="18"/>
        </w:rPr>
        <w:t>NEU, More School Cuts, 1 July 2026, using DfE Schools' Costs Technical Note 2025 to 2029.</w:t>
      </w:r>
    </w:p>
  </w:footnote>
  <w:footnote w:id="22">
    <w:p w:rsidR="00531DB0">
      <w:pPr>
        <w:spacing w:after="40"/>
      </w:pPr>
      <w:r>
        <w:rPr>
          <w:rStyle w:val="FootnoteCharacters"/>
        </w:rPr>
        <w:footnoteRef/>
      </w:r>
      <w:r>
        <w:rPr>
          <w:sz w:val="18"/>
          <w:szCs w:val="18"/>
        </w:rPr>
        <w:t>NEU, State of Education 2026: AI, Apr 2026, neu.org.uk/latest/press-releases/state-education-2026-ai.</w:t>
      </w:r>
    </w:p>
  </w:footnote>
  <w:footnote w:id="23">
    <w:p w:rsidR="00531DB0">
      <w:pPr>
        <w:spacing w:after="40"/>
      </w:pPr>
      <w:r>
        <w:rPr>
          <w:rStyle w:val="FootnoteCharacters"/>
        </w:rPr>
        <w:footnoteRef/>
      </w:r>
      <w:r>
        <w:rPr>
          <w:sz w:val="18"/>
          <w:szCs w:val="18"/>
        </w:rPr>
        <w:t>DSIT (Incubator for AI) with DfE, AI Tutoring Tools Pioneer Programme, 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765F27"/>
    <w:multiLevelType w:val="multilevel"/>
    <w:tmpl w:val="541E91CC"/>
    <w:lvl w:ilvl="0">
      <w:start w:val="1"/>
      <w:numFmt w:val="bullet"/>
      <w:lvlText w:val=""/>
      <w:lvlJc w:val="left"/>
      <w:pPr>
        <w:tabs>
          <w:tab w:val="num" w:pos="0"/>
        </w:tabs>
        <w:ind w:left="540" w:hanging="260"/>
      </w:pPr>
      <w:rPr>
        <w:rFonts w:ascii="Symbol" w:hAnsi="Symbol" w:cs="Symbol" w:hint="default"/>
      </w:rPr>
    </w:lvl>
    <w:lvl w:ilvl="1">
      <w:start w:val="0"/>
      <w:numFmt w:val="decimal"/>
      <w:lvlJc w:val="left"/>
      <w:pPr>
        <w:tabs>
          <w:tab w:val="num" w:pos="0"/>
        </w:tabs>
        <w:ind w:left="0" w:firstLine="0"/>
      </w:pPr>
    </w:lvl>
    <w:lvl w:ilvl="2">
      <w:start w:val="0"/>
      <w:numFmt w:val="decimal"/>
      <w:lvlJc w:val="left"/>
      <w:pPr>
        <w:tabs>
          <w:tab w:val="num" w:pos="0"/>
        </w:tabs>
        <w:ind w:left="0" w:firstLine="0"/>
      </w:pPr>
    </w:lvl>
    <w:lvl w:ilvl="3">
      <w:start w:val="0"/>
      <w:numFmt w:val="decimal"/>
      <w:lvlJc w:val="left"/>
      <w:pPr>
        <w:tabs>
          <w:tab w:val="num" w:pos="0"/>
        </w:tabs>
        <w:ind w:left="0" w:firstLine="0"/>
      </w:pPr>
    </w:lvl>
    <w:lvl w:ilvl="4">
      <w:start w:val="0"/>
      <w:numFmt w:val="decimal"/>
      <w:lvlJc w:val="left"/>
      <w:pPr>
        <w:tabs>
          <w:tab w:val="num" w:pos="0"/>
        </w:tabs>
        <w:ind w:left="0" w:firstLine="0"/>
      </w:pPr>
    </w:lvl>
    <w:lvl w:ilvl="5">
      <w:start w:val="0"/>
      <w:numFmt w:val="decimal"/>
      <w:lvlJc w:val="left"/>
      <w:pPr>
        <w:tabs>
          <w:tab w:val="num" w:pos="0"/>
        </w:tabs>
        <w:ind w:left="0" w:firstLine="0"/>
      </w:pPr>
    </w:lvl>
    <w:lvl w:ilvl="6">
      <w:start w:val="0"/>
      <w:numFmt w:val="decimal"/>
      <w:lvlJc w:val="left"/>
      <w:pPr>
        <w:tabs>
          <w:tab w:val="num" w:pos="0"/>
        </w:tabs>
        <w:ind w:left="0" w:firstLine="0"/>
      </w:pPr>
    </w:lvl>
    <w:lvl w:ilvl="7">
      <w:start w:val="0"/>
      <w:numFmt w:val="decimal"/>
      <w:lvlJc w:val="left"/>
      <w:pPr>
        <w:tabs>
          <w:tab w:val="num" w:pos="0"/>
        </w:tabs>
        <w:ind w:left="0" w:firstLine="0"/>
      </w:pPr>
    </w:lvl>
    <w:lvl w:ilvl="8">
      <w:start w:val="0"/>
      <w:numFmt w:val="decimal"/>
      <w:lvlJc w:val="left"/>
      <w:pPr>
        <w:tabs>
          <w:tab w:val="num" w:pos="0"/>
        </w:tabs>
        <w:ind w:left="0" w:firstLine="0"/>
      </w:pPr>
    </w:lvl>
  </w:abstractNum>
  <w:abstractNum w:abstractNumId="1">
    <w:nsid w:val="3B1265FF"/>
    <w:multiLevelType w:val="multilevel"/>
    <w:tmpl w:val="607A98F6"/>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2">
    <w:nsid w:val="6052792B"/>
    <w:multiLevelType w:val="multilevel"/>
    <w:tmpl w:val="64DA9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spacing w:before="300" w:after="140"/>
      <w:outlineLvl w:val="0"/>
    </w:pPr>
    <w:rPr>
      <w:b/>
      <w:bCs/>
      <w:color w:val="E2231A"/>
      <w:sz w:val="26"/>
      <w:szCs w:val="26"/>
    </w:rPr>
  </w:style>
  <w:style w:type="paragraph" w:styleId="Heading2">
    <w:name w:val="heading 2"/>
    <w:uiPriority w:val="9"/>
    <w:unhideWhenUsed/>
    <w:qFormat/>
    <w:pPr>
      <w:spacing w:before="160" w:after="80"/>
      <w:outlineLvl w:val="1"/>
    </w:pPr>
    <w:rPr>
      <w:b/>
      <w:bCs/>
      <w:color w:val="1F386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customStyle="1" w:styleId="HeaderChar">
    <w:name w:val="Header Char"/>
    <w:basedOn w:val="DefaultParagraphFont"/>
    <w:link w:val="Header"/>
    <w:uiPriority w:val="99"/>
    <w:semiHidden/>
    <w:qFormat/>
    <w:rsid w:val="00DB488A"/>
  </w:style>
  <w:style w:type="character" w:customStyle="1" w:styleId="FooterChar">
    <w:name w:val="Footer Char"/>
    <w:basedOn w:val="DefaultParagraphFont"/>
    <w:link w:val="Footer"/>
    <w:uiPriority w:val="99"/>
    <w:semiHidden/>
    <w:qFormat/>
    <w:rsid w:val="00DB488A"/>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0C274E"/>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link w:val="FootnoteTextChar"/>
    <w:qFormat/>
    <w:pPr>
      <w:spacing w:after="40"/>
    </w:pPr>
    <w:rPr>
      <w:sz w:val="18"/>
      <w:szCs w:val="18"/>
    </w:rPr>
  </w:style>
  <w:style w:type="paragraph" w:styleId="EndnoteText">
    <w:name w:val="endnote text"/>
    <w:link w:val="EndnoteTextChar"/>
    <w:uiPriority w:val="99"/>
    <w:semiHidden/>
    <w:unhideWhenUsed/>
    <w:rPr>
      <w:sz w:val="20"/>
      <w:szCs w:val="20"/>
    </w:rPr>
  </w:style>
  <w:style w:type="paragraph" w:styleId="Revision">
    <w:name w:val="Revision"/>
    <w:uiPriority w:val="99"/>
    <w:semiHidden/>
    <w:qFormat/>
    <w:rsid w:val="00DA19C9"/>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DB488A"/>
    <w:pPr>
      <w:tabs>
        <w:tab w:val="center" w:pos="4680"/>
        <w:tab w:val="right" w:pos="9360"/>
      </w:tabs>
    </w:pPr>
  </w:style>
  <w:style w:type="paragraph" w:styleId="Footer">
    <w:name w:val="footer"/>
    <w:basedOn w:val="Normal"/>
    <w:link w:val="FooterChar"/>
    <w:uiPriority w:val="99"/>
    <w:semiHidden/>
    <w:unhideWhenUsed/>
    <w:rsid w:val="00DB488A"/>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qFormat/>
    <w:rsid w:val="000C27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19f9c38-8a4e-49bd-bca1-8c63e693d9df">
      <Terms xmlns="http://schemas.microsoft.com/office/infopath/2007/PartnerControls"/>
    </lcf76f155ced4ddcb4097134ff3c332f>
    <TaxCatchAll xmlns="0509f53e-0782-400f-958b-6ece38ba4c42"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A78CD926B382478B5524CDD6B29CFD" ma:contentTypeVersion="21" ma:contentTypeDescription="Create a new document." ma:contentTypeScope="" ma:versionID="3be7bf86578ffebdb9dd0f13fca19a67">
  <xsd:schema xmlns:xsd="http://www.w3.org/2001/XMLSchema" xmlns:xs="http://www.w3.org/2001/XMLSchema" xmlns:p="http://schemas.microsoft.com/office/2006/metadata/properties" xmlns:ns1="http://schemas.microsoft.com/sharepoint/v3" xmlns:ns2="019f9c38-8a4e-49bd-bca1-8c63e693d9df" xmlns:ns3="0509f53e-0782-400f-958b-6ece38ba4c42" targetNamespace="http://schemas.microsoft.com/office/2006/metadata/properties" ma:root="true" ma:fieldsID="e2047e5f114c63b35dc384c31bf4412d" ns1:_="" ns2:_="" ns3:_="">
    <xsd:import namespace="http://schemas.microsoft.com/sharepoint/v3"/>
    <xsd:import namespace="019f9c38-8a4e-49bd-bca1-8c63e693d9df"/>
    <xsd:import namespace="0509f53e-0782-400f-958b-6ece38ba4c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9f9c38-8a4e-49bd-bca1-8c63e693d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2d13f3-7ead-4941-a537-c142246438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09f53e-0782-400f-958b-6ece38ba4c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af53f3f-842b-411f-8d03-bbd880c06876}" ma:internalName="TaxCatchAll" ma:showField="CatchAllData" ma:web="0509f53e-0782-400f-958b-6ece38ba4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7C15A-11AE-4081-94F7-4B2D8888362B}">
  <ds:schemaRefs>
    <ds:schemaRef ds:uri="http://schemas.microsoft.com/office/2006/metadata/properties"/>
    <ds:schemaRef ds:uri="http://schemas.microsoft.com/office/infopath/2007/PartnerControls"/>
    <ds:schemaRef ds:uri="http://schemas.microsoft.com/sharepoint/v3"/>
    <ds:schemaRef ds:uri="019f9c38-8a4e-49bd-bca1-8c63e693d9df"/>
    <ds:schemaRef ds:uri="0509f53e-0782-400f-958b-6ece38ba4c42"/>
  </ds:schemaRefs>
</ds:datastoreItem>
</file>

<file path=customXml/itemProps2.xml><?xml version="1.0" encoding="utf-8"?>
<ds:datastoreItem xmlns:ds="http://schemas.openxmlformats.org/officeDocument/2006/customXml" ds:itemID="{8FFCEC12-5FB3-4ECD-A066-96E86001E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9f9c38-8a4e-49bd-bca1-8c63e693d9df"/>
    <ds:schemaRef ds:uri="0509f53e-0782-400f-958b-6ece38ba4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DB8A41-E931-432D-BA6F-F2E240A5689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cc5d511d-8e2a-4741-93fd-9db7b681ded5}" enabled="0" method="" siteId="{cc5d511d-8e2a-4741-93fd-9db7b681ded5}"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ECA0165</dc:title>
  <cp:revision>0</cp:revision>
</cp:coreProperties>
</file>