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pPr>
        <w:rPr>
          <w:b/>
          <w:sz w:val="28"/>
          <w:szCs w:val="28"/>
        </w:rPr>
      </w:pPr>
      <w:r w:rsidRPr="00965105">
        <w:rPr>
          <w:b/>
          <w:sz w:val="28"/>
          <w:szCs w:val="28"/>
        </w:rPr>
        <w:t xml:space="preserve">Written evidence from </w:t>
      </w:r>
      <w:r w:rsidRPr="00965105">
        <w:rPr>
          <w:b/>
          <w:sz w:val="28"/>
          <w:szCs w:val="28"/>
        </w:rPr>
        <w:t>Goonvean</w:t>
      </w:r>
      <w:r w:rsidRPr="00965105">
        <w:rPr>
          <w:b/>
          <w:sz w:val="28"/>
          <w:szCs w:val="28"/>
        </w:rPr>
        <w:t xml:space="preserve"> Group</w:t>
      </w:r>
      <w:r w:rsidRPr="00965105">
        <w:rPr>
          <w:b/>
          <w:sz w:val="28"/>
          <w:szCs w:val="28"/>
        </w:rPr>
        <w:t xml:space="preserve"> (DEF00</w:t>
      </w:r>
      <w:r>
        <w:rPr>
          <w:b/>
          <w:sz w:val="28"/>
          <w:szCs w:val="28"/>
        </w:rPr>
        <w:t>40</w:t>
      </w:r>
      <w:r w:rsidRPr="00965105">
        <w:rPr>
          <w:b/>
          <w:sz w:val="28"/>
          <w:szCs w:val="28"/>
        </w:rPr>
        <w:t>)</w:t>
      </w:r>
    </w:p>
    <w:p w:rsidR="00000000" w:rsidRPr="00965105">
      <w:pPr>
        <w:rPr>
          <w:sz w:val="28"/>
          <w:szCs w:val="28"/>
        </w:rPr>
      </w:pPr>
    </w:p>
    <w:p w:rsidR="00000000">
      <w:pPr>
        <w:pStyle w:val="Title"/>
        <w:rPr>
          <w:sz w:val="24"/>
          <w:szCs w:val="24"/>
        </w:rPr>
      </w:pPr>
      <w:r w:rsidRPr="00965105">
        <w:rPr>
          <w:sz w:val="24"/>
          <w:szCs w:val="24"/>
        </w:rPr>
        <w:t>From specialist manufacturer to strategic industrial capacity</w:t>
      </w:r>
    </w:p>
    <w:p w:rsidR="00000000" w:rsidRPr="00594D20" w:rsidP="00594D20"/>
    <w:p w:rsidR="00000000" w:rsidRPr="00965105">
      <w:pPr>
        <w:spacing w:after="240"/>
        <w:rPr>
          <w:szCs w:val="24"/>
        </w:rPr>
      </w:pPr>
      <w:r w:rsidRPr="00965105">
        <w:rPr>
          <w:b/>
          <w:szCs w:val="24"/>
        </w:rPr>
        <w:t xml:space="preserve">Closing the gap between </w:t>
      </w:r>
      <w:r w:rsidRPr="00965105">
        <w:rPr>
          <w:b/>
          <w:szCs w:val="24"/>
        </w:rPr>
        <w:t>defence</w:t>
      </w:r>
      <w:r w:rsidRPr="00965105">
        <w:rPr>
          <w:b/>
          <w:szCs w:val="24"/>
        </w:rPr>
        <w:t xml:space="preserve"> policy and industrial investment</w:t>
      </w:r>
    </w:p>
    <w:p w:rsidR="00000000" w:rsidRPr="00965105">
      <w:pPr>
        <w:pStyle w:val="Heading1"/>
        <w:rPr>
          <w:sz w:val="24"/>
          <w:szCs w:val="24"/>
        </w:rPr>
      </w:pPr>
      <w:r w:rsidRPr="00965105">
        <w:rPr>
          <w:sz w:val="24"/>
          <w:szCs w:val="24"/>
        </w:rPr>
        <w:t>1. Executive summary</w:t>
      </w:r>
    </w:p>
    <w:p w:rsidR="00000000" w:rsidRPr="00965105">
      <w:pPr>
        <w:rPr>
          <w:szCs w:val="24"/>
        </w:rPr>
      </w:pPr>
      <w:r w:rsidRPr="00965105">
        <w:rPr>
          <w:b/>
          <w:szCs w:val="24"/>
        </w:rPr>
        <w:t xml:space="preserve">1. </w:t>
      </w:r>
      <w:r w:rsidRPr="00965105">
        <w:rPr>
          <w:szCs w:val="24"/>
        </w:rPr>
        <w:t>Goonvean</w:t>
      </w:r>
      <w:r w:rsidRPr="00965105">
        <w:rPr>
          <w:szCs w:val="24"/>
        </w:rPr>
        <w:t xml:space="preserve"> Group welcomes the Committee's inquiry into the relationship between Government and the </w:t>
      </w:r>
      <w:r w:rsidRPr="00965105">
        <w:rPr>
          <w:szCs w:val="24"/>
        </w:rPr>
        <w:t>defence</w:t>
      </w:r>
      <w:r w:rsidRPr="00965105">
        <w:rPr>
          <w:szCs w:val="24"/>
        </w:rPr>
        <w:t xml:space="preserve"> industry. We broadly </w:t>
      </w:r>
      <w:r w:rsidRPr="00965105">
        <w:rPr>
          <w:szCs w:val="24"/>
        </w:rPr>
        <w:t>recognise</w:t>
      </w:r>
      <w:r w:rsidRPr="00965105">
        <w:rPr>
          <w:szCs w:val="24"/>
        </w:rPr>
        <w:t xml:space="preserve"> the picture described by many of the witnesses who have already given evidence. Britain has substantial specialist manufacturing capability, but industrial capacity cannot simply be switched on when a crisis occurs. The machinery, skilled people, technical processes and supplier relationships required to increase production take time to build and retain. For private industry to invest ahead of demand, businesses need sufficiently credible indications about future requirements, procurement routes and processes, as well as the likelihood that opportunities will convert into sustained commercial demand.</w:t>
      </w:r>
    </w:p>
    <w:p w:rsidR="00000000" w:rsidRPr="00965105">
      <w:pPr>
        <w:rPr>
          <w:szCs w:val="24"/>
        </w:rPr>
      </w:pPr>
      <w:r w:rsidRPr="00965105">
        <w:rPr>
          <w:b/>
          <w:szCs w:val="24"/>
        </w:rPr>
        <w:t xml:space="preserve">2. </w:t>
      </w:r>
      <w:r w:rsidRPr="00965105">
        <w:rPr>
          <w:szCs w:val="24"/>
        </w:rPr>
        <w:t xml:space="preserve">Our perspective is that of a long-term UK industrial owner and operator of manufacturing businesses. </w:t>
      </w:r>
      <w:r w:rsidRPr="00965105">
        <w:rPr>
          <w:szCs w:val="24"/>
        </w:rPr>
        <w:t>Goonvean</w:t>
      </w:r>
      <w:r w:rsidRPr="00965105">
        <w:rPr>
          <w:szCs w:val="24"/>
        </w:rPr>
        <w:t xml:space="preserve"> acquires established companies, provides patient capital and additional resources, and supports them to grow while retaining their operating identity and specialist expertise. Across our Engineered segment, the Group brings together capabilities including precision CNC machining and CMM inspection, </w:t>
      </w:r>
      <w:r w:rsidRPr="00965105">
        <w:rPr>
          <w:szCs w:val="24"/>
        </w:rPr>
        <w:t>aluminium</w:t>
      </w:r>
      <w:r w:rsidRPr="00965105">
        <w:rPr>
          <w:szCs w:val="24"/>
        </w:rPr>
        <w:t xml:space="preserve"> casting, wound electronic components, electro-mechanical engineering and specialist technical </w:t>
      </w:r>
      <w:r w:rsidRPr="00965105">
        <w:rPr>
          <w:szCs w:val="24"/>
        </w:rPr>
        <w:t>fibres</w:t>
      </w:r>
      <w:r w:rsidRPr="00965105">
        <w:rPr>
          <w:szCs w:val="24"/>
        </w:rPr>
        <w:t>.</w:t>
      </w:r>
    </w:p>
    <w:p w:rsidR="00000000" w:rsidRPr="00965105">
      <w:pPr>
        <w:rPr>
          <w:szCs w:val="24"/>
        </w:rPr>
      </w:pPr>
      <w:r w:rsidRPr="00965105">
        <w:rPr>
          <w:b/>
          <w:szCs w:val="24"/>
        </w:rPr>
        <w:t xml:space="preserve">3. </w:t>
      </w:r>
      <w:r w:rsidRPr="00965105">
        <w:rPr>
          <w:szCs w:val="24"/>
        </w:rPr>
        <w:t xml:space="preserve">Government policy has correctly </w:t>
      </w:r>
      <w:r w:rsidRPr="00965105">
        <w:rPr>
          <w:szCs w:val="24"/>
        </w:rPr>
        <w:t>recognised</w:t>
      </w:r>
      <w:r w:rsidRPr="00965105">
        <w:rPr>
          <w:szCs w:val="24"/>
        </w:rPr>
        <w:t xml:space="preserve"> the importance of SMEs, mid-tier suppliers, sovereign industrial capability and regional </w:t>
      </w:r>
      <w:r w:rsidRPr="00965105">
        <w:rPr>
          <w:szCs w:val="24"/>
        </w:rPr>
        <w:t>defence</w:t>
      </w:r>
      <w:r w:rsidRPr="00965105">
        <w:rPr>
          <w:szCs w:val="24"/>
        </w:rPr>
        <w:t xml:space="preserve"> growth. The remaining challenge is to close the gap between that policy intent and the conditions under which industrial businesses can make long-term investment decisions. For an </w:t>
      </w:r>
      <w:r w:rsidRPr="00965105">
        <w:rPr>
          <w:szCs w:val="24"/>
        </w:rPr>
        <w:t>organisation</w:t>
      </w:r>
      <w:r w:rsidRPr="00965105">
        <w:rPr>
          <w:szCs w:val="24"/>
        </w:rPr>
        <w:t xml:space="preserve"> such as ours, seeing an opportunity on a portal is not the same as seeing investable demand. A company deciding whether to spend millions of pounds on plant, machinery, people and qualifications needs greater confidence about the timing, scale and durability of the opportunity.</w:t>
      </w:r>
    </w:p>
    <w:p w:rsidR="00000000" w:rsidRPr="00965105">
      <w:pPr>
        <w:rPr>
          <w:szCs w:val="24"/>
        </w:rPr>
      </w:pPr>
      <w:r w:rsidRPr="00965105">
        <w:rPr>
          <w:b/>
          <w:szCs w:val="24"/>
        </w:rPr>
        <w:t xml:space="preserve">4. </w:t>
      </w:r>
      <w:r w:rsidRPr="00965105">
        <w:rPr>
          <w:szCs w:val="24"/>
        </w:rPr>
        <w:t xml:space="preserve">We therefore suggest that </w:t>
      </w:r>
      <w:r w:rsidRPr="00965105">
        <w:rPr>
          <w:szCs w:val="24"/>
        </w:rPr>
        <w:t>defence</w:t>
      </w:r>
      <w:r w:rsidRPr="00965105">
        <w:rPr>
          <w:szCs w:val="24"/>
        </w:rPr>
        <w:t xml:space="preserve"> industrial policy should focus not only on helping new SMEs enter the market, but on creating a continuous pathway through which established specialist manufacturers can be preserved, invested in and grown into resilient industrial capacity. That requires better-quality demand signals, a clearer route from SME to specialist mid-tier supplier, greater understanding of ownership and succession risk, mapping of strategically important industrial processes, and regional </w:t>
      </w:r>
      <w:r w:rsidRPr="00965105">
        <w:rPr>
          <w:szCs w:val="24"/>
        </w:rPr>
        <w:t>defence</w:t>
      </w:r>
      <w:r w:rsidRPr="00965105">
        <w:rPr>
          <w:szCs w:val="24"/>
        </w:rPr>
        <w:t>-growth measures that track productive industrial outcomes.</w:t>
      </w:r>
    </w:p>
    <w:p w:rsidR="00000000" w:rsidRPr="00965105">
      <w:pPr>
        <w:pStyle w:val="Heading1"/>
        <w:rPr>
          <w:sz w:val="24"/>
          <w:szCs w:val="24"/>
        </w:rPr>
      </w:pPr>
      <w:r w:rsidRPr="00965105">
        <w:rPr>
          <w:sz w:val="24"/>
          <w:szCs w:val="24"/>
        </w:rPr>
        <w:t xml:space="preserve">2. Who </w:t>
      </w:r>
      <w:r w:rsidRPr="00965105">
        <w:rPr>
          <w:sz w:val="24"/>
          <w:szCs w:val="24"/>
        </w:rPr>
        <w:t>Goonvean</w:t>
      </w:r>
      <w:r w:rsidRPr="00965105">
        <w:rPr>
          <w:sz w:val="24"/>
          <w:szCs w:val="24"/>
        </w:rPr>
        <w:t xml:space="preserve"> is and why its evidence is relevant</w:t>
      </w:r>
    </w:p>
    <w:p w:rsidR="00000000" w:rsidRPr="00965105">
      <w:pPr>
        <w:rPr>
          <w:szCs w:val="24"/>
        </w:rPr>
      </w:pPr>
      <w:r w:rsidRPr="00965105">
        <w:rPr>
          <w:b/>
          <w:szCs w:val="24"/>
        </w:rPr>
        <w:t xml:space="preserve">5. </w:t>
      </w:r>
      <w:r w:rsidRPr="00965105">
        <w:rPr>
          <w:szCs w:val="24"/>
        </w:rPr>
        <w:t>Goonvean</w:t>
      </w:r>
      <w:r w:rsidRPr="00965105">
        <w:rPr>
          <w:szCs w:val="24"/>
        </w:rPr>
        <w:t xml:space="preserve"> Group is a privately owned UK industrial group with roots in Cornwall and a portfolio spanning manufacturing, engineering and related industrial </w:t>
      </w:r>
      <w:r w:rsidRPr="00965105">
        <w:rPr>
          <w:szCs w:val="24"/>
        </w:rPr>
        <w:t>activities across the South West and wider United Kingdom. The Group's investment approach is long term: it seeks owner-managed businesses that can benefit from additional investment and resources and supports those businesses to grow while retaining the culture, specialist knowledge and expertise that made them successful.</w:t>
      </w:r>
    </w:p>
    <w:p w:rsidR="00000000" w:rsidRPr="00965105">
      <w:pPr>
        <w:rPr>
          <w:szCs w:val="24"/>
        </w:rPr>
      </w:pPr>
      <w:r w:rsidRPr="00965105">
        <w:rPr>
          <w:b/>
          <w:szCs w:val="24"/>
        </w:rPr>
        <w:t xml:space="preserve">6. </w:t>
      </w:r>
      <w:r w:rsidRPr="00965105">
        <w:rPr>
          <w:szCs w:val="24"/>
        </w:rPr>
        <w:t xml:space="preserve">The part of the Group most relevant to this inquiry is its Engineered segment. Precision Casting operates an advanced </w:t>
      </w:r>
      <w:r w:rsidRPr="00965105">
        <w:rPr>
          <w:szCs w:val="24"/>
        </w:rPr>
        <w:t>aluminium</w:t>
      </w:r>
      <w:r w:rsidRPr="00965105">
        <w:rPr>
          <w:szCs w:val="24"/>
        </w:rPr>
        <w:t xml:space="preserve"> foundry in Totnes. </w:t>
      </w:r>
      <w:r w:rsidRPr="00965105">
        <w:rPr>
          <w:szCs w:val="24"/>
        </w:rPr>
        <w:t>Goonvean</w:t>
      </w:r>
      <w:r w:rsidRPr="00965105">
        <w:rPr>
          <w:szCs w:val="24"/>
        </w:rPr>
        <w:t xml:space="preserve"> Core Engineering provides design, precision CNC machining, testing and CMM inspection from Cullompton. </w:t>
      </w:r>
      <w:r w:rsidRPr="00965105">
        <w:rPr>
          <w:szCs w:val="24"/>
        </w:rPr>
        <w:t>Goonvean</w:t>
      </w:r>
      <w:r w:rsidRPr="00965105">
        <w:rPr>
          <w:szCs w:val="24"/>
        </w:rPr>
        <w:t xml:space="preserve"> Electronics and NDE provide custom-wound coils, transformers, inductors and electro-mechanical manufacturing. </w:t>
      </w:r>
      <w:r w:rsidRPr="00965105">
        <w:rPr>
          <w:szCs w:val="24"/>
        </w:rPr>
        <w:t>Goonvean</w:t>
      </w:r>
      <w:r w:rsidRPr="00965105">
        <w:rPr>
          <w:szCs w:val="24"/>
        </w:rPr>
        <w:t xml:space="preserve"> </w:t>
      </w:r>
      <w:r w:rsidRPr="00965105">
        <w:rPr>
          <w:szCs w:val="24"/>
        </w:rPr>
        <w:t>Fibres</w:t>
      </w:r>
      <w:r w:rsidRPr="00965105">
        <w:rPr>
          <w:szCs w:val="24"/>
        </w:rPr>
        <w:t xml:space="preserve"> manufactures precision-cut </w:t>
      </w:r>
      <w:r w:rsidRPr="00965105">
        <w:rPr>
          <w:szCs w:val="24"/>
        </w:rPr>
        <w:t>fibres</w:t>
      </w:r>
      <w:r w:rsidRPr="00965105">
        <w:rPr>
          <w:szCs w:val="24"/>
        </w:rPr>
        <w:t xml:space="preserve"> and flock for a wide range of industrial applications.</w:t>
      </w:r>
    </w:p>
    <w:p w:rsidR="00000000" w:rsidRPr="00965105">
      <w:pPr>
        <w:rPr>
          <w:szCs w:val="24"/>
        </w:rPr>
      </w:pPr>
      <w:r w:rsidRPr="00965105">
        <w:rPr>
          <w:b/>
          <w:szCs w:val="24"/>
        </w:rPr>
        <w:t xml:space="preserve">7. </w:t>
      </w:r>
      <w:r w:rsidRPr="00965105">
        <w:rPr>
          <w:szCs w:val="24"/>
        </w:rPr>
        <w:t>Goonvean</w:t>
      </w:r>
      <w:r w:rsidRPr="00965105">
        <w:rPr>
          <w:szCs w:val="24"/>
        </w:rPr>
        <w:t xml:space="preserve"> is increasingly bringing those businesses together as an industrial platform. The Engineering Centre of Excellence at Cullompton houses several of the Group's engineering businesses and was designed to increase shared capability, apprentice intake and cross-training. The Group has also been investing in external networks relevant to </w:t>
      </w:r>
      <w:r w:rsidRPr="00965105">
        <w:rPr>
          <w:szCs w:val="24"/>
        </w:rPr>
        <w:t>defence</w:t>
      </w:r>
      <w:r w:rsidRPr="00965105">
        <w:rPr>
          <w:szCs w:val="24"/>
        </w:rPr>
        <w:t xml:space="preserve">. In 2026, </w:t>
      </w:r>
      <w:r w:rsidRPr="00965105">
        <w:rPr>
          <w:szCs w:val="24"/>
        </w:rPr>
        <w:t>Goonvean</w:t>
      </w:r>
      <w:r w:rsidRPr="00965105">
        <w:rPr>
          <w:szCs w:val="24"/>
        </w:rPr>
        <w:t xml:space="preserve"> Core Engineering, Precision Casting and </w:t>
      </w:r>
      <w:r w:rsidRPr="00965105">
        <w:rPr>
          <w:szCs w:val="24"/>
        </w:rPr>
        <w:t>Goonvean</w:t>
      </w:r>
      <w:r w:rsidRPr="00965105">
        <w:rPr>
          <w:szCs w:val="24"/>
        </w:rPr>
        <w:t xml:space="preserve"> Electronics joined Make UK Defence, while members of the Engineered segment have engaged through JOSCAR, ADS-related activity, the South West Regional Defence and Security Cluster, </w:t>
      </w:r>
      <w:r w:rsidRPr="00965105">
        <w:rPr>
          <w:szCs w:val="24"/>
        </w:rPr>
        <w:t>BattleLab</w:t>
      </w:r>
      <w:r w:rsidRPr="00965105">
        <w:rPr>
          <w:szCs w:val="24"/>
        </w:rPr>
        <w:t xml:space="preserve"> and </w:t>
      </w:r>
      <w:r w:rsidRPr="00965105">
        <w:rPr>
          <w:szCs w:val="24"/>
        </w:rPr>
        <w:t>defence</w:t>
      </w:r>
      <w:r w:rsidRPr="00965105">
        <w:rPr>
          <w:szCs w:val="24"/>
        </w:rPr>
        <w:t xml:space="preserve"> procurement events.</w:t>
      </w:r>
    </w:p>
    <w:p w:rsidR="00000000" w:rsidRPr="00965105">
      <w:pPr>
        <w:rPr>
          <w:szCs w:val="24"/>
        </w:rPr>
      </w:pPr>
      <w:r w:rsidRPr="00965105">
        <w:rPr>
          <w:b/>
          <w:szCs w:val="24"/>
        </w:rPr>
        <w:t xml:space="preserve">8. </w:t>
      </w:r>
      <w:r w:rsidRPr="00965105">
        <w:rPr>
          <w:szCs w:val="24"/>
        </w:rPr>
        <w:t xml:space="preserve">This gives </w:t>
      </w:r>
      <w:r w:rsidRPr="00965105">
        <w:rPr>
          <w:szCs w:val="24"/>
        </w:rPr>
        <w:t>Goonvean</w:t>
      </w:r>
      <w:r w:rsidRPr="00965105">
        <w:rPr>
          <w:szCs w:val="24"/>
        </w:rPr>
        <w:t xml:space="preserve"> a perspective that is different from that of a </w:t>
      </w:r>
      <w:r w:rsidRPr="00965105">
        <w:rPr>
          <w:szCs w:val="24"/>
        </w:rPr>
        <w:t>defence</w:t>
      </w:r>
      <w:r w:rsidRPr="00965105">
        <w:rPr>
          <w:szCs w:val="24"/>
        </w:rPr>
        <w:t xml:space="preserve"> prime, a venture-backed technology company or a single small supplier. We see the </w:t>
      </w:r>
      <w:r w:rsidRPr="00965105">
        <w:rPr>
          <w:szCs w:val="24"/>
        </w:rPr>
        <w:t>defence</w:t>
      </w:r>
      <w:r w:rsidRPr="00965105">
        <w:rPr>
          <w:szCs w:val="24"/>
        </w:rPr>
        <w:t>-industrial challenge from both the factory floor and the boardroom: as an operator of specialist manufacturing businesses and as an owner deciding when and where to commit capital to expand UK industrial capability.</w:t>
      </w:r>
    </w:p>
    <w:p w:rsidR="00000000" w:rsidRPr="00965105">
      <w:pPr>
        <w:pStyle w:val="Heading1"/>
        <w:rPr>
          <w:sz w:val="24"/>
          <w:szCs w:val="24"/>
        </w:rPr>
      </w:pPr>
      <w:r w:rsidRPr="00965105">
        <w:rPr>
          <w:sz w:val="24"/>
          <w:szCs w:val="24"/>
        </w:rPr>
        <w:t>3. Capacity cannot simply be switched on</w:t>
      </w:r>
    </w:p>
    <w:p w:rsidR="00000000" w:rsidRPr="00965105">
      <w:pPr>
        <w:rPr>
          <w:szCs w:val="24"/>
        </w:rPr>
      </w:pPr>
      <w:r w:rsidRPr="00965105">
        <w:rPr>
          <w:b/>
          <w:szCs w:val="24"/>
        </w:rPr>
        <w:t xml:space="preserve">9. </w:t>
      </w:r>
      <w:r w:rsidRPr="00965105">
        <w:rPr>
          <w:szCs w:val="24"/>
        </w:rPr>
        <w:t>We agree with evidence already given to the Committee that manufacturing capacity cannot simply be switched on at the point at which it is urgently required. Industrial capability is a combination of physical assets and accumulated know-how: plant, machinery, tooling, trained operators, engineers, quality systems, supplier relationships and production processes. Increasing output can require capital equipment with long lead times, recruitment and training, customer qualification and changes to factory infrastructure.</w:t>
      </w:r>
    </w:p>
    <w:p w:rsidR="00000000" w:rsidRPr="00965105">
      <w:pPr>
        <w:rPr>
          <w:szCs w:val="24"/>
        </w:rPr>
      </w:pPr>
      <w:r w:rsidRPr="00965105">
        <w:rPr>
          <w:b/>
          <w:szCs w:val="24"/>
        </w:rPr>
        <w:t xml:space="preserve">10. </w:t>
      </w:r>
      <w:r w:rsidRPr="00965105">
        <w:rPr>
          <w:szCs w:val="24"/>
        </w:rPr>
        <w:t>In our experience, resilience therefore requires stability on both sides of the relationship. Government and its major suppliers need to provide credible visibility of future demand, procurement opportunities and the likely duration of requirements. Industry, in turn, must be prepared to retain skills, maintain productive assets, make capital available and invest before demand reaches its peak.</w:t>
      </w:r>
    </w:p>
    <w:p w:rsidR="00000000" w:rsidRPr="00965105">
      <w:pPr>
        <w:rPr>
          <w:szCs w:val="24"/>
        </w:rPr>
      </w:pPr>
      <w:r w:rsidRPr="00965105">
        <w:rPr>
          <w:b/>
          <w:szCs w:val="24"/>
        </w:rPr>
        <w:t xml:space="preserve">11. </w:t>
      </w:r>
      <w:r w:rsidRPr="00965105">
        <w:rPr>
          <w:szCs w:val="24"/>
        </w:rPr>
        <w:t>Goonvean's</w:t>
      </w:r>
      <w:r w:rsidRPr="00965105">
        <w:rPr>
          <w:szCs w:val="24"/>
        </w:rPr>
        <w:t xml:space="preserve"> investment in Precision Casting illustrates the scale and timescale of genuine capacity building. The Group approved an approximately £6 million </w:t>
      </w:r>
      <w:r w:rsidRPr="00965105">
        <w:rPr>
          <w:szCs w:val="24"/>
        </w:rPr>
        <w:t>programme</w:t>
      </w:r>
      <w:r w:rsidRPr="00965105">
        <w:rPr>
          <w:szCs w:val="24"/>
        </w:rPr>
        <w:t xml:space="preserve"> of infrastructure and capital investment at the Totnes foundry. Discussions began in 2022 and the investment rationale reflected our assessment </w:t>
      </w:r>
      <w:r w:rsidRPr="00965105">
        <w:rPr>
          <w:szCs w:val="24"/>
        </w:rPr>
        <w:t xml:space="preserve">that demand would increasingly be </w:t>
      </w:r>
      <w:r w:rsidRPr="00965105">
        <w:rPr>
          <w:szCs w:val="24"/>
        </w:rPr>
        <w:t>onshored</w:t>
      </w:r>
      <w:r w:rsidRPr="00965105">
        <w:rPr>
          <w:szCs w:val="24"/>
        </w:rPr>
        <w:t xml:space="preserve"> and that further sovereign supply would be required. The available data was limited, so the decision represented a medium-to-high-risk investment for the company. The </w:t>
      </w:r>
      <w:r w:rsidRPr="00965105">
        <w:rPr>
          <w:szCs w:val="24"/>
        </w:rPr>
        <w:t>programme</w:t>
      </w:r>
      <w:r w:rsidRPr="00965105">
        <w:rPr>
          <w:szCs w:val="24"/>
        </w:rPr>
        <w:t xml:space="preserve"> was funded entirely privately, was designed to increase capacity approximately sixfold, and the new facility is expected to be fully operational by the end of 2026.</w:t>
      </w:r>
    </w:p>
    <w:p w:rsidR="00000000" w:rsidRPr="00965105">
      <w:pPr>
        <w:rPr>
          <w:szCs w:val="24"/>
        </w:rPr>
      </w:pPr>
      <w:r w:rsidRPr="00965105">
        <w:rPr>
          <w:b/>
          <w:szCs w:val="24"/>
        </w:rPr>
        <w:t xml:space="preserve">12. </w:t>
      </w:r>
      <w:r w:rsidRPr="00965105">
        <w:rPr>
          <w:szCs w:val="24"/>
        </w:rPr>
        <w:t>The Precision Casting experience demonstrates the lead times involved in creating real manufacturing capacity. If Government wishes to have additional productive capacity available before a crisis, the conditions that justify investment must exist before the crisis too.</w:t>
      </w:r>
    </w:p>
    <w:p w:rsidR="00000000" w:rsidRPr="00965105">
      <w:pPr>
        <w:pStyle w:val="Heading1"/>
        <w:rPr>
          <w:sz w:val="24"/>
          <w:szCs w:val="24"/>
        </w:rPr>
      </w:pPr>
      <w:r w:rsidRPr="00965105">
        <w:rPr>
          <w:sz w:val="24"/>
          <w:szCs w:val="24"/>
        </w:rPr>
        <w:t>4. Pipeline visibility is not the same as investable demand</w:t>
      </w:r>
    </w:p>
    <w:p w:rsidR="00000000" w:rsidRPr="00965105">
      <w:pPr>
        <w:rPr>
          <w:szCs w:val="24"/>
        </w:rPr>
      </w:pPr>
      <w:r w:rsidRPr="00965105">
        <w:rPr>
          <w:b/>
          <w:szCs w:val="24"/>
        </w:rPr>
        <w:t xml:space="preserve">13. </w:t>
      </w:r>
      <w:r w:rsidRPr="00965105">
        <w:rPr>
          <w:szCs w:val="24"/>
        </w:rPr>
        <w:t xml:space="preserve">We </w:t>
      </w:r>
      <w:r w:rsidRPr="00965105">
        <w:rPr>
          <w:szCs w:val="24"/>
        </w:rPr>
        <w:t>recognise</w:t>
      </w:r>
      <w:r w:rsidRPr="00965105">
        <w:rPr>
          <w:szCs w:val="24"/>
        </w:rPr>
        <w:t xml:space="preserve"> the considerable effort that has gone into improving supplier access to </w:t>
      </w:r>
      <w:r w:rsidRPr="00965105">
        <w:rPr>
          <w:szCs w:val="24"/>
        </w:rPr>
        <w:t>defence</w:t>
      </w:r>
      <w:r w:rsidRPr="00965105">
        <w:rPr>
          <w:szCs w:val="24"/>
        </w:rPr>
        <w:t>. The Defence Sourcing Portal, acquisition pipelines, prime supplier portals, supplier days, regional clusters and the Defence Office for Small Business Growth all give businesses more ways to identify opportunities and engage with the market.</w:t>
      </w:r>
    </w:p>
    <w:p w:rsidR="00000000" w:rsidRPr="00965105">
      <w:pPr>
        <w:rPr>
          <w:szCs w:val="24"/>
        </w:rPr>
      </w:pPr>
      <w:r w:rsidRPr="00965105">
        <w:rPr>
          <w:b/>
          <w:szCs w:val="24"/>
        </w:rPr>
        <w:t xml:space="preserve">14. </w:t>
      </w:r>
      <w:r w:rsidRPr="00965105">
        <w:rPr>
          <w:szCs w:val="24"/>
        </w:rPr>
        <w:t>However, there is an important distinction between opportunity visibility and demand visibility. A list of potential procurements can help a business decide where to spend bid-development time. It does not necessarily provide enough confidence for a board to decide to build or extend a factory, order long-lead machinery, recruit and train skilled employees, or undertake costly qualification work before an order exists.</w:t>
      </w:r>
    </w:p>
    <w:p w:rsidR="00000000" w:rsidRPr="00965105">
      <w:pPr>
        <w:rPr>
          <w:szCs w:val="24"/>
        </w:rPr>
      </w:pPr>
      <w:r w:rsidRPr="00965105">
        <w:rPr>
          <w:b/>
          <w:szCs w:val="24"/>
        </w:rPr>
        <w:t xml:space="preserve">15. </w:t>
      </w:r>
      <w:r w:rsidRPr="00965105">
        <w:rPr>
          <w:szCs w:val="24"/>
        </w:rPr>
        <w:t xml:space="preserve">Our experience to date has also been that establishing new relationships with </w:t>
      </w:r>
      <w:r w:rsidRPr="00965105">
        <w:rPr>
          <w:szCs w:val="24"/>
        </w:rPr>
        <w:t>defence</w:t>
      </w:r>
      <w:r w:rsidRPr="00965105">
        <w:rPr>
          <w:szCs w:val="24"/>
        </w:rPr>
        <w:t xml:space="preserve"> primes can be extremely difficult. Established supply chains and incumbent supplier relationships can limit the ability of a new entrant to secure substantive discussions, even where relevant capability exists. This affects the practical value of procurement portals: when established relationships command priority, a visible opportunity may still provide little indication of a realistic route to conversion.</w:t>
      </w:r>
    </w:p>
    <w:p w:rsidR="00000000" w:rsidRPr="00965105">
      <w:pPr>
        <w:rPr>
          <w:szCs w:val="24"/>
        </w:rPr>
      </w:pPr>
      <w:r w:rsidRPr="00965105">
        <w:rPr>
          <w:b/>
          <w:szCs w:val="24"/>
        </w:rPr>
        <w:t xml:space="preserve">16. </w:t>
      </w:r>
      <w:r w:rsidRPr="00965105">
        <w:rPr>
          <w:szCs w:val="24"/>
        </w:rPr>
        <w:t>A digital or professional-service supplier may be able to add capacity relatively quickly. A foundry, precision-machining operation or electronics manufacturer may need to commit capital and people months or years before additional output is available. It is therefore important to consider whether current procurement pipelines provide sufficient information for industry to make responsible investment decisions, not simply sufficient information to submit a bid.</w:t>
      </w:r>
    </w:p>
    <w:p w:rsidR="00000000" w:rsidRPr="00965105">
      <w:pPr>
        <w:pStyle w:val="Heading1"/>
        <w:rPr>
          <w:sz w:val="24"/>
          <w:szCs w:val="24"/>
        </w:rPr>
      </w:pPr>
      <w:r w:rsidRPr="00965105">
        <w:rPr>
          <w:sz w:val="24"/>
          <w:szCs w:val="24"/>
        </w:rPr>
        <w:t>5. 'Capital follows contracts' - but industrial capital is not only external finance</w:t>
      </w:r>
    </w:p>
    <w:p w:rsidR="00000000" w:rsidRPr="00965105">
      <w:pPr>
        <w:rPr>
          <w:szCs w:val="24"/>
        </w:rPr>
      </w:pPr>
      <w:r w:rsidRPr="00965105">
        <w:rPr>
          <w:b/>
          <w:szCs w:val="24"/>
        </w:rPr>
        <w:t xml:space="preserve">17. </w:t>
      </w:r>
      <w:r w:rsidRPr="00965105">
        <w:rPr>
          <w:szCs w:val="24"/>
        </w:rPr>
        <w:t xml:space="preserve">The Committee has heard that 'capital follows contracts', and we broadly agree. Much of the debate about financing </w:t>
      </w:r>
      <w:r w:rsidRPr="00965105">
        <w:rPr>
          <w:szCs w:val="24"/>
        </w:rPr>
        <w:t>defence</w:t>
      </w:r>
      <w:r w:rsidRPr="00965105">
        <w:rPr>
          <w:szCs w:val="24"/>
        </w:rPr>
        <w:t xml:space="preserve"> growth focuses on venture capital, private equity, lending and other external sources of finance. This can overlook another potential source: capital allocated internally by established UK industrial groups.</w:t>
      </w:r>
    </w:p>
    <w:p w:rsidR="00000000" w:rsidRPr="00965105">
      <w:pPr>
        <w:rPr>
          <w:szCs w:val="24"/>
        </w:rPr>
      </w:pPr>
      <w:r w:rsidRPr="00965105">
        <w:rPr>
          <w:b/>
          <w:szCs w:val="24"/>
        </w:rPr>
        <w:t xml:space="preserve">18. </w:t>
      </w:r>
      <w:r w:rsidRPr="00965105">
        <w:rPr>
          <w:szCs w:val="24"/>
        </w:rPr>
        <w:t>Goonvean's</w:t>
      </w:r>
      <w:r w:rsidRPr="00965105">
        <w:rPr>
          <w:szCs w:val="24"/>
        </w:rPr>
        <w:t xml:space="preserve"> own record demonstrates that industrial capital can be committed ahead of demand when there is sufficient confidence in the underlying market and </w:t>
      </w:r>
      <w:r w:rsidRPr="00965105">
        <w:rPr>
          <w:szCs w:val="24"/>
        </w:rPr>
        <w:t>in the business's ability to serve it. The Precision Casting redevelopment is one example; the Group is also investing in shared engineering infrastructure, digital modelling and the development of complementary operating businesses.</w:t>
      </w:r>
    </w:p>
    <w:p w:rsidR="00000000" w:rsidRPr="00965105">
      <w:pPr>
        <w:rPr>
          <w:szCs w:val="24"/>
        </w:rPr>
      </w:pPr>
      <w:r w:rsidRPr="00965105">
        <w:rPr>
          <w:b/>
          <w:szCs w:val="24"/>
        </w:rPr>
        <w:t xml:space="preserve">19. </w:t>
      </w:r>
      <w:r w:rsidRPr="00965105">
        <w:rPr>
          <w:szCs w:val="24"/>
        </w:rPr>
        <w:t xml:space="preserve">Government should therefore consider </w:t>
      </w:r>
      <w:r w:rsidRPr="00965105">
        <w:rPr>
          <w:szCs w:val="24"/>
        </w:rPr>
        <w:t>defence</w:t>
      </w:r>
      <w:r w:rsidRPr="00965105">
        <w:rPr>
          <w:szCs w:val="24"/>
        </w:rPr>
        <w:t xml:space="preserve"> procurement through the investment committee's eyes as well as those of a procurement team. The policy objective should be to ensure that the market provides enough credible information and sufficiently durable routes to demand for a company to commit patient capital. This does not mean removing commercial risk; it means improving the conditions in which a rational board can choose to invest in additional UK </w:t>
      </w:r>
      <w:r w:rsidRPr="00965105">
        <w:rPr>
          <w:szCs w:val="24"/>
        </w:rPr>
        <w:t>defence</w:t>
      </w:r>
      <w:r w:rsidRPr="00965105">
        <w:rPr>
          <w:szCs w:val="24"/>
        </w:rPr>
        <w:t xml:space="preserve"> capacity rather than in competing opportunities elsewhere.</w:t>
      </w:r>
    </w:p>
    <w:p w:rsidR="00000000" w:rsidRPr="00965105">
      <w:pPr>
        <w:pStyle w:val="Heading1"/>
        <w:rPr>
          <w:sz w:val="24"/>
          <w:szCs w:val="24"/>
        </w:rPr>
      </w:pPr>
      <w:r w:rsidRPr="00965105">
        <w:rPr>
          <w:sz w:val="24"/>
          <w:szCs w:val="24"/>
        </w:rPr>
        <w:t>6. From SME support to industrial scale: closing the gap between intent and reality</w:t>
      </w:r>
    </w:p>
    <w:p w:rsidR="00000000" w:rsidRPr="00965105">
      <w:pPr>
        <w:rPr>
          <w:szCs w:val="24"/>
        </w:rPr>
      </w:pPr>
      <w:r w:rsidRPr="00965105">
        <w:rPr>
          <w:b/>
          <w:szCs w:val="24"/>
        </w:rPr>
        <w:t xml:space="preserve">20. </w:t>
      </w:r>
      <w:r w:rsidRPr="00965105">
        <w:rPr>
          <w:szCs w:val="24"/>
        </w:rPr>
        <w:t xml:space="preserve">The Defence Industrial Strategy and the subsequent SME Action Plan have created new structures intended to help smaller companies enter </w:t>
      </w:r>
      <w:r w:rsidRPr="00965105">
        <w:rPr>
          <w:szCs w:val="24"/>
        </w:rPr>
        <w:t>defence</w:t>
      </w:r>
      <w:r w:rsidRPr="00965105">
        <w:rPr>
          <w:szCs w:val="24"/>
        </w:rPr>
        <w:t>, win work and scale, including the Defence Office for Small Business Growth and a dedicated commercial pathway. We support that direction. To be fully effective, however, the supplier-development architecture also needs to provide a clear journey once a specialist business begins to grow.</w:t>
      </w:r>
    </w:p>
    <w:p w:rsidR="00000000" w:rsidRPr="00965105">
      <w:pPr>
        <w:rPr>
          <w:szCs w:val="24"/>
        </w:rPr>
      </w:pPr>
      <w:r w:rsidRPr="00965105">
        <w:rPr>
          <w:b/>
          <w:szCs w:val="24"/>
        </w:rPr>
        <w:t xml:space="preserve">21. </w:t>
      </w:r>
      <w:r w:rsidRPr="00965105">
        <w:rPr>
          <w:szCs w:val="24"/>
        </w:rPr>
        <w:t>Otherwise, some businesses will no longer meet the definition used for SME-specific support yet remain far removed from the scale and market power of a strategic prime. Defence policy should therefore consider whether there is a sufficient bridge between the structures designed for SMEs and those used to manage major strategic suppliers. The objective should not be to dilute support intended for small firms, but to ensure that strategically useful specialist manufacturers have a visible route through successive stages of growth.</w:t>
      </w:r>
    </w:p>
    <w:p w:rsidR="00000000" w:rsidRPr="00965105">
      <w:pPr>
        <w:rPr>
          <w:szCs w:val="24"/>
        </w:rPr>
      </w:pPr>
      <w:r w:rsidRPr="00965105">
        <w:rPr>
          <w:b/>
          <w:szCs w:val="24"/>
        </w:rPr>
        <w:t xml:space="preserve">22. </w:t>
      </w:r>
      <w:r w:rsidRPr="00965105">
        <w:rPr>
          <w:szCs w:val="24"/>
        </w:rPr>
        <w:t>Goonvean's</w:t>
      </w:r>
      <w:r w:rsidRPr="00965105">
        <w:rPr>
          <w:szCs w:val="24"/>
        </w:rPr>
        <w:t xml:space="preserve"> operating model provides a useful case study. The Group adds capital, management infrastructure and shared capability while allowing individual businesses to retain specialist operating identities. In practice, this can combine the support and depth of a larger </w:t>
      </w:r>
      <w:r w:rsidRPr="00965105">
        <w:rPr>
          <w:szCs w:val="24"/>
        </w:rPr>
        <w:t>organisation</w:t>
      </w:r>
      <w:r w:rsidRPr="00965105">
        <w:rPr>
          <w:szCs w:val="24"/>
        </w:rPr>
        <w:t xml:space="preserve"> with the ability to make strategic decisions without prime-style bureaucracy.</w:t>
      </w:r>
    </w:p>
    <w:p w:rsidR="00000000" w:rsidRPr="00965105">
      <w:pPr>
        <w:pStyle w:val="Heading1"/>
        <w:rPr>
          <w:sz w:val="24"/>
          <w:szCs w:val="24"/>
        </w:rPr>
      </w:pPr>
      <w:r w:rsidRPr="00965105">
        <w:rPr>
          <w:sz w:val="24"/>
          <w:szCs w:val="24"/>
        </w:rPr>
        <w:t>7. Patient UK ownership can preserve and grow specialist capability</w:t>
      </w:r>
    </w:p>
    <w:p w:rsidR="00000000" w:rsidRPr="00965105">
      <w:pPr>
        <w:rPr>
          <w:szCs w:val="24"/>
        </w:rPr>
      </w:pPr>
      <w:r w:rsidRPr="00965105">
        <w:rPr>
          <w:b/>
          <w:szCs w:val="24"/>
        </w:rPr>
        <w:t xml:space="preserve">23. </w:t>
      </w:r>
      <w:r w:rsidRPr="00965105">
        <w:rPr>
          <w:szCs w:val="24"/>
        </w:rPr>
        <w:t>Goonvean's</w:t>
      </w:r>
      <w:r w:rsidRPr="00965105">
        <w:rPr>
          <w:szCs w:val="24"/>
        </w:rPr>
        <w:t xml:space="preserve"> investment approach is long term. The Group seeks owner-managed companies that can benefit from additional investment and resources. Our model is patient capital rather than short-term acquisition and disposal.</w:t>
      </w:r>
    </w:p>
    <w:p w:rsidR="00000000" w:rsidRPr="00965105">
      <w:pPr>
        <w:rPr>
          <w:szCs w:val="24"/>
        </w:rPr>
      </w:pPr>
      <w:r w:rsidRPr="00965105">
        <w:rPr>
          <w:b/>
          <w:szCs w:val="24"/>
        </w:rPr>
        <w:t xml:space="preserve">24. </w:t>
      </w:r>
      <w:r w:rsidRPr="00965105">
        <w:rPr>
          <w:szCs w:val="24"/>
        </w:rPr>
        <w:t xml:space="preserve">Jades Components in Kingsbridge had 28 employees and more than four decades of experience in specialist industrial electrical components. Its owners were considering retirement and were seeking an ownership solution that could support further investment. North Devon Electronics, supported by </w:t>
      </w:r>
      <w:r w:rsidRPr="00965105">
        <w:rPr>
          <w:szCs w:val="24"/>
        </w:rPr>
        <w:t>Goonvean</w:t>
      </w:r>
      <w:r w:rsidRPr="00965105">
        <w:rPr>
          <w:szCs w:val="24"/>
        </w:rPr>
        <w:t xml:space="preserve"> Group, acquired the business. The existing management team continued to operate the business, additional operational support was introduced, and </w:t>
      </w:r>
      <w:r w:rsidRPr="00965105">
        <w:rPr>
          <w:szCs w:val="24"/>
        </w:rPr>
        <w:t>Goonvean</w:t>
      </w:r>
      <w:r w:rsidRPr="00965105">
        <w:rPr>
          <w:szCs w:val="24"/>
        </w:rPr>
        <w:t xml:space="preserve"> brought together complementary manufacturing capabilities, shared production knowledge and created opportunities for further investment in technology.</w:t>
      </w:r>
    </w:p>
    <w:p w:rsidR="00000000" w:rsidRPr="00965105">
      <w:pPr>
        <w:rPr>
          <w:szCs w:val="24"/>
        </w:rPr>
      </w:pPr>
      <w:r w:rsidRPr="00965105">
        <w:rPr>
          <w:b/>
          <w:szCs w:val="24"/>
        </w:rPr>
        <w:t xml:space="preserve">25. </w:t>
      </w:r>
      <w:r w:rsidRPr="00965105">
        <w:rPr>
          <w:szCs w:val="24"/>
        </w:rPr>
        <w:t>Goonvean</w:t>
      </w:r>
      <w:r w:rsidRPr="00965105">
        <w:rPr>
          <w:szCs w:val="24"/>
        </w:rPr>
        <w:t xml:space="preserve"> Core Engineering provides another example. When </w:t>
      </w:r>
      <w:r w:rsidRPr="00965105">
        <w:rPr>
          <w:szCs w:val="24"/>
        </w:rPr>
        <w:t>Goonvean</w:t>
      </w:r>
      <w:r w:rsidRPr="00965105">
        <w:rPr>
          <w:szCs w:val="24"/>
        </w:rPr>
        <w:t xml:space="preserve"> </w:t>
      </w:r>
      <w:r w:rsidRPr="00965105">
        <w:rPr>
          <w:szCs w:val="24"/>
        </w:rPr>
        <w:t>Fibres</w:t>
      </w:r>
      <w:r w:rsidRPr="00965105">
        <w:rPr>
          <w:szCs w:val="24"/>
        </w:rPr>
        <w:t xml:space="preserve"> acquired the Core Engineering business and assets, Core continued as a specialist operating company and its commercial leadership remained with the business. The acquisition was intended to add scalable engineering capability and give the business access to the resources of the wider Group.</w:t>
      </w:r>
    </w:p>
    <w:p w:rsidR="00000000" w:rsidRPr="00965105">
      <w:pPr>
        <w:rPr>
          <w:szCs w:val="24"/>
        </w:rPr>
      </w:pPr>
      <w:r w:rsidRPr="00965105">
        <w:rPr>
          <w:b/>
          <w:szCs w:val="24"/>
        </w:rPr>
        <w:t xml:space="preserve">26. </w:t>
      </w:r>
      <w:r w:rsidRPr="00965105">
        <w:rPr>
          <w:szCs w:val="24"/>
        </w:rPr>
        <w:t xml:space="preserve">These examples show that useful manufacturing capability can become vulnerable when an owner wishes to retire, when succession is uncertain, or when a business cannot finance necessary capital equipment. Assessments of industrial-base health should therefore </w:t>
      </w:r>
      <w:r w:rsidRPr="00965105">
        <w:rPr>
          <w:szCs w:val="24"/>
        </w:rPr>
        <w:t>recognise</w:t>
      </w:r>
      <w:r w:rsidRPr="00965105">
        <w:rPr>
          <w:szCs w:val="24"/>
        </w:rPr>
        <w:t xml:space="preserve"> that succession, ownership and </w:t>
      </w:r>
      <w:r w:rsidRPr="00965105">
        <w:rPr>
          <w:szCs w:val="24"/>
        </w:rPr>
        <w:t>recapitalisation</w:t>
      </w:r>
      <w:r w:rsidRPr="00965105">
        <w:rPr>
          <w:szCs w:val="24"/>
        </w:rPr>
        <w:t xml:space="preserve"> can determine whether specialist productive capability remains sustainable and ultimately grows in the UK.</w:t>
      </w:r>
    </w:p>
    <w:p w:rsidR="00000000" w:rsidRPr="00965105">
      <w:pPr>
        <w:pStyle w:val="Heading1"/>
        <w:rPr>
          <w:sz w:val="24"/>
          <w:szCs w:val="24"/>
        </w:rPr>
      </w:pPr>
      <w:r w:rsidRPr="00965105">
        <w:rPr>
          <w:sz w:val="24"/>
          <w:szCs w:val="24"/>
        </w:rPr>
        <w:t>8. Sovereign capability means knowing what Britain can physically make</w:t>
      </w:r>
    </w:p>
    <w:p w:rsidR="00000000" w:rsidRPr="00965105">
      <w:pPr>
        <w:rPr>
          <w:szCs w:val="24"/>
        </w:rPr>
      </w:pPr>
      <w:r w:rsidRPr="00965105">
        <w:rPr>
          <w:b/>
          <w:szCs w:val="24"/>
        </w:rPr>
        <w:t xml:space="preserve">27. </w:t>
      </w:r>
      <w:r w:rsidRPr="00965105">
        <w:rPr>
          <w:szCs w:val="24"/>
        </w:rPr>
        <w:t>We also agree with evidence to the Committee that sovereign capability cannot be measured only by the registered nationality of a supplier. Our definition of sovereignty should ultimately depend on what can physically be made and maintained in the UK. That includes machinery, tooling, skilled people, access to raw materials, technical processes, qualifications, data and supplier relationships.</w:t>
      </w:r>
    </w:p>
    <w:p w:rsidR="00000000" w:rsidRPr="00965105">
      <w:pPr>
        <w:rPr>
          <w:szCs w:val="24"/>
        </w:rPr>
      </w:pPr>
      <w:r w:rsidRPr="00965105">
        <w:rPr>
          <w:b/>
          <w:szCs w:val="24"/>
        </w:rPr>
        <w:t xml:space="preserve">28. </w:t>
      </w:r>
      <w:r w:rsidRPr="00965105">
        <w:rPr>
          <w:szCs w:val="24"/>
        </w:rPr>
        <w:t>Supply-chain mapping should therefore go beyond the level of the legal entity where a capability is strategically important. For a critical process, a useful industrial-resilience assessment would identify what is made and where, current productive capacity, alternative qualified UK sources, equipment replacement lead times, workforce and skills requirements, critical imported materials, and the time and capital required either to increase capacity or recreate the capability.</w:t>
      </w:r>
    </w:p>
    <w:p w:rsidR="00000000" w:rsidRPr="00965105">
      <w:pPr>
        <w:rPr>
          <w:szCs w:val="24"/>
        </w:rPr>
      </w:pPr>
      <w:r w:rsidRPr="00965105">
        <w:rPr>
          <w:b/>
          <w:szCs w:val="24"/>
        </w:rPr>
        <w:t xml:space="preserve">29. </w:t>
      </w:r>
      <w:r w:rsidRPr="00965105">
        <w:rPr>
          <w:szCs w:val="24"/>
        </w:rPr>
        <w:t xml:space="preserve">In </w:t>
      </w:r>
      <w:r w:rsidRPr="00965105">
        <w:rPr>
          <w:szCs w:val="24"/>
        </w:rPr>
        <w:t>Goonvean's</w:t>
      </w:r>
      <w:r w:rsidRPr="00965105">
        <w:rPr>
          <w:szCs w:val="24"/>
        </w:rPr>
        <w:t xml:space="preserve"> own engineering portfolio, </w:t>
      </w:r>
      <w:r w:rsidRPr="00965105">
        <w:rPr>
          <w:szCs w:val="24"/>
        </w:rPr>
        <w:t>aluminium</w:t>
      </w:r>
      <w:r w:rsidRPr="00965105">
        <w:rPr>
          <w:szCs w:val="24"/>
        </w:rPr>
        <w:t xml:space="preserve"> casting, precision CNC machining, wound electronic components and specialist </w:t>
      </w:r>
      <w:r w:rsidRPr="00965105">
        <w:rPr>
          <w:szCs w:val="24"/>
        </w:rPr>
        <w:t>fibre</w:t>
      </w:r>
      <w:r w:rsidRPr="00965105">
        <w:rPr>
          <w:szCs w:val="24"/>
        </w:rPr>
        <w:t xml:space="preserve"> processing are very different industrial processes. Their resilience cannot be understood through a common company-size metric alone. Each has different machinery, skills, input materials, qualification requirements and timescales for expansion. Our current indicative assessment is set out below.</w:t>
      </w:r>
    </w:p>
    <w:tbl>
      <w:tblPr>
        <w:tblStyle w:val="TableGrid"/>
        <w:tblW w:w="0" w:type="auto"/>
        <w:jc w:val="center"/>
        <w:tblLayout w:type="fixed"/>
        <w:tblLook w:val="04A0"/>
      </w:tblPr>
      <w:tblGrid>
        <w:gridCol w:w="1512"/>
        <w:gridCol w:w="1944"/>
        <w:gridCol w:w="1800"/>
        <w:gridCol w:w="1728"/>
        <w:gridCol w:w="1944"/>
        <w:gridCol w:w="1728"/>
      </w:tblGrid>
      <w:tr>
        <w:tblPrEx>
          <w:tblW w:w="0" w:type="auto"/>
          <w:jc w:val="center"/>
          <w:tblLayout w:type="fixed"/>
          <w:tblLook w:val="04A0"/>
        </w:tblPrEx>
        <w:trPr>
          <w:tblHeader/>
          <w:jc w:val="center"/>
        </w:trPr>
        <w:tc>
          <w:tcPr>
            <w:tcW w:w="1512"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Capability</w:t>
            </w:r>
          </w:p>
        </w:tc>
        <w:tc>
          <w:tcPr>
            <w:tcW w:w="1944"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Current site / process</w:t>
            </w:r>
          </w:p>
        </w:tc>
        <w:tc>
          <w:tcPr>
            <w:tcW w:w="1800"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Known alternative UK sources</w:t>
            </w:r>
          </w:p>
        </w:tc>
        <w:tc>
          <w:tcPr>
            <w:tcW w:w="1728"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Indicative time to add capacity</w:t>
            </w:r>
          </w:p>
        </w:tc>
        <w:tc>
          <w:tcPr>
            <w:tcW w:w="1944"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Indicative time to recreate if lost</w:t>
            </w:r>
          </w:p>
        </w:tc>
        <w:tc>
          <w:tcPr>
            <w:tcW w:w="1728" w:type="dxa"/>
            <w:shd w:val="clear" w:color="auto" w:fill="D9D9D9"/>
            <w:tcMar>
              <w:top w:w="60" w:type="dxa"/>
              <w:left w:w="70" w:type="dxa"/>
              <w:bottom w:w="60" w:type="dxa"/>
              <w:right w:w="70" w:type="dxa"/>
            </w:tcMar>
            <w:vAlign w:val="center"/>
          </w:tcPr>
          <w:p w:rsidR="00000000" w:rsidRPr="00965105">
            <w:pPr>
              <w:rPr>
                <w:szCs w:val="24"/>
              </w:rPr>
            </w:pPr>
            <w:r w:rsidRPr="00965105">
              <w:rPr>
                <w:b/>
                <w:szCs w:val="24"/>
              </w:rPr>
              <w:t>Main constraint</w:t>
            </w:r>
          </w:p>
        </w:tc>
      </w:tr>
      <w:tr>
        <w:tblPrEx>
          <w:tblW w:w="0" w:type="auto"/>
          <w:jc w:val="center"/>
          <w:tblLayout w:type="fixed"/>
          <w:tblLook w:val="04A0"/>
        </w:tblPrEx>
        <w:trPr>
          <w:jc w:val="center"/>
        </w:trPr>
        <w:tc>
          <w:tcPr>
            <w:tcW w:w="1512" w:type="dxa"/>
            <w:tcMar>
              <w:top w:w="60" w:type="dxa"/>
              <w:left w:w="70" w:type="dxa"/>
              <w:bottom w:w="60" w:type="dxa"/>
              <w:right w:w="70" w:type="dxa"/>
            </w:tcMar>
            <w:vAlign w:val="center"/>
          </w:tcPr>
          <w:p w:rsidR="00000000" w:rsidRPr="00965105">
            <w:pPr>
              <w:rPr>
                <w:szCs w:val="24"/>
              </w:rPr>
            </w:pPr>
            <w:r w:rsidRPr="00965105">
              <w:rPr>
                <w:szCs w:val="24"/>
              </w:rPr>
              <w:t>Aluminium</w:t>
            </w:r>
            <w:r w:rsidRPr="00965105">
              <w:rPr>
                <w:szCs w:val="24"/>
              </w:rPr>
              <w:t xml:space="preserve"> casting</w:t>
            </w:r>
          </w:p>
        </w:tc>
        <w:tc>
          <w:tcPr>
            <w:tcW w:w="1944" w:type="dxa"/>
            <w:tcMar>
              <w:top w:w="60" w:type="dxa"/>
              <w:left w:w="70" w:type="dxa"/>
              <w:bottom w:w="60" w:type="dxa"/>
              <w:right w:w="70" w:type="dxa"/>
            </w:tcMar>
            <w:vAlign w:val="center"/>
          </w:tcPr>
          <w:p w:rsidR="00000000" w:rsidRPr="00965105">
            <w:pPr>
              <w:rPr>
                <w:szCs w:val="24"/>
              </w:rPr>
            </w:pPr>
            <w:r w:rsidRPr="00965105">
              <w:rPr>
                <w:szCs w:val="24"/>
              </w:rPr>
              <w:t>Totnes / Precision Casting</w:t>
            </w:r>
          </w:p>
        </w:tc>
        <w:tc>
          <w:tcPr>
            <w:tcW w:w="1800" w:type="dxa"/>
            <w:tcMar>
              <w:top w:w="60" w:type="dxa"/>
              <w:left w:w="70" w:type="dxa"/>
              <w:bottom w:w="60" w:type="dxa"/>
              <w:right w:w="70" w:type="dxa"/>
            </w:tcMar>
            <w:vAlign w:val="center"/>
          </w:tcPr>
          <w:p w:rsidR="00000000" w:rsidRPr="00965105">
            <w:pPr>
              <w:rPr>
                <w:szCs w:val="24"/>
              </w:rPr>
            </w:pPr>
            <w:r w:rsidRPr="00965105">
              <w:rPr>
                <w:szCs w:val="24"/>
              </w:rPr>
              <w:t>Limited and declining</w:t>
            </w:r>
          </w:p>
        </w:tc>
        <w:tc>
          <w:tcPr>
            <w:tcW w:w="1728" w:type="dxa"/>
            <w:tcMar>
              <w:top w:w="60" w:type="dxa"/>
              <w:left w:w="70" w:type="dxa"/>
              <w:bottom w:w="60" w:type="dxa"/>
              <w:right w:w="70" w:type="dxa"/>
            </w:tcMar>
            <w:vAlign w:val="center"/>
          </w:tcPr>
          <w:p w:rsidR="00000000" w:rsidRPr="00965105">
            <w:pPr>
              <w:rPr>
                <w:szCs w:val="24"/>
              </w:rPr>
            </w:pPr>
            <w:r w:rsidRPr="00965105">
              <w:rPr>
                <w:szCs w:val="24"/>
              </w:rPr>
              <w:t>1-2 years</w:t>
            </w:r>
          </w:p>
        </w:tc>
        <w:tc>
          <w:tcPr>
            <w:tcW w:w="1944" w:type="dxa"/>
            <w:tcMar>
              <w:top w:w="60" w:type="dxa"/>
              <w:left w:w="70" w:type="dxa"/>
              <w:bottom w:w="60" w:type="dxa"/>
              <w:right w:w="70" w:type="dxa"/>
            </w:tcMar>
            <w:vAlign w:val="center"/>
          </w:tcPr>
          <w:p w:rsidR="00000000" w:rsidRPr="00965105">
            <w:pPr>
              <w:rPr>
                <w:szCs w:val="24"/>
              </w:rPr>
            </w:pPr>
            <w:r w:rsidRPr="00965105">
              <w:rPr>
                <w:szCs w:val="24"/>
              </w:rPr>
              <w:t>3-5 years</w:t>
            </w:r>
          </w:p>
        </w:tc>
        <w:tc>
          <w:tcPr>
            <w:tcW w:w="1728" w:type="dxa"/>
            <w:tcMar>
              <w:top w:w="60" w:type="dxa"/>
              <w:left w:w="70" w:type="dxa"/>
              <w:bottom w:w="60" w:type="dxa"/>
              <w:right w:w="70" w:type="dxa"/>
            </w:tcMar>
            <w:vAlign w:val="center"/>
          </w:tcPr>
          <w:p w:rsidR="00000000" w:rsidRPr="00965105">
            <w:pPr>
              <w:rPr>
                <w:szCs w:val="24"/>
              </w:rPr>
            </w:pPr>
            <w:r w:rsidRPr="00965105">
              <w:rPr>
                <w:szCs w:val="24"/>
              </w:rPr>
              <w:t>High capital barrier</w:t>
            </w:r>
          </w:p>
        </w:tc>
      </w:tr>
      <w:tr>
        <w:tblPrEx>
          <w:tblW w:w="0" w:type="auto"/>
          <w:jc w:val="center"/>
          <w:tblLayout w:type="fixed"/>
          <w:tblLook w:val="04A0"/>
        </w:tblPrEx>
        <w:trPr>
          <w:jc w:val="center"/>
        </w:trPr>
        <w:tc>
          <w:tcPr>
            <w:tcW w:w="1512" w:type="dxa"/>
            <w:tcMar>
              <w:top w:w="60" w:type="dxa"/>
              <w:left w:w="70" w:type="dxa"/>
              <w:bottom w:w="60" w:type="dxa"/>
              <w:right w:w="70" w:type="dxa"/>
            </w:tcMar>
            <w:vAlign w:val="center"/>
          </w:tcPr>
          <w:p w:rsidR="00000000" w:rsidRPr="00965105">
            <w:pPr>
              <w:rPr>
                <w:szCs w:val="24"/>
              </w:rPr>
            </w:pPr>
            <w:r w:rsidRPr="00965105">
              <w:rPr>
                <w:szCs w:val="24"/>
              </w:rPr>
              <w:t>CNC / CMM</w:t>
            </w:r>
          </w:p>
        </w:tc>
        <w:tc>
          <w:tcPr>
            <w:tcW w:w="1944" w:type="dxa"/>
            <w:tcMar>
              <w:top w:w="60" w:type="dxa"/>
              <w:left w:w="70" w:type="dxa"/>
              <w:bottom w:w="60" w:type="dxa"/>
              <w:right w:w="70" w:type="dxa"/>
            </w:tcMar>
            <w:vAlign w:val="center"/>
          </w:tcPr>
          <w:p w:rsidR="00000000" w:rsidRPr="00965105">
            <w:pPr>
              <w:rPr>
                <w:szCs w:val="24"/>
              </w:rPr>
            </w:pPr>
            <w:r w:rsidRPr="00965105">
              <w:rPr>
                <w:szCs w:val="24"/>
              </w:rPr>
              <w:t>Cullompton / Core Engineering</w:t>
            </w:r>
          </w:p>
        </w:tc>
        <w:tc>
          <w:tcPr>
            <w:tcW w:w="1800" w:type="dxa"/>
            <w:tcMar>
              <w:top w:w="60" w:type="dxa"/>
              <w:left w:w="70" w:type="dxa"/>
              <w:bottom w:w="60" w:type="dxa"/>
              <w:right w:w="70" w:type="dxa"/>
            </w:tcMar>
            <w:vAlign w:val="center"/>
          </w:tcPr>
          <w:p w:rsidR="00000000" w:rsidRPr="00965105">
            <w:pPr>
              <w:rPr>
                <w:szCs w:val="24"/>
              </w:rPr>
            </w:pPr>
            <w:r w:rsidRPr="00965105">
              <w:rPr>
                <w:szCs w:val="24"/>
              </w:rPr>
              <w:t>More widely available</w:t>
            </w:r>
          </w:p>
        </w:tc>
        <w:tc>
          <w:tcPr>
            <w:tcW w:w="1728" w:type="dxa"/>
            <w:tcMar>
              <w:top w:w="60" w:type="dxa"/>
              <w:left w:w="70" w:type="dxa"/>
              <w:bottom w:w="60" w:type="dxa"/>
              <w:right w:w="70" w:type="dxa"/>
            </w:tcMar>
            <w:vAlign w:val="center"/>
          </w:tcPr>
          <w:p w:rsidR="00000000" w:rsidRPr="00965105">
            <w:pPr>
              <w:rPr>
                <w:szCs w:val="24"/>
              </w:rPr>
            </w:pPr>
            <w:r w:rsidRPr="00965105">
              <w:rPr>
                <w:szCs w:val="24"/>
              </w:rPr>
              <w:t>Around 1 year</w:t>
            </w:r>
          </w:p>
        </w:tc>
        <w:tc>
          <w:tcPr>
            <w:tcW w:w="1944" w:type="dxa"/>
            <w:tcMar>
              <w:top w:w="60" w:type="dxa"/>
              <w:left w:w="70" w:type="dxa"/>
              <w:bottom w:w="60" w:type="dxa"/>
              <w:right w:w="70" w:type="dxa"/>
            </w:tcMar>
            <w:vAlign w:val="center"/>
          </w:tcPr>
          <w:p w:rsidR="00000000" w:rsidRPr="00965105">
            <w:pPr>
              <w:rPr>
                <w:szCs w:val="24"/>
              </w:rPr>
            </w:pPr>
            <w:r w:rsidRPr="00965105">
              <w:rPr>
                <w:szCs w:val="24"/>
              </w:rPr>
              <w:t>1-2 years</w:t>
            </w:r>
          </w:p>
        </w:tc>
        <w:tc>
          <w:tcPr>
            <w:tcW w:w="1728" w:type="dxa"/>
            <w:tcMar>
              <w:top w:w="60" w:type="dxa"/>
              <w:left w:w="70" w:type="dxa"/>
              <w:bottom w:w="60" w:type="dxa"/>
              <w:right w:w="70" w:type="dxa"/>
            </w:tcMar>
            <w:vAlign w:val="center"/>
          </w:tcPr>
          <w:p w:rsidR="00000000" w:rsidRPr="00965105">
            <w:pPr>
              <w:rPr>
                <w:szCs w:val="24"/>
              </w:rPr>
            </w:pPr>
            <w:r w:rsidRPr="00965105">
              <w:rPr>
                <w:szCs w:val="24"/>
              </w:rPr>
              <w:t>High capital barrier</w:t>
            </w:r>
          </w:p>
        </w:tc>
      </w:tr>
      <w:tr>
        <w:tblPrEx>
          <w:tblW w:w="0" w:type="auto"/>
          <w:jc w:val="center"/>
          <w:tblLayout w:type="fixed"/>
          <w:tblLook w:val="04A0"/>
        </w:tblPrEx>
        <w:trPr>
          <w:jc w:val="center"/>
        </w:trPr>
        <w:tc>
          <w:tcPr>
            <w:tcW w:w="1512" w:type="dxa"/>
            <w:tcMar>
              <w:top w:w="60" w:type="dxa"/>
              <w:left w:w="70" w:type="dxa"/>
              <w:bottom w:w="60" w:type="dxa"/>
              <w:right w:w="70" w:type="dxa"/>
            </w:tcMar>
            <w:vAlign w:val="center"/>
          </w:tcPr>
          <w:p w:rsidR="00000000" w:rsidRPr="00965105">
            <w:pPr>
              <w:rPr>
                <w:szCs w:val="24"/>
              </w:rPr>
            </w:pPr>
            <w:r w:rsidRPr="00965105">
              <w:rPr>
                <w:szCs w:val="24"/>
              </w:rPr>
              <w:t>Coils / transformers</w:t>
            </w:r>
          </w:p>
        </w:tc>
        <w:tc>
          <w:tcPr>
            <w:tcW w:w="1944" w:type="dxa"/>
            <w:tcMar>
              <w:top w:w="60" w:type="dxa"/>
              <w:left w:w="70" w:type="dxa"/>
              <w:bottom w:w="60" w:type="dxa"/>
              <w:right w:w="70" w:type="dxa"/>
            </w:tcMar>
            <w:vAlign w:val="center"/>
          </w:tcPr>
          <w:p w:rsidR="00000000" w:rsidRPr="00965105">
            <w:pPr>
              <w:rPr>
                <w:szCs w:val="24"/>
              </w:rPr>
            </w:pPr>
            <w:r w:rsidRPr="00965105">
              <w:rPr>
                <w:szCs w:val="24"/>
              </w:rPr>
              <w:t xml:space="preserve">Devon / </w:t>
            </w:r>
            <w:r w:rsidRPr="00965105">
              <w:rPr>
                <w:szCs w:val="24"/>
              </w:rPr>
              <w:t>Goonvean</w:t>
            </w:r>
            <w:r w:rsidRPr="00965105">
              <w:rPr>
                <w:szCs w:val="24"/>
              </w:rPr>
              <w:t xml:space="preserve"> Electronics and NDE</w:t>
            </w:r>
          </w:p>
        </w:tc>
        <w:tc>
          <w:tcPr>
            <w:tcW w:w="1800" w:type="dxa"/>
            <w:tcMar>
              <w:top w:w="60" w:type="dxa"/>
              <w:left w:w="70" w:type="dxa"/>
              <w:bottom w:w="60" w:type="dxa"/>
              <w:right w:w="70" w:type="dxa"/>
            </w:tcMar>
            <w:vAlign w:val="center"/>
          </w:tcPr>
          <w:p w:rsidR="00000000" w:rsidRPr="00965105">
            <w:pPr>
              <w:rPr>
                <w:szCs w:val="24"/>
              </w:rPr>
            </w:pPr>
            <w:r w:rsidRPr="00965105">
              <w:rPr>
                <w:szCs w:val="24"/>
              </w:rPr>
              <w:t>Very limited</w:t>
            </w:r>
          </w:p>
        </w:tc>
        <w:tc>
          <w:tcPr>
            <w:tcW w:w="1728" w:type="dxa"/>
            <w:tcMar>
              <w:top w:w="60" w:type="dxa"/>
              <w:left w:w="70" w:type="dxa"/>
              <w:bottom w:w="60" w:type="dxa"/>
              <w:right w:w="70" w:type="dxa"/>
            </w:tcMar>
            <w:vAlign w:val="center"/>
          </w:tcPr>
          <w:p w:rsidR="00000000" w:rsidRPr="00965105">
            <w:pPr>
              <w:rPr>
                <w:szCs w:val="24"/>
              </w:rPr>
            </w:pPr>
            <w:r w:rsidRPr="00965105">
              <w:rPr>
                <w:szCs w:val="24"/>
              </w:rPr>
              <w:t>1-2 years</w:t>
            </w:r>
          </w:p>
        </w:tc>
        <w:tc>
          <w:tcPr>
            <w:tcW w:w="1944" w:type="dxa"/>
            <w:tcMar>
              <w:top w:w="60" w:type="dxa"/>
              <w:left w:w="70" w:type="dxa"/>
              <w:bottom w:w="60" w:type="dxa"/>
              <w:right w:w="70" w:type="dxa"/>
            </w:tcMar>
            <w:vAlign w:val="center"/>
          </w:tcPr>
          <w:p w:rsidR="00000000" w:rsidRPr="00965105">
            <w:pPr>
              <w:rPr>
                <w:szCs w:val="24"/>
              </w:rPr>
            </w:pPr>
            <w:r w:rsidRPr="00965105">
              <w:rPr>
                <w:szCs w:val="24"/>
              </w:rPr>
              <w:t>2-3 years</w:t>
            </w:r>
          </w:p>
        </w:tc>
        <w:tc>
          <w:tcPr>
            <w:tcW w:w="1728" w:type="dxa"/>
            <w:tcMar>
              <w:top w:w="60" w:type="dxa"/>
              <w:left w:w="70" w:type="dxa"/>
              <w:bottom w:w="60" w:type="dxa"/>
              <w:right w:w="70" w:type="dxa"/>
            </w:tcMar>
            <w:vAlign w:val="center"/>
          </w:tcPr>
          <w:p w:rsidR="00000000" w:rsidRPr="00965105">
            <w:pPr>
              <w:rPr>
                <w:szCs w:val="24"/>
              </w:rPr>
            </w:pPr>
            <w:r w:rsidRPr="00965105">
              <w:rPr>
                <w:szCs w:val="24"/>
              </w:rPr>
              <w:t>Skilled staff</w:t>
            </w:r>
          </w:p>
        </w:tc>
      </w:tr>
      <w:tr>
        <w:tblPrEx>
          <w:tblW w:w="0" w:type="auto"/>
          <w:jc w:val="center"/>
          <w:tblLayout w:type="fixed"/>
          <w:tblLook w:val="04A0"/>
        </w:tblPrEx>
        <w:trPr>
          <w:jc w:val="center"/>
        </w:trPr>
        <w:tc>
          <w:tcPr>
            <w:tcW w:w="1512" w:type="dxa"/>
            <w:tcMar>
              <w:top w:w="60" w:type="dxa"/>
              <w:left w:w="70" w:type="dxa"/>
              <w:bottom w:w="60" w:type="dxa"/>
              <w:right w:w="70" w:type="dxa"/>
            </w:tcMar>
            <w:vAlign w:val="center"/>
          </w:tcPr>
          <w:p w:rsidR="00000000" w:rsidRPr="00965105">
            <w:pPr>
              <w:rPr>
                <w:szCs w:val="24"/>
              </w:rPr>
            </w:pPr>
            <w:r w:rsidRPr="00965105">
              <w:rPr>
                <w:szCs w:val="24"/>
              </w:rPr>
              <w:t xml:space="preserve">Technical </w:t>
            </w:r>
            <w:r w:rsidRPr="00965105">
              <w:rPr>
                <w:szCs w:val="24"/>
              </w:rPr>
              <w:t>fibres</w:t>
            </w:r>
          </w:p>
        </w:tc>
        <w:tc>
          <w:tcPr>
            <w:tcW w:w="1944" w:type="dxa"/>
            <w:tcMar>
              <w:top w:w="60" w:type="dxa"/>
              <w:left w:w="70" w:type="dxa"/>
              <w:bottom w:w="60" w:type="dxa"/>
              <w:right w:w="70" w:type="dxa"/>
            </w:tcMar>
            <w:vAlign w:val="center"/>
          </w:tcPr>
          <w:p w:rsidR="00000000" w:rsidRPr="00965105">
            <w:pPr>
              <w:rPr>
                <w:szCs w:val="24"/>
              </w:rPr>
            </w:pPr>
            <w:r w:rsidRPr="00965105">
              <w:rPr>
                <w:szCs w:val="24"/>
              </w:rPr>
              <w:t xml:space="preserve">Cullompton / </w:t>
            </w:r>
            <w:r w:rsidRPr="00965105">
              <w:rPr>
                <w:szCs w:val="24"/>
              </w:rPr>
              <w:t>Goonvean</w:t>
            </w:r>
            <w:r w:rsidRPr="00965105">
              <w:rPr>
                <w:szCs w:val="24"/>
              </w:rPr>
              <w:t xml:space="preserve"> </w:t>
            </w:r>
            <w:r w:rsidRPr="00965105">
              <w:rPr>
                <w:szCs w:val="24"/>
              </w:rPr>
              <w:t>Fibres</w:t>
            </w:r>
          </w:p>
        </w:tc>
        <w:tc>
          <w:tcPr>
            <w:tcW w:w="1800" w:type="dxa"/>
            <w:tcMar>
              <w:top w:w="60" w:type="dxa"/>
              <w:left w:w="70" w:type="dxa"/>
              <w:bottom w:w="60" w:type="dxa"/>
              <w:right w:w="70" w:type="dxa"/>
            </w:tcMar>
            <w:vAlign w:val="center"/>
          </w:tcPr>
          <w:p w:rsidR="00000000" w:rsidRPr="00965105">
            <w:pPr>
              <w:rPr>
                <w:szCs w:val="24"/>
              </w:rPr>
            </w:pPr>
            <w:r w:rsidRPr="00965105">
              <w:rPr>
                <w:szCs w:val="24"/>
              </w:rPr>
              <w:t xml:space="preserve">None known to </w:t>
            </w:r>
            <w:r w:rsidRPr="00965105">
              <w:rPr>
                <w:szCs w:val="24"/>
              </w:rPr>
              <w:t>Goonvean</w:t>
            </w:r>
          </w:p>
        </w:tc>
        <w:tc>
          <w:tcPr>
            <w:tcW w:w="1728" w:type="dxa"/>
            <w:tcMar>
              <w:top w:w="60" w:type="dxa"/>
              <w:left w:w="70" w:type="dxa"/>
              <w:bottom w:w="60" w:type="dxa"/>
              <w:right w:w="70" w:type="dxa"/>
            </w:tcMar>
            <w:vAlign w:val="center"/>
          </w:tcPr>
          <w:p w:rsidR="00000000" w:rsidRPr="00965105">
            <w:pPr>
              <w:rPr>
                <w:szCs w:val="24"/>
              </w:rPr>
            </w:pPr>
            <w:r w:rsidRPr="00965105">
              <w:rPr>
                <w:szCs w:val="24"/>
              </w:rPr>
              <w:t>2-3 years</w:t>
            </w:r>
          </w:p>
        </w:tc>
        <w:tc>
          <w:tcPr>
            <w:tcW w:w="1944" w:type="dxa"/>
            <w:tcMar>
              <w:top w:w="60" w:type="dxa"/>
              <w:left w:w="70" w:type="dxa"/>
              <w:bottom w:w="60" w:type="dxa"/>
              <w:right w:w="70" w:type="dxa"/>
            </w:tcMar>
            <w:vAlign w:val="center"/>
          </w:tcPr>
          <w:p w:rsidR="00000000" w:rsidRPr="00965105">
            <w:pPr>
              <w:rPr>
                <w:szCs w:val="24"/>
              </w:rPr>
            </w:pPr>
            <w:r w:rsidRPr="00965105">
              <w:rPr>
                <w:szCs w:val="24"/>
              </w:rPr>
              <w:t>3-5 years</w:t>
            </w:r>
          </w:p>
        </w:tc>
        <w:tc>
          <w:tcPr>
            <w:tcW w:w="1728" w:type="dxa"/>
            <w:tcMar>
              <w:top w:w="60" w:type="dxa"/>
              <w:left w:w="70" w:type="dxa"/>
              <w:bottom w:w="60" w:type="dxa"/>
              <w:right w:w="70" w:type="dxa"/>
            </w:tcMar>
            <w:vAlign w:val="center"/>
          </w:tcPr>
          <w:p w:rsidR="00000000" w:rsidRPr="00965105">
            <w:pPr>
              <w:rPr>
                <w:szCs w:val="24"/>
              </w:rPr>
            </w:pPr>
            <w:r w:rsidRPr="00965105">
              <w:rPr>
                <w:szCs w:val="24"/>
              </w:rPr>
              <w:t>High capital barrier</w:t>
            </w:r>
          </w:p>
        </w:tc>
      </w:tr>
    </w:tbl>
    <w:p w:rsidR="00000000" w:rsidRPr="00965105">
      <w:pPr>
        <w:spacing w:before="60" w:after="140"/>
        <w:rPr>
          <w:szCs w:val="24"/>
        </w:rPr>
      </w:pPr>
      <w:r w:rsidRPr="00965105">
        <w:rPr>
          <w:i/>
          <w:szCs w:val="24"/>
        </w:rPr>
        <w:t xml:space="preserve">These are </w:t>
      </w:r>
      <w:r w:rsidRPr="00965105">
        <w:rPr>
          <w:i/>
          <w:szCs w:val="24"/>
        </w:rPr>
        <w:t>Goonvean's</w:t>
      </w:r>
      <w:r w:rsidRPr="00965105">
        <w:rPr>
          <w:i/>
          <w:szCs w:val="24"/>
        </w:rPr>
        <w:t xml:space="preserve"> current indicative estimates based on operating experience. Actual timescales will vary according to specification, customer qualification requirements and the scale of the capacity required.</w:t>
      </w:r>
    </w:p>
    <w:p w:rsidR="00000000" w:rsidRPr="00965105">
      <w:pPr>
        <w:pStyle w:val="Heading1"/>
        <w:rPr>
          <w:sz w:val="24"/>
          <w:szCs w:val="24"/>
        </w:rPr>
      </w:pPr>
      <w:r w:rsidRPr="00965105">
        <w:rPr>
          <w:sz w:val="24"/>
          <w:szCs w:val="24"/>
        </w:rPr>
        <w:t xml:space="preserve">9. Regional </w:t>
      </w:r>
      <w:r w:rsidRPr="00965105">
        <w:rPr>
          <w:sz w:val="24"/>
          <w:szCs w:val="24"/>
        </w:rPr>
        <w:t>defence</w:t>
      </w:r>
      <w:r w:rsidRPr="00965105">
        <w:rPr>
          <w:sz w:val="24"/>
          <w:szCs w:val="24"/>
        </w:rPr>
        <w:t xml:space="preserve"> growth requires visibility of lower-tier capability</w:t>
      </w:r>
    </w:p>
    <w:p w:rsidR="00000000" w:rsidRPr="00965105">
      <w:pPr>
        <w:rPr>
          <w:szCs w:val="24"/>
        </w:rPr>
      </w:pPr>
      <w:r w:rsidRPr="00965105">
        <w:rPr>
          <w:b/>
          <w:szCs w:val="24"/>
        </w:rPr>
        <w:t xml:space="preserve">30. </w:t>
      </w:r>
      <w:r w:rsidRPr="00965105">
        <w:rPr>
          <w:szCs w:val="24"/>
        </w:rPr>
        <w:t xml:space="preserve">The Government is also right to seek regional economic growth from higher </w:t>
      </w:r>
      <w:r w:rsidRPr="00965105">
        <w:rPr>
          <w:szCs w:val="24"/>
        </w:rPr>
        <w:t>defence</w:t>
      </w:r>
      <w:r w:rsidRPr="00965105">
        <w:rPr>
          <w:szCs w:val="24"/>
        </w:rPr>
        <w:t xml:space="preserve"> spending. </w:t>
      </w:r>
      <w:r w:rsidRPr="00965105">
        <w:rPr>
          <w:szCs w:val="24"/>
        </w:rPr>
        <w:t>Goonvean's</w:t>
      </w:r>
      <w:r w:rsidRPr="00965105">
        <w:rPr>
          <w:szCs w:val="24"/>
        </w:rPr>
        <w:t xml:space="preserve"> engineering businesses demonstrate that relevant industrial capability is distributed across existing manufacturing communities, including Totnes, Cullompton, Kingsbridge, Braunton and other locations across the South West.</w:t>
      </w:r>
    </w:p>
    <w:p w:rsidR="00000000" w:rsidRPr="00965105">
      <w:pPr>
        <w:rPr>
          <w:szCs w:val="24"/>
        </w:rPr>
      </w:pPr>
      <w:r w:rsidRPr="00965105">
        <w:rPr>
          <w:b/>
          <w:szCs w:val="24"/>
        </w:rPr>
        <w:t xml:space="preserve">31. </w:t>
      </w:r>
      <w:r w:rsidRPr="00965105">
        <w:rPr>
          <w:szCs w:val="24"/>
        </w:rPr>
        <w:t xml:space="preserve">For regional </w:t>
      </w:r>
      <w:r w:rsidRPr="00965105">
        <w:rPr>
          <w:szCs w:val="24"/>
        </w:rPr>
        <w:t>defence</w:t>
      </w:r>
      <w:r w:rsidRPr="00965105">
        <w:rPr>
          <w:szCs w:val="24"/>
        </w:rPr>
        <w:t xml:space="preserve"> policy to reach those businesses, local and regional institutions need visibility of what the industrial base can actually do. That means understanding not only which businesses are in a region, but the processes they operate, their current level of </w:t>
      </w:r>
      <w:r w:rsidRPr="00965105">
        <w:rPr>
          <w:szCs w:val="24"/>
        </w:rPr>
        <w:t>defence</w:t>
      </w:r>
      <w:r w:rsidRPr="00965105">
        <w:rPr>
          <w:szCs w:val="24"/>
        </w:rPr>
        <w:t xml:space="preserve"> readiness, the primes and </w:t>
      </w:r>
      <w:r w:rsidRPr="00965105">
        <w:rPr>
          <w:szCs w:val="24"/>
        </w:rPr>
        <w:t>programmes</w:t>
      </w:r>
      <w:r w:rsidRPr="00965105">
        <w:rPr>
          <w:szCs w:val="24"/>
        </w:rPr>
        <w:t xml:space="preserve"> to which they may be relevant, and the specific investment or qualification that would increase their capacity.</w:t>
      </w:r>
    </w:p>
    <w:p w:rsidR="00000000" w:rsidRPr="00965105">
      <w:pPr>
        <w:rPr>
          <w:szCs w:val="24"/>
        </w:rPr>
      </w:pPr>
      <w:r w:rsidRPr="00965105">
        <w:rPr>
          <w:b/>
          <w:szCs w:val="24"/>
        </w:rPr>
        <w:t xml:space="preserve">32. </w:t>
      </w:r>
      <w:r w:rsidRPr="00965105">
        <w:rPr>
          <w:szCs w:val="24"/>
        </w:rPr>
        <w:t>Goonvean</w:t>
      </w:r>
      <w:r w:rsidRPr="00965105">
        <w:rPr>
          <w:szCs w:val="24"/>
        </w:rPr>
        <w:t xml:space="preserve"> has engaged with the South West Regional Defence and Security Cluster, Make UK Defence, JOSCAR-related activity, </w:t>
      </w:r>
      <w:r w:rsidRPr="00965105">
        <w:rPr>
          <w:szCs w:val="24"/>
        </w:rPr>
        <w:t>BattleLab</w:t>
      </w:r>
      <w:r w:rsidRPr="00965105">
        <w:rPr>
          <w:szCs w:val="24"/>
        </w:rPr>
        <w:t xml:space="preserve"> and other </w:t>
      </w:r>
      <w:r w:rsidRPr="00965105">
        <w:rPr>
          <w:szCs w:val="24"/>
        </w:rPr>
        <w:t>defence</w:t>
      </w:r>
      <w:r w:rsidRPr="00965105">
        <w:rPr>
          <w:szCs w:val="24"/>
        </w:rPr>
        <w:t xml:space="preserve"> networks. Those routes can help establish relationships and improve market understanding, but for lower-tier manufacturers success should increasingly be visible in commercial and productive measures: additional contracts, new suppliers qualified into </w:t>
      </w:r>
      <w:r w:rsidRPr="00965105">
        <w:rPr>
          <w:szCs w:val="24"/>
        </w:rPr>
        <w:t>defence</w:t>
      </w:r>
      <w:r w:rsidRPr="00965105">
        <w:rPr>
          <w:szCs w:val="24"/>
        </w:rPr>
        <w:t xml:space="preserve"> </w:t>
      </w:r>
      <w:r w:rsidRPr="00965105">
        <w:rPr>
          <w:szCs w:val="24"/>
        </w:rPr>
        <w:t>programmes</w:t>
      </w:r>
      <w:r w:rsidRPr="00965105">
        <w:rPr>
          <w:szCs w:val="24"/>
        </w:rPr>
        <w:t>, new production capacity, apprentices and technical skills, additional employment and improvements in productivity. Regional institutions can play an important brokerage role, but they need sufficiently granular industrial information to connect local capability to national demand.</w:t>
      </w:r>
    </w:p>
    <w:p w:rsidR="00000000" w:rsidRPr="00965105">
      <w:pPr>
        <w:rPr>
          <w:szCs w:val="24"/>
        </w:rPr>
      </w:pPr>
      <w:r w:rsidRPr="00965105">
        <w:rPr>
          <w:b/>
          <w:szCs w:val="24"/>
        </w:rPr>
        <w:t xml:space="preserve">33. </w:t>
      </w:r>
      <w:r w:rsidRPr="00965105">
        <w:rPr>
          <w:szCs w:val="24"/>
        </w:rPr>
        <w:t>Goonvean</w:t>
      </w:r>
      <w:r w:rsidRPr="00965105">
        <w:rPr>
          <w:szCs w:val="24"/>
        </w:rPr>
        <w:t xml:space="preserve"> currently employs 375 people in the South West, of whom 220 work in our engineering businesses. That engineering workforce includes 10 apprentices undertaking dedicated engineering learning. Over the past two years the Group has invested more than £10 million in the capabilities of the Engineered segment. A regionally based Defence Growth Deal could help </w:t>
      </w:r>
      <w:r w:rsidRPr="00965105">
        <w:rPr>
          <w:szCs w:val="24"/>
        </w:rPr>
        <w:t>catalyse</w:t>
      </w:r>
      <w:r w:rsidRPr="00965105">
        <w:rPr>
          <w:szCs w:val="24"/>
        </w:rPr>
        <w:t xml:space="preserve"> further investment in advanced and automated equipment, support targeted apprenticeship and </w:t>
      </w:r>
      <w:r w:rsidRPr="00965105">
        <w:rPr>
          <w:szCs w:val="24"/>
        </w:rPr>
        <w:t xml:space="preserve">development </w:t>
      </w:r>
      <w:r w:rsidRPr="00965105">
        <w:rPr>
          <w:szCs w:val="24"/>
        </w:rPr>
        <w:t>programmes</w:t>
      </w:r>
      <w:r w:rsidRPr="00965105">
        <w:rPr>
          <w:szCs w:val="24"/>
        </w:rPr>
        <w:t>, and help attract a deeper pool of advanced engineering talent to the South West.</w:t>
      </w:r>
    </w:p>
    <w:p w:rsidR="00000000" w:rsidRPr="00965105">
      <w:pPr>
        <w:pStyle w:val="Heading1"/>
        <w:rPr>
          <w:sz w:val="24"/>
          <w:szCs w:val="24"/>
        </w:rPr>
      </w:pPr>
      <w:r w:rsidRPr="00965105">
        <w:rPr>
          <w:sz w:val="24"/>
          <w:szCs w:val="24"/>
        </w:rPr>
        <w:t>10. Recommendations to the Committee</w:t>
      </w:r>
    </w:p>
    <w:p w:rsidR="00000000" w:rsidRPr="00965105">
      <w:pPr>
        <w:pStyle w:val="Heading2"/>
        <w:rPr>
          <w:sz w:val="24"/>
          <w:szCs w:val="24"/>
        </w:rPr>
      </w:pPr>
      <w:r w:rsidRPr="00965105">
        <w:rPr>
          <w:sz w:val="24"/>
          <w:szCs w:val="24"/>
        </w:rPr>
        <w:t>Recommendation 1: Move from opportunity visibility to investable pipeline visibility</w:t>
      </w:r>
    </w:p>
    <w:p w:rsidR="00000000" w:rsidRPr="00965105">
      <w:pPr>
        <w:rPr>
          <w:szCs w:val="24"/>
        </w:rPr>
      </w:pPr>
      <w:r w:rsidRPr="00965105">
        <w:rPr>
          <w:b/>
          <w:szCs w:val="24"/>
        </w:rPr>
        <w:t xml:space="preserve">34. </w:t>
      </w:r>
      <w:r w:rsidRPr="00965105">
        <w:rPr>
          <w:szCs w:val="24"/>
        </w:rPr>
        <w:t xml:space="preserve">MOD should distinguish between publishing potential opportunities and providing sufficient information for suppliers to plan industrial investment. Where security, commercial sensitivity and </w:t>
      </w:r>
      <w:r w:rsidRPr="00965105">
        <w:rPr>
          <w:szCs w:val="24"/>
        </w:rPr>
        <w:t>programme</w:t>
      </w:r>
      <w:r w:rsidRPr="00965105">
        <w:rPr>
          <w:szCs w:val="24"/>
        </w:rPr>
        <w:t xml:space="preserve"> maturity allow, relevant pipelines should give suppliers a clearer indication of timing, expected volumes or scale, procurement route and process, likely duration, qualification requirements and key decision points. The objective is not to guarantee future orders, but to improve the quality of the information so that companies can make informed decisions about plant, machinery, people and capacity.</w:t>
      </w:r>
    </w:p>
    <w:p w:rsidR="00000000" w:rsidRPr="00965105">
      <w:pPr>
        <w:pStyle w:val="Heading2"/>
        <w:rPr>
          <w:sz w:val="24"/>
          <w:szCs w:val="24"/>
        </w:rPr>
      </w:pPr>
      <w:r w:rsidRPr="00965105">
        <w:rPr>
          <w:sz w:val="24"/>
          <w:szCs w:val="24"/>
        </w:rPr>
        <w:t>Recommendation 2: Create a clearer continuous growth pathway from SME to specialist mid-tier supplier</w:t>
      </w:r>
    </w:p>
    <w:p w:rsidR="00000000" w:rsidRPr="00965105">
      <w:pPr>
        <w:rPr>
          <w:szCs w:val="24"/>
        </w:rPr>
      </w:pPr>
      <w:r w:rsidRPr="00965105">
        <w:rPr>
          <w:b/>
          <w:szCs w:val="24"/>
        </w:rPr>
        <w:t xml:space="preserve">35. </w:t>
      </w:r>
      <w:r w:rsidRPr="00965105">
        <w:rPr>
          <w:szCs w:val="24"/>
        </w:rPr>
        <w:t xml:space="preserve">The Government should review how SME-specific supplier-development structures connect to the arrangements used for larger and strategic suppliers. Successful growth should not produce an avoidable policy cliff edge. There should be a clear route for specialist manufacturers that have outgrown SME definitions, or that have joined larger UK industrial groups, to continue accessing appropriate supplier-development support without diluting </w:t>
      </w:r>
      <w:r w:rsidRPr="00965105">
        <w:rPr>
          <w:szCs w:val="24"/>
        </w:rPr>
        <w:t>programmes</w:t>
      </w:r>
      <w:r w:rsidRPr="00965105">
        <w:rPr>
          <w:szCs w:val="24"/>
        </w:rPr>
        <w:t xml:space="preserve"> intended for smaller firms.</w:t>
      </w:r>
    </w:p>
    <w:p w:rsidR="00000000" w:rsidRPr="00965105">
      <w:pPr>
        <w:pStyle w:val="Heading2"/>
        <w:rPr>
          <w:sz w:val="24"/>
          <w:szCs w:val="24"/>
        </w:rPr>
      </w:pPr>
      <w:r w:rsidRPr="00965105">
        <w:rPr>
          <w:sz w:val="24"/>
          <w:szCs w:val="24"/>
        </w:rPr>
        <w:t>Recommendation 3: Include ownership and succession in assessments of industrial-base health</w:t>
      </w:r>
    </w:p>
    <w:p w:rsidR="00000000" w:rsidRPr="00965105">
      <w:pPr>
        <w:rPr>
          <w:szCs w:val="24"/>
        </w:rPr>
      </w:pPr>
      <w:r w:rsidRPr="00965105">
        <w:rPr>
          <w:b/>
          <w:szCs w:val="24"/>
        </w:rPr>
        <w:t xml:space="preserve">36. </w:t>
      </w:r>
      <w:r w:rsidRPr="00965105">
        <w:rPr>
          <w:szCs w:val="24"/>
        </w:rPr>
        <w:t xml:space="preserve">Where a manufacturing capability is strategically important, MOD's assessment of industrial resilience should look beyond order books and financial health to ownership continuity, succession risk and the capacity of the business to finance necessary reinvestment. Long-term UK industrial ownership is one possible mechanism through which mature specialist capability can be retained and </w:t>
      </w:r>
      <w:r w:rsidRPr="00965105">
        <w:rPr>
          <w:szCs w:val="24"/>
        </w:rPr>
        <w:t>recapitalised</w:t>
      </w:r>
      <w:r w:rsidRPr="00965105">
        <w:rPr>
          <w:szCs w:val="24"/>
        </w:rPr>
        <w:t>; policy should understand this route rather than treat ownership change as irrelevant to supply-chain resilience.</w:t>
      </w:r>
    </w:p>
    <w:p w:rsidR="00000000" w:rsidRPr="00965105">
      <w:pPr>
        <w:pStyle w:val="Heading2"/>
        <w:rPr>
          <w:sz w:val="24"/>
          <w:szCs w:val="24"/>
        </w:rPr>
      </w:pPr>
      <w:r w:rsidRPr="00965105">
        <w:rPr>
          <w:sz w:val="24"/>
          <w:szCs w:val="24"/>
        </w:rPr>
        <w:t>Recommendation 4: Map critical industrial capability below company level</w:t>
      </w:r>
    </w:p>
    <w:p w:rsidR="00000000" w:rsidRPr="00965105">
      <w:pPr>
        <w:rPr>
          <w:szCs w:val="24"/>
        </w:rPr>
      </w:pPr>
      <w:r w:rsidRPr="00965105">
        <w:rPr>
          <w:b/>
          <w:szCs w:val="24"/>
        </w:rPr>
        <w:t xml:space="preserve">37. </w:t>
      </w:r>
      <w:r w:rsidRPr="00965105">
        <w:rPr>
          <w:szCs w:val="24"/>
        </w:rPr>
        <w:t>For genuinely critical areas, supply-chain mapping should identify the productive process as well as the supplier. Relevant information may include machinery, skilled workforce, qualifications, critical inputs, alternative UK sources, productive capacity and the time and cost required to expand or reproduce the capability. This would provide a more useful picture of sovereign industrial resilience than relying only on company counts.</w:t>
      </w:r>
    </w:p>
    <w:p w:rsidR="00000000" w:rsidRPr="00965105">
      <w:pPr>
        <w:pStyle w:val="Heading2"/>
        <w:rPr>
          <w:sz w:val="24"/>
          <w:szCs w:val="24"/>
        </w:rPr>
      </w:pPr>
      <w:r w:rsidRPr="00965105">
        <w:rPr>
          <w:sz w:val="24"/>
          <w:szCs w:val="24"/>
        </w:rPr>
        <w:t xml:space="preserve">Recommendation 5: Measure regional </w:t>
      </w:r>
      <w:r w:rsidRPr="00965105">
        <w:rPr>
          <w:sz w:val="24"/>
          <w:szCs w:val="24"/>
        </w:rPr>
        <w:t>defence</w:t>
      </w:r>
      <w:r w:rsidRPr="00965105">
        <w:rPr>
          <w:sz w:val="24"/>
          <w:szCs w:val="24"/>
        </w:rPr>
        <w:t xml:space="preserve"> growth through industrial outcomes</w:t>
      </w:r>
    </w:p>
    <w:p w:rsidR="00000000" w:rsidRPr="00965105">
      <w:pPr>
        <w:rPr>
          <w:szCs w:val="24"/>
        </w:rPr>
      </w:pPr>
      <w:r w:rsidRPr="00965105">
        <w:rPr>
          <w:b/>
          <w:szCs w:val="24"/>
        </w:rPr>
        <w:t xml:space="preserve">38. </w:t>
      </w:r>
      <w:r w:rsidRPr="00965105">
        <w:rPr>
          <w:szCs w:val="24"/>
        </w:rPr>
        <w:t xml:space="preserve">Defence Growth Deals and related regional initiatives should be evaluated against lower-tier industrial outcomes, including the value of new contracts placed </w:t>
      </w:r>
      <w:r w:rsidRPr="00965105">
        <w:rPr>
          <w:szCs w:val="24"/>
        </w:rPr>
        <w:t xml:space="preserve">with regional suppliers, the number of businesses newly qualified into </w:t>
      </w:r>
      <w:r w:rsidRPr="00965105">
        <w:rPr>
          <w:szCs w:val="24"/>
        </w:rPr>
        <w:t>defence</w:t>
      </w:r>
      <w:r w:rsidRPr="00965105">
        <w:rPr>
          <w:szCs w:val="24"/>
        </w:rPr>
        <w:t xml:space="preserve"> supply chains, private capital invested, productive capacity added, apprentices and technical skills created, and improvements in productivity. This would translate national </w:t>
      </w:r>
      <w:r w:rsidRPr="00965105">
        <w:rPr>
          <w:szCs w:val="24"/>
        </w:rPr>
        <w:t>defence</w:t>
      </w:r>
      <w:r w:rsidRPr="00965105">
        <w:rPr>
          <w:szCs w:val="24"/>
        </w:rPr>
        <w:t xml:space="preserve"> investment into measurable industrial depth beyond the primes.</w:t>
      </w:r>
    </w:p>
    <w:p w:rsidR="00000000" w:rsidRPr="00965105">
      <w:pPr>
        <w:pStyle w:val="Heading1"/>
        <w:rPr>
          <w:sz w:val="24"/>
          <w:szCs w:val="24"/>
        </w:rPr>
      </w:pPr>
      <w:r w:rsidRPr="00965105">
        <w:rPr>
          <w:sz w:val="24"/>
          <w:szCs w:val="24"/>
        </w:rPr>
        <w:t>11. What success would look like</w:t>
      </w:r>
    </w:p>
    <w:p w:rsidR="00000000" w:rsidRPr="00965105">
      <w:pPr>
        <w:rPr>
          <w:szCs w:val="24"/>
        </w:rPr>
      </w:pPr>
      <w:r w:rsidRPr="00965105">
        <w:rPr>
          <w:b/>
          <w:szCs w:val="24"/>
        </w:rPr>
        <w:t xml:space="preserve">39. </w:t>
      </w:r>
      <w:r w:rsidRPr="00965105">
        <w:rPr>
          <w:szCs w:val="24"/>
        </w:rPr>
        <w:t xml:space="preserve">The Government has set a clear ambition to make </w:t>
      </w:r>
      <w:r w:rsidRPr="00965105">
        <w:rPr>
          <w:szCs w:val="24"/>
        </w:rPr>
        <w:t>defence</w:t>
      </w:r>
      <w:r w:rsidRPr="00965105">
        <w:rPr>
          <w:szCs w:val="24"/>
        </w:rPr>
        <w:t xml:space="preserve"> an engine for growth and to broaden the industrial base that supports national security. </w:t>
      </w:r>
      <w:r w:rsidRPr="00965105">
        <w:rPr>
          <w:szCs w:val="24"/>
        </w:rPr>
        <w:t>Goonvean</w:t>
      </w:r>
      <w:r w:rsidRPr="00965105">
        <w:rPr>
          <w:szCs w:val="24"/>
        </w:rPr>
        <w:t xml:space="preserve"> agrees and is already investing in manufacturing technology, bringing complementary engineering capabilities together, developing skills and apprenticeships, and building relationships with the </w:t>
      </w:r>
      <w:r w:rsidRPr="00965105">
        <w:rPr>
          <w:szCs w:val="24"/>
        </w:rPr>
        <w:t>defence</w:t>
      </w:r>
      <w:r w:rsidRPr="00965105">
        <w:rPr>
          <w:szCs w:val="24"/>
        </w:rPr>
        <w:t xml:space="preserve"> community.</w:t>
      </w:r>
    </w:p>
    <w:p w:rsidR="00000000" w:rsidRPr="00965105">
      <w:pPr>
        <w:rPr>
          <w:szCs w:val="24"/>
        </w:rPr>
      </w:pPr>
      <w:r w:rsidRPr="00965105">
        <w:rPr>
          <w:b/>
          <w:szCs w:val="24"/>
        </w:rPr>
        <w:t xml:space="preserve">40. </w:t>
      </w:r>
      <w:r w:rsidRPr="00965105">
        <w:rPr>
          <w:szCs w:val="24"/>
        </w:rPr>
        <w:t>What is needed now is sufficient confidence and a clear growth pathway for private industrial investment to accelerate. The objective should not simply be to increase the number of companies registered on procurement portals, but to create a deeper and more resilient industrial base in which capable businesses can invest responsibly, retain strategically useful processes and skills, and grow from specialist suppliers into substantial UK industrial capacity.</w:t>
      </w:r>
    </w:p>
    <w:p w:rsidR="00000000" w:rsidRPr="00965105">
      <w:pPr>
        <w:rPr>
          <w:i/>
          <w:iCs/>
          <w:szCs w:val="24"/>
        </w:rPr>
      </w:pPr>
    </w:p>
    <w:p w:rsidR="00000000" w:rsidRPr="00965105">
      <w:pPr>
        <w:rPr>
          <w:i/>
          <w:iCs/>
          <w:szCs w:val="24"/>
        </w:rPr>
      </w:pPr>
      <w:r w:rsidRPr="00965105">
        <w:rPr>
          <w:i/>
          <w:iCs/>
          <w:szCs w:val="24"/>
        </w:rPr>
        <w:t>14 August 2026</w:t>
      </w:r>
    </w:p>
    <w:sectPr>
      <w:pgSz w:w="12240" w:h="15840"/>
      <w:pgMar w:top="893" w:right="1080" w:bottom="835"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5AD3"/>
    <w:pPr>
      <w:spacing w:after="80" w:line="250" w:lineRule="auto"/>
    </w:pPr>
    <w:rPr>
      <w:rFonts w:ascii="Verdana" w:hAnsi="Verdana"/>
      <w:sz w:val="24"/>
    </w:rPr>
  </w:style>
  <w:style w:type="paragraph" w:styleId="Heading1">
    <w:name w:val="heading 1"/>
    <w:basedOn w:val="Normal"/>
    <w:next w:val="Normal"/>
    <w:link w:val="Heading1Char"/>
    <w:uiPriority w:val="9"/>
    <w:qFormat/>
    <w:rsid w:val="00FF5AD3"/>
    <w:pPr>
      <w:keepNext/>
      <w:keepLines/>
      <w:spacing w:before="160"/>
      <w:outlineLvl w:val="0"/>
    </w:pPr>
    <w:rPr>
      <w:rFonts w:eastAsiaTheme="majorEastAsia" w:cstheme="majorBidi"/>
      <w:b/>
      <w:bCs/>
      <w:sz w:val="26"/>
      <w:szCs w:val="28"/>
    </w:rPr>
  </w:style>
  <w:style w:type="paragraph" w:styleId="Heading2">
    <w:name w:val="heading 2"/>
    <w:basedOn w:val="Normal"/>
    <w:next w:val="Normal"/>
    <w:link w:val="Heading2Char"/>
    <w:uiPriority w:val="9"/>
    <w:unhideWhenUsed/>
    <w:qFormat/>
    <w:rsid w:val="00FF5AD3"/>
    <w:pPr>
      <w:keepNext/>
      <w:keepLines/>
      <w:spacing w:before="160"/>
      <w:outlineLvl w:val="1"/>
    </w:pPr>
    <w:rPr>
      <w:rFonts w:eastAsiaTheme="majorEastAsia"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F5AD3"/>
    <w:rPr>
      <w:rFonts w:ascii="Verdana" w:hAnsi="Verdana" w:eastAsiaTheme="majorEastAsia" w:cstheme="majorBidi"/>
      <w:b/>
      <w:bCs/>
      <w:sz w:val="26"/>
      <w:szCs w:val="28"/>
    </w:rPr>
  </w:style>
  <w:style w:type="character" w:customStyle="1" w:styleId="Heading2Char">
    <w:name w:val="Heading 2 Char"/>
    <w:basedOn w:val="DefaultParagraphFont"/>
    <w:link w:val="Heading2"/>
    <w:uiPriority w:val="9"/>
    <w:rsid w:val="00FF5AD3"/>
    <w:rPr>
      <w:rFonts w:ascii="Verdana" w:hAnsi="Verdana" w:eastAsiaTheme="majorEastAsia" w:cstheme="majorBidi"/>
      <w:b/>
      <w:bCs/>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F5AD3"/>
    <w:pPr>
      <w:keepNext/>
      <w:spacing w:after="100" w:line="240" w:lineRule="auto"/>
      <w:contextualSpacing/>
    </w:pPr>
    <w:rPr>
      <w:rFonts w:eastAsiaTheme="majorEastAsia" w:cstheme="majorBidi"/>
      <w:b/>
      <w:spacing w:val="5"/>
      <w:kern w:val="28"/>
      <w:sz w:val="22"/>
      <w:szCs w:val="52"/>
    </w:rPr>
  </w:style>
  <w:style w:type="character" w:customStyle="1" w:styleId="TitleChar">
    <w:name w:val="Title Char"/>
    <w:basedOn w:val="DefaultParagraphFont"/>
    <w:link w:val="Title"/>
    <w:uiPriority w:val="10"/>
    <w:rsid w:val="00FF5AD3"/>
    <w:rPr>
      <w:rFonts w:ascii="Verdana" w:hAnsi="Verdana" w:eastAsiaTheme="majorEastAsia" w:cstheme="majorBidi"/>
      <w:b/>
      <w:spacing w:val="5"/>
      <w:kern w:val="28"/>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078AD-810B-4A23-9A0C-130E5DB20DAF}">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DEF0040</dc:title>
  <cp:revision>0</cp:revision>
</cp:coreProperties>
</file>