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26B6B" w:rsidRPr="00026B6B" w:rsidP="00026B6B">
      <w:pPr>
        <w:spacing w:before="100" w:beforeAutospacing="1" w:after="100" w:afterAutospacing="1"/>
        <w:jc w:val="center"/>
        <w:rPr>
          <w:rFonts w:ascii="Lexend Deca Light" w:eastAsia="Times New Roman" w:hAnsi="Lexend Deca Light" w:cs="Times New Roman"/>
          <w:b/>
          <w:bCs/>
          <w:kern w:val="0"/>
          <w:sz w:val="22"/>
          <w:szCs w:val="22"/>
          <w:lang w:eastAsia="en-GB"/>
        </w:rPr>
      </w:pPr>
      <w:r>
        <w:rPr>
          <w:rFonts w:ascii="Lexend Deca Light" w:eastAsia="Times New Roman" w:hAnsi="Lexend Deca Light" w:cs="Times New Roman"/>
          <w:b/>
          <w:bCs/>
          <w:kern w:val="0"/>
          <w:sz w:val="22"/>
          <w:szCs w:val="22"/>
          <w:lang w:eastAsia="en-GB"/>
        </w:rPr>
        <w:t>W</w:t>
      </w:r>
      <w:r w:rsidRPr="00026B6B">
        <w:rPr>
          <w:rFonts w:ascii="Lexend Deca Light" w:eastAsia="Times New Roman" w:hAnsi="Lexend Deca Light" w:cs="Times New Roman"/>
          <w:b/>
          <w:bCs/>
          <w:kern w:val="0"/>
          <w:sz w:val="22"/>
          <w:szCs w:val="22"/>
          <w:lang w:eastAsia="en-GB"/>
        </w:rPr>
        <w:t xml:space="preserve">ritten evidence by </w:t>
      </w:r>
      <w:r w:rsidRPr="00026B6B">
        <w:rPr>
          <w:rFonts w:ascii="Lexend Deca Light" w:eastAsia="Times New Roman" w:hAnsi="Lexend Deca Light" w:cs="Times New Roman"/>
          <w:b/>
          <w:bCs/>
          <w:kern w:val="0"/>
          <w:sz w:val="22"/>
          <w:szCs w:val="22"/>
          <w:lang w:eastAsia="en-GB"/>
        </w:rPr>
        <w:t>National Governance Association</w:t>
      </w:r>
      <w:r w:rsidRPr="00026B6B">
        <w:rPr>
          <w:rFonts w:ascii="Lexend Deca Light" w:eastAsia="Times New Roman" w:hAnsi="Lexend Deca Light" w:cs="Times New Roman"/>
          <w:b/>
          <w:bCs/>
          <w:kern w:val="0"/>
          <w:sz w:val="22"/>
          <w:szCs w:val="22"/>
          <w:lang w:eastAsia="en-GB"/>
        </w:rPr>
        <w:t xml:space="preserve"> (ECA0159)</w:t>
      </w:r>
    </w:p>
    <w:p w:rsidR="00877F25" w:rsidRPr="00A12D13"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A12D13">
        <w:rPr>
          <w:rFonts w:ascii="Lexend Deca Light" w:eastAsia="Times New Roman" w:hAnsi="Lexend Deca Light" w:cs="Times New Roman"/>
          <w:b/>
          <w:bCs/>
          <w:kern w:val="0"/>
          <w:sz w:val="22"/>
          <w:szCs w:val="22"/>
          <w:lang w:eastAsia="en-GB"/>
        </w:rPr>
        <w:t>National Governance Association response to the Education Committee's inquiry into the 'Every Child Achieving and Thriving' White Paper</w:t>
      </w:r>
    </w:p>
    <w:p w:rsidR="00877F25" w:rsidRPr="00A12D13"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A12D13">
        <w:rPr>
          <w:rFonts w:ascii="Lexend Deca Light" w:eastAsia="Times New Roman" w:hAnsi="Lexend Deca Light" w:cs="Times New Roman"/>
          <w:b/>
          <w:bCs/>
          <w:kern w:val="0"/>
          <w:sz w:val="22"/>
          <w:szCs w:val="22"/>
          <w:lang w:eastAsia="en-GB"/>
        </w:rPr>
        <w:t>30 July 2026</w:t>
      </w:r>
    </w:p>
    <w:p w:rsidR="00877F25" w:rsidRPr="00A12D13"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A12D13">
        <w:rPr>
          <w:rFonts w:ascii="Lexend Deca Light" w:eastAsia="Times New Roman" w:hAnsi="Lexend Deca Light" w:cs="Times New Roman"/>
          <w:b/>
          <w:bCs/>
          <w:kern w:val="0"/>
          <w:sz w:val="22"/>
          <w:szCs w:val="22"/>
          <w:lang w:eastAsia="en-GB"/>
        </w:rPr>
        <w:t>[0] Introduction</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[0.1] </w:t>
      </w:r>
      <w:r w:rsidRPr="00A64086">
        <w:rPr>
          <w:rStyle w:val="normaltextrun"/>
          <w:rFonts w:ascii="Lexend Deca Light" w:hAnsi="Lexend Deca Light"/>
          <w:color w:val="2E2726"/>
          <w:sz w:val="22"/>
          <w:szCs w:val="22"/>
          <w:shd w:val="clear" w:color="auto" w:fill="FFFFFF"/>
        </w:rPr>
        <w:t>The National Governance Association is the national membership association for governors, trustees, and governance professionals in England’s state schools and trusts. As the national body for the governance community, we represent the views of members to policymakers.</w:t>
      </w:r>
      <w:r w:rsidRPr="00A64086">
        <w:rPr>
          <w:rStyle w:val="normaltextrun"/>
          <w:rFonts w:ascii="Lexend Deca Light" w:hAnsi="Lexend Deca Light"/>
          <w:color w:val="2E2726"/>
          <w:sz w:val="22"/>
          <w:szCs w:val="22"/>
          <w:shd w:val="clear" w:color="auto" w:fill="FFFFFF"/>
        </w:rPr>
        <w:t xml:space="preserve"> Governing boards provide democratic legitimacy, ethical challenge and strategic stewardship across increasingly complex local systems. They are vital </w:t>
      </w:r>
      <w:r w:rsidRPr="00A64086">
        <w:rPr>
          <w:rStyle w:val="normaltextrun"/>
          <w:rFonts w:ascii="Lexend Deca Light" w:hAnsi="Lexend Deca Light"/>
          <w:color w:val="2E2726"/>
          <w:sz w:val="22"/>
          <w:szCs w:val="22"/>
          <w:shd w:val="clear" w:color="auto" w:fill="FFFFFF"/>
        </w:rPr>
        <w:t>for</w:t>
      </w:r>
      <w:r w:rsidRPr="00A64086">
        <w:rPr>
          <w:rStyle w:val="normaltextrun"/>
          <w:rFonts w:ascii="Lexend Deca Light" w:hAnsi="Lexend Deca Light"/>
          <w:color w:val="2E2726"/>
          <w:sz w:val="22"/>
          <w:szCs w:val="22"/>
          <w:shd w:val="clear" w:color="auto" w:fill="FFFFFF"/>
        </w:rPr>
        <w:t> establishing the white paper’s vision of a community-rooted system</w:t>
      </w:r>
      <w:r w:rsidRPr="00A64086">
        <w:rPr>
          <w:rStyle w:val="normaltextrun"/>
          <w:rFonts w:ascii="Lexend Deca Light" w:hAnsi="Lexend Deca Light"/>
          <w:color w:val="2E2726"/>
          <w:sz w:val="22"/>
          <w:szCs w:val="22"/>
          <w:shd w:val="clear" w:color="auto" w:fill="FFFFFF"/>
        </w:rPr>
        <w:t>, as</w:t>
      </w:r>
      <w:r w:rsidRPr="00A64086">
        <w:rPr>
          <w:rFonts w:ascii="Lexend Deca Light" w:eastAsia="Times New Roman" w:hAnsi="Lexend Deca Light" w:cs="Times New Roman"/>
          <w:kern w:val="0"/>
          <w:sz w:val="22"/>
          <w:szCs w:val="22"/>
          <w:lang w:eastAsia="en-GB"/>
        </w:rPr>
        <w:t xml:space="preserve"> the </w:t>
      </w:r>
      <w:r w:rsidRPr="00A64086">
        <w:rPr>
          <w:rFonts w:ascii="Lexend Deca Light" w:eastAsia="Times New Roman" w:hAnsi="Lexend Deca Light" w:cs="Times New Roman"/>
          <w:kern w:val="0"/>
          <w:sz w:val="22"/>
          <w:szCs w:val="22"/>
          <w:lang w:eastAsia="en-GB"/>
        </w:rPr>
        <w:t>vehicle</w:t>
      </w:r>
      <w:r w:rsidRPr="00A64086">
        <w:rPr>
          <w:rFonts w:ascii="Lexend Deca Light" w:eastAsia="Times New Roman" w:hAnsi="Lexend Deca Light" w:cs="Times New Roman"/>
          <w:kern w:val="0"/>
          <w:sz w:val="22"/>
          <w:szCs w:val="22"/>
          <w:lang w:eastAsia="en-GB"/>
        </w:rPr>
        <w:t xml:space="preserve"> connect</w:t>
      </w:r>
      <w:r w:rsidRPr="00A64086">
        <w:rPr>
          <w:rFonts w:ascii="Lexend Deca Light" w:eastAsia="Times New Roman" w:hAnsi="Lexend Deca Light" w:cs="Times New Roman"/>
          <w:kern w:val="0"/>
          <w:sz w:val="22"/>
          <w:szCs w:val="22"/>
          <w:lang w:eastAsia="en-GB"/>
        </w:rPr>
        <w:t>ing</w:t>
      </w:r>
      <w:r w:rsidRPr="00A64086">
        <w:rPr>
          <w:rFonts w:ascii="Lexend Deca Light" w:eastAsia="Times New Roman" w:hAnsi="Lexend Deca Light" w:cs="Times New Roman"/>
          <w:kern w:val="0"/>
          <w:sz w:val="22"/>
          <w:szCs w:val="22"/>
          <w:lang w:eastAsia="en-GB"/>
        </w:rPr>
        <w:t xml:space="preserve"> schools to the places they serve.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[0.2] N</w:t>
      </w:r>
      <w:r w:rsidRPr="00A64086">
        <w:rPr>
          <w:rStyle w:val="normaltextrun"/>
          <w:rFonts w:ascii="Lexend Deca Light" w:hAnsi="Lexend Deca Light"/>
          <w:color w:val="2E2726"/>
          <w:sz w:val="22"/>
          <w:szCs w:val="22"/>
          <w:shd w:val="clear" w:color="auto" w:fill="FFFFFF"/>
        </w:rPr>
        <w:t>GA </w:t>
      </w:r>
      <w:r w:rsidRPr="00A64086">
        <w:rPr>
          <w:rStyle w:val="normaltextrun"/>
          <w:rFonts w:ascii="Lexend Deca Light" w:hAnsi="Lexend Deca Light"/>
          <w:color w:val="2E2726"/>
          <w:sz w:val="22"/>
          <w:szCs w:val="22"/>
          <w:shd w:val="clear" w:color="auto" w:fill="FFFFFF"/>
        </w:rPr>
        <w:t xml:space="preserve">widely </w:t>
      </w:r>
      <w:r w:rsidRPr="00A64086">
        <w:rPr>
          <w:rStyle w:val="normaltextrun"/>
          <w:rFonts w:ascii="Lexend Deca Light" w:hAnsi="Lexend Deca Light"/>
          <w:color w:val="2E2726"/>
          <w:sz w:val="22"/>
          <w:szCs w:val="22"/>
          <w:shd w:val="clear" w:color="auto" w:fill="FFFFFF"/>
        </w:rPr>
        <w:t xml:space="preserve">welcomed the </w:t>
      </w:r>
      <w:r w:rsidRPr="00A64086">
        <w:rPr>
          <w:rFonts w:ascii="Lexend Deca Light" w:hAnsi="Lexend Deca Light"/>
          <w:color w:val="374151"/>
          <w:sz w:val="22"/>
          <w:szCs w:val="22"/>
        </w:rPr>
        <w:t>diagnosis and</w:t>
      </w:r>
      <w:r w:rsidRPr="00A64086">
        <w:rPr>
          <w:rFonts w:ascii="Lexend Deca Light" w:hAnsi="Lexend Deca Light"/>
          <w:color w:val="374151"/>
          <w:sz w:val="22"/>
          <w:szCs w:val="22"/>
        </w:rPr>
        <w:t xml:space="preserve"> intent </w:t>
      </w:r>
      <w:r w:rsidRPr="00A64086">
        <w:rPr>
          <w:rFonts w:ascii="Lexend Deca Light" w:hAnsi="Lexend Deca Light"/>
          <w:color w:val="374151"/>
          <w:sz w:val="22"/>
          <w:szCs w:val="22"/>
        </w:rPr>
        <w:t>set out in the white paper. The theme of schools as community anchors</w:t>
      </w:r>
      <w:r w:rsidRPr="00A64086">
        <w:rPr>
          <w:rFonts w:ascii="Lexend Deca Light" w:hAnsi="Lexend Deca Light"/>
          <w:color w:val="374151"/>
          <w:sz w:val="22"/>
          <w:szCs w:val="22"/>
        </w:rPr>
        <w:t xml:space="preserve"> </w:t>
      </w:r>
      <w:r w:rsidRPr="00A64086">
        <w:rPr>
          <w:rFonts w:ascii="Lexend Deca Light" w:hAnsi="Lexend Deca Light"/>
          <w:color w:val="374151"/>
          <w:sz w:val="22"/>
          <w:szCs w:val="22"/>
        </w:rPr>
        <w:t>resonated</w:t>
      </w:r>
      <w:r w:rsidRPr="00A64086">
        <w:rPr>
          <w:rFonts w:ascii="Lexend Deca Light" w:hAnsi="Lexend Deca Light"/>
          <w:color w:val="374151"/>
          <w:sz w:val="22"/>
          <w:szCs w:val="22"/>
        </w:rPr>
        <w:t xml:space="preserve"> clearly </w:t>
      </w:r>
      <w:r w:rsidRPr="00A64086">
        <w:rPr>
          <w:rFonts w:ascii="Lexend Deca Light" w:hAnsi="Lexend Deca Light"/>
          <w:color w:val="374151"/>
          <w:sz w:val="22"/>
          <w:szCs w:val="22"/>
        </w:rPr>
        <w:t>with our long-standing position on the importance of place as a historic</w:t>
      </w:r>
      <w:r w:rsidRPr="00A64086">
        <w:rPr>
          <w:rFonts w:ascii="Lexend Deca Light" w:hAnsi="Lexend Deca Light"/>
          <w:color w:val="374151"/>
          <w:sz w:val="22"/>
          <w:szCs w:val="22"/>
        </w:rPr>
        <w:t xml:space="preserve"> societal</w:t>
      </w:r>
      <w:r w:rsidRPr="00A64086">
        <w:rPr>
          <w:rFonts w:ascii="Lexend Deca Light" w:hAnsi="Lexend Deca Light"/>
          <w:color w:val="374151"/>
          <w:sz w:val="22"/>
          <w:szCs w:val="22"/>
        </w:rPr>
        <w:t xml:space="preserve"> responsibility</w:t>
      </w:r>
      <w:r w:rsidRPr="00A64086">
        <w:rPr>
          <w:rFonts w:ascii="Lexend Deca Light" w:hAnsi="Lexend Deca Light"/>
          <w:color w:val="374151"/>
          <w:sz w:val="22"/>
          <w:szCs w:val="22"/>
        </w:rPr>
        <w:t xml:space="preserve"> not a byproduct of insti</w:t>
      </w:r>
      <w:r w:rsidRPr="00A64086">
        <w:rPr>
          <w:rFonts w:ascii="Lexend Deca Light" w:hAnsi="Lexend Deca Light"/>
          <w:color w:val="374151"/>
          <w:sz w:val="22"/>
          <w:szCs w:val="22"/>
        </w:rPr>
        <w:t>tutional performance</w:t>
      </w:r>
      <w:r w:rsidRPr="00A64086">
        <w:rPr>
          <w:rFonts w:ascii="Lexend Deca Light" w:hAnsi="Lexend Deca Light"/>
          <w:color w:val="374151"/>
          <w:sz w:val="22"/>
          <w:szCs w:val="22"/>
        </w:rPr>
        <w:t>.</w:t>
      </w:r>
      <w:r w:rsidRPr="00A64086">
        <w:rPr>
          <w:rFonts w:ascii="Lexend Deca Light" w:hAnsi="Lexend Deca Light"/>
          <w:color w:val="374151"/>
          <w:sz w:val="22"/>
          <w:szCs w:val="22"/>
        </w:rPr>
        <w:t xml:space="preserve"> T</w:t>
      </w:r>
      <w:r w:rsidRPr="00A64086">
        <w:rPr>
          <w:rFonts w:ascii="Lexend Deca Light" w:hAnsi="Lexend Deca Light"/>
          <w:sz w:val="22"/>
          <w:szCs w:val="22"/>
        </w:rPr>
        <w:t>he new Prime Minister's commitment to a place-based approach to public services is therefore encouraging, and it raises the question of whether the white paper goes far enough</w:t>
      </w:r>
      <w:r w:rsidRPr="00A64086">
        <w:rPr>
          <w:rFonts w:ascii="Lexend Deca Light" w:eastAsia="Times New Roman" w:hAnsi="Lexend Deca Light" w:cs="Times New Roman"/>
          <w:kern w:val="0"/>
          <w:sz w:val="22"/>
          <w:szCs w:val="22"/>
          <w:lang w:eastAsia="en-GB"/>
        </w:rPr>
        <w:t xml:space="preserve">. </w:t>
      </w:r>
      <w:r w:rsidRPr="00A64086">
        <w:rPr>
          <w:rStyle w:val="normaltextrun"/>
          <w:rFonts w:ascii="Lexend Deca Light" w:hAnsi="Lexend Deca Light"/>
          <w:color w:val="2E2726"/>
          <w:sz w:val="22"/>
          <w:szCs w:val="22"/>
          <w:shd w:val="clear" w:color="auto" w:fill="FFFFFF"/>
          <w:lang w:val="en-US"/>
        </w:rPr>
        <w:t>NGA believes reform should be judged by whether the education system works for every child</w:t>
      </w:r>
      <w:r w:rsidRPr="00A64086">
        <w:rPr>
          <w:rStyle w:val="normaltextrun"/>
          <w:rFonts w:ascii="Lexend Deca Light" w:hAnsi="Lexend Deca Light"/>
          <w:color w:val="2E2726"/>
          <w:sz w:val="22"/>
          <w:szCs w:val="22"/>
          <w:shd w:val="clear" w:color="auto" w:fill="FFFFFF"/>
          <w:lang w:val="en-US"/>
        </w:rPr>
        <w:t xml:space="preserve"> within the reality they occupy. This means a system </w:t>
      </w:r>
      <w:r w:rsidRPr="00A64086">
        <w:rPr>
          <w:rStyle w:val="normaltextrun"/>
          <w:rFonts w:ascii="Lexend Deca Light" w:hAnsi="Lexend Deca Light"/>
          <w:color w:val="2E2726"/>
          <w:sz w:val="22"/>
          <w:szCs w:val="22"/>
          <w:shd w:val="clear" w:color="auto" w:fill="FFFFFF"/>
          <w:lang w:val="en-US"/>
        </w:rPr>
        <w:t>prioritising</w:t>
      </w:r>
      <w:r w:rsidRPr="00A64086">
        <w:rPr>
          <w:rStyle w:val="normaltextrun"/>
          <w:rFonts w:ascii="Lexend Deca Light" w:hAnsi="Lexend Deca Light"/>
          <w:color w:val="2E2726"/>
          <w:sz w:val="22"/>
          <w:szCs w:val="22"/>
          <w:shd w:val="clear" w:color="auto" w:fill="FFFFFF"/>
          <w:lang w:val="en-US"/>
        </w:rPr>
        <w:t xml:space="preserve"> the </w:t>
      </w:r>
      <w:r w:rsidRPr="00A64086">
        <w:rPr>
          <w:rStyle w:val="normaltextrun"/>
          <w:rFonts w:ascii="Lexend Deca Light" w:hAnsi="Lexend Deca Light"/>
          <w:color w:val="2E2726"/>
          <w:sz w:val="22"/>
          <w:szCs w:val="22"/>
          <w:shd w:val="clear" w:color="auto" w:fill="FFFFFF"/>
          <w:lang w:val="en-US"/>
        </w:rPr>
        <w:t>connect</w:t>
      </w:r>
      <w:r w:rsidRPr="00A64086">
        <w:rPr>
          <w:rStyle w:val="normaltextrun"/>
          <w:rFonts w:ascii="Lexend Deca Light" w:hAnsi="Lexend Deca Light"/>
          <w:color w:val="2E2726"/>
          <w:sz w:val="22"/>
          <w:szCs w:val="22"/>
          <w:shd w:val="clear" w:color="auto" w:fill="FFFFFF"/>
          <w:lang w:val="en-US"/>
        </w:rPr>
        <w:t>ion</w:t>
      </w:r>
      <w:r w:rsidRPr="00A64086">
        <w:rPr>
          <w:rStyle w:val="normaltextrun"/>
          <w:rFonts w:ascii="Lexend Deca Light" w:hAnsi="Lexend Deca Light"/>
          <w:color w:val="2E2726"/>
          <w:sz w:val="22"/>
          <w:szCs w:val="22"/>
          <w:shd w:val="clear" w:color="auto" w:fill="FFFFFF"/>
          <w:lang w:val="en-US"/>
        </w:rPr>
        <w:t xml:space="preserve"> and build</w:t>
      </w:r>
      <w:r w:rsidRPr="00A64086">
        <w:rPr>
          <w:rStyle w:val="normaltextrun"/>
          <w:rFonts w:ascii="Lexend Deca Light" w:hAnsi="Lexend Deca Light"/>
          <w:color w:val="2E2726"/>
          <w:sz w:val="22"/>
          <w:szCs w:val="22"/>
          <w:shd w:val="clear" w:color="auto" w:fill="FFFFFF"/>
          <w:lang w:val="en-US"/>
        </w:rPr>
        <w:t>ing</w:t>
      </w:r>
      <w:r w:rsidRPr="00A64086">
        <w:rPr>
          <w:rStyle w:val="normaltextrun"/>
          <w:rFonts w:ascii="Lexend Deca Light" w:hAnsi="Lexend Deca Light"/>
          <w:color w:val="2E2726"/>
          <w:sz w:val="22"/>
          <w:szCs w:val="22"/>
          <w:shd w:val="clear" w:color="auto" w:fill="FFFFFF"/>
          <w:lang w:val="en-US"/>
        </w:rPr>
        <w:t xml:space="preserve"> of</w:t>
      </w:r>
      <w:r w:rsidRPr="00A64086">
        <w:rPr>
          <w:rStyle w:val="normaltextrun"/>
          <w:rFonts w:ascii="Lexend Deca Light" w:hAnsi="Lexend Deca Light"/>
          <w:color w:val="2E2726"/>
          <w:sz w:val="22"/>
          <w:szCs w:val="22"/>
          <w:shd w:val="clear" w:color="auto" w:fill="FFFFFF"/>
          <w:lang w:val="en-US"/>
        </w:rPr>
        <w:t xml:space="preserve"> </w:t>
      </w:r>
      <w:r w:rsidRPr="00A64086">
        <w:rPr>
          <w:rStyle w:val="normaltextrun"/>
          <w:rFonts w:ascii="Lexend Deca Light" w:hAnsi="Lexend Deca Light"/>
          <w:color w:val="2E2726"/>
          <w:sz w:val="22"/>
          <w:szCs w:val="22"/>
          <w:shd w:val="clear" w:color="auto" w:fill="FFFFFF"/>
          <w:lang w:val="en-US"/>
        </w:rPr>
        <w:t>communit</w:t>
      </w:r>
      <w:r w:rsidRPr="00A64086">
        <w:rPr>
          <w:rStyle w:val="normaltextrun"/>
          <w:rFonts w:ascii="Lexend Deca Light" w:hAnsi="Lexend Deca Light"/>
          <w:color w:val="2E2726"/>
          <w:sz w:val="22"/>
          <w:szCs w:val="22"/>
          <w:shd w:val="clear" w:color="auto" w:fill="FFFFFF"/>
          <w:lang w:val="en-US"/>
        </w:rPr>
        <w:t xml:space="preserve">ies over reaching </w:t>
      </w:r>
      <w:r w:rsidRPr="00A64086">
        <w:rPr>
          <w:rStyle w:val="normaltextrun"/>
          <w:rFonts w:ascii="Lexend Deca Light" w:hAnsi="Lexend Deca Light"/>
          <w:color w:val="2E2726"/>
          <w:sz w:val="22"/>
          <w:szCs w:val="22"/>
          <w:shd w:val="clear" w:color="auto" w:fill="FFFFFF"/>
          <w:lang w:val="en-US"/>
        </w:rPr>
        <w:t>market metrics, economies of scale and</w:t>
      </w:r>
      <w:r w:rsidRPr="00A64086">
        <w:rPr>
          <w:rStyle w:val="normaltextrun"/>
          <w:rFonts w:ascii="Lexend Deca Light" w:hAnsi="Lexend Deca Light"/>
          <w:color w:val="2E2726"/>
          <w:sz w:val="22"/>
          <w:szCs w:val="22"/>
          <w:shd w:val="clear" w:color="auto" w:fill="FFFFFF"/>
          <w:lang w:val="en-US"/>
        </w:rPr>
        <w:t xml:space="preserve"> Ofsted </w:t>
      </w:r>
      <w:r w:rsidRPr="00A64086">
        <w:rPr>
          <w:rStyle w:val="normaltextrun"/>
          <w:rFonts w:ascii="Lexend Deca Light" w:hAnsi="Lexend Deca Light"/>
          <w:color w:val="2E2726"/>
          <w:sz w:val="22"/>
          <w:szCs w:val="22"/>
          <w:shd w:val="clear" w:color="auto" w:fill="FFFFFF"/>
          <w:lang w:val="en-US"/>
        </w:rPr>
        <w:t>judgments</w:t>
      </w:r>
      <w:r w:rsidRPr="00A64086">
        <w:rPr>
          <w:rStyle w:val="normaltextrun"/>
          <w:rFonts w:ascii="Lexend Deca Light" w:hAnsi="Lexend Deca Light"/>
          <w:color w:val="2E2726"/>
          <w:sz w:val="22"/>
          <w:szCs w:val="22"/>
          <w:shd w:val="clear" w:color="auto" w:fill="FFFFFF"/>
          <w:lang w:val="en-US"/>
        </w:rPr>
        <w:t xml:space="preserve">. </w:t>
      </w:r>
      <w:r w:rsidRPr="00A64086">
        <w:rPr>
          <w:rStyle w:val="normaltextrun"/>
          <w:rFonts w:ascii="Lexend Deca Light" w:hAnsi="Lexend Deca Light"/>
          <w:color w:val="2E2726"/>
          <w:sz w:val="22"/>
          <w:szCs w:val="22"/>
          <w:shd w:val="clear" w:color="auto" w:fill="FFFFFF"/>
          <w:lang w:val="en-US"/>
        </w:rPr>
        <w:t xml:space="preserve">Governing boards </w:t>
      </w:r>
      <w:r w:rsidRPr="00A64086">
        <w:rPr>
          <w:rStyle w:val="normaltextrun"/>
          <w:rFonts w:ascii="Lexend Deca Light" w:hAnsi="Lexend Deca Light"/>
          <w:color w:val="2E2726"/>
          <w:sz w:val="22"/>
          <w:szCs w:val="22"/>
          <w:shd w:val="clear" w:color="auto" w:fill="FFFFFF"/>
          <w:lang w:val="en-US"/>
        </w:rPr>
        <w:t>provid</w:t>
      </w:r>
      <w:r w:rsidRPr="00A64086">
        <w:rPr>
          <w:rStyle w:val="normaltextrun"/>
          <w:rFonts w:ascii="Lexend Deca Light" w:hAnsi="Lexend Deca Light"/>
          <w:color w:val="2E2726"/>
          <w:sz w:val="22"/>
          <w:szCs w:val="22"/>
          <w:shd w:val="clear" w:color="auto" w:fill="FFFFFF"/>
          <w:lang w:val="en-US"/>
        </w:rPr>
        <w:t>e</w:t>
      </w:r>
      <w:r w:rsidRPr="00A64086">
        <w:rPr>
          <w:rStyle w:val="normaltextrun"/>
          <w:rFonts w:ascii="Lexend Deca Light" w:hAnsi="Lexend Deca Light"/>
          <w:color w:val="2E2726"/>
          <w:sz w:val="22"/>
          <w:szCs w:val="22"/>
          <w:shd w:val="clear" w:color="auto" w:fill="FFFFFF"/>
          <w:lang w:val="en-US"/>
        </w:rPr>
        <w:t xml:space="preserve"> the </w:t>
      </w:r>
      <w:r w:rsidRPr="00A64086">
        <w:rPr>
          <w:rStyle w:val="normaltextrun"/>
          <w:rFonts w:ascii="Lexend Deca Light" w:hAnsi="Lexend Deca Light"/>
          <w:color w:val="2E2726"/>
          <w:sz w:val="22"/>
          <w:szCs w:val="22"/>
          <w:shd w:val="clear" w:color="auto" w:fill="FFFFFF"/>
          <w:lang w:val="en-US"/>
        </w:rPr>
        <w:t>locally responsive, primary form of</w:t>
      </w:r>
      <w:r w:rsidRPr="00A64086">
        <w:rPr>
          <w:rStyle w:val="normaltextrun"/>
          <w:rFonts w:ascii="Lexend Deca Light" w:hAnsi="Lexend Deca Light"/>
          <w:color w:val="2E2726"/>
          <w:sz w:val="22"/>
          <w:szCs w:val="22"/>
          <w:shd w:val="clear" w:color="auto" w:fill="FFFFFF"/>
          <w:lang w:val="en-US"/>
        </w:rPr>
        <w:t xml:space="preserve"> public accountability and stewardship needed to balance institutional autonomy with shared responsibility for local outcomes.</w:t>
      </w:r>
      <w:r w:rsidRPr="00A64086">
        <w:rPr>
          <w:rStyle w:val="eop"/>
          <w:rFonts w:ascii="Lexend Deca Light" w:hAnsi="Lexend Deca Light"/>
          <w:color w:val="2E2726"/>
          <w:sz w:val="22"/>
          <w:szCs w:val="22"/>
          <w:shd w:val="clear" w:color="auto" w:fill="FFFFFF"/>
        </w:rPr>
        <w:t> </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[0.3]</w:t>
      </w:r>
      <w:r w:rsidRPr="00A64086">
        <w:rPr>
          <w:rFonts w:ascii="Lexend Deca Light" w:hAnsi="Lexend Deca Light"/>
          <w:color w:val="374151"/>
          <w:sz w:val="22"/>
          <w:szCs w:val="22"/>
        </w:rPr>
        <w:t xml:space="preserve"> </w:t>
      </w:r>
      <w:r w:rsidRPr="00A64086">
        <w:rPr>
          <w:rFonts w:ascii="Lexend Deca Light" w:hAnsi="Lexend Deca Light"/>
          <w:sz w:val="22"/>
          <w:szCs w:val="22"/>
        </w:rPr>
        <w:t>The white paper points confidently at the right destination where inclusion is inseparable from standards, disadvantage is better understood, deficit thinking tackled, and schools connected not isolated. Delivered properly, it would free the sector from domineering structural arguments</w:t>
      </w:r>
      <w:r w:rsidRPr="00A64086">
        <w:rPr>
          <w:rFonts w:ascii="Lexend Deca Light" w:hAnsi="Lexend Deca Light"/>
          <w:sz w:val="22"/>
          <w:szCs w:val="22"/>
        </w:rPr>
        <w:t xml:space="preserve"> that has dominated the last fifteen years. The intent is one we largely applaud, but we have significant reservations that the machinery for delivering it is not yet in place.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[0.4] </w:t>
      </w:r>
      <w:r w:rsidRPr="00A64086">
        <w:rPr>
          <w:rFonts w:ascii="Lexend Deca Light" w:hAnsi="Lexend Deca Light"/>
          <w:sz w:val="22"/>
          <w:szCs w:val="22"/>
        </w:rPr>
        <w:t xml:space="preserve">We would point the Committee to the argument set out in </w:t>
      </w:r>
      <w:r w:rsidRPr="00A64086">
        <w:rPr>
          <w:rStyle w:val="Emphasis"/>
          <w:rFonts w:ascii="Lexend Deca Light" w:hAnsi="Lexend Deca Light"/>
          <w:i w:val="0"/>
          <w:iCs w:val="0"/>
          <w:sz w:val="22"/>
          <w:szCs w:val="22"/>
        </w:rPr>
        <w:t>A New Settlement for Education</w:t>
      </w:r>
      <w:r w:rsidRPr="00A64086">
        <w:rPr>
          <w:rFonts w:ascii="Lexend Deca Light" w:hAnsi="Lexend Deca Light"/>
          <w:sz w:val="22"/>
          <w:szCs w:val="22"/>
        </w:rPr>
        <w:t>, the recent Centre for Young Lives and SHINE report by former trust leader Jonny Uttley: England has a well-developed theory of school improvement and no theory of place improvement. We agree, and</w:t>
      </w:r>
      <w:r w:rsidRPr="00A64086">
        <w:rPr>
          <w:rFonts w:ascii="Lexend Deca Light" w:hAnsi="Lexend Deca Light"/>
          <w:sz w:val="22"/>
          <w:szCs w:val="22"/>
        </w:rPr>
        <w:t xml:space="preserve"> would add the point usually missing from this debate. Place-based improvement is a governance problem. Partnerships do not hold statutory duties; boards do. If the next phase of reform builds local structures without deciding where legal accountability sits, it will produce coordination without responsibility, and children will fall through the gap between the two</w:t>
      </w:r>
    </w:p>
    <w:p w:rsidR="00877F25" w:rsidRPr="00A12D13"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A12D13">
        <w:rPr>
          <w:rFonts w:ascii="Lexend Deca Light" w:eastAsia="Times New Roman" w:hAnsi="Lexend Deca Light" w:cs="Times New Roman"/>
          <w:b/>
          <w:bCs/>
          <w:kern w:val="0"/>
          <w:sz w:val="22"/>
          <w:szCs w:val="22"/>
          <w:lang w:eastAsia="en-GB"/>
        </w:rPr>
        <w:t>[1] Standards</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[1.1] NGA welcomes the ambition to raise attainment and close the disadvantage gap, and the intention to redefine academic standards so they reflect the demands of modern society and contemporary employment. But schools face significant barriers to delivering it. In our annual governance survey 2026, governors and trustees report </w:t>
      </w:r>
      <w:r w:rsidRPr="00A64086">
        <w:rPr>
          <w:rFonts w:ascii="Lexend Deca Light" w:eastAsia="Times New Roman" w:hAnsi="Lexend Deca Light" w:cs="Times New Roman"/>
          <w:kern w:val="0"/>
          <w:sz w:val="22"/>
          <w:szCs w:val="22"/>
          <w:lang w:eastAsia="en-GB"/>
        </w:rPr>
        <w:t>shortages of suitably qualified staff (51%), particularly in STEM, languages and music (40%), while 68% identify supporting disadvantaged pupils and those with SEND as one of their main budgetary challenges.</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[1.2] While 46% of respondents to our 2026 white paper survey support the "best-fit" progress measure for low-attaining pupils, they emphasise that any new measure must sit within a well-resourced and balanced system. It should enable schools to meet pupils' needs rather than add another layer of accountability pressure.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[1.3] NGA supports changes to Progress 8 that restore parity of esteem between academic and vocational pathways. Removing the EBacc constraints would give schools the confidence to deliver a broader curriculum, reflecting the 71% of respondents to our curriculum and assessment review survey 2024 who called for greater emphasis on skills and non-core subjects. It would also begin to address rising NEET numbers. We </w:t>
      </w:r>
      <w:r w:rsidRPr="00A64086">
        <w:rPr>
          <w:rFonts w:ascii="Lexend Deca Light" w:eastAsia="Times New Roman" w:hAnsi="Lexend Deca Light" w:cs="Times New Roman"/>
          <w:kern w:val="0"/>
          <w:sz w:val="22"/>
          <w:szCs w:val="22"/>
          <w:lang w:eastAsia="en-GB"/>
        </w:rPr>
        <w:t xml:space="preserve">think national debate should allow real engagement to </w:t>
      </w:r>
      <w:r w:rsidRPr="00A64086">
        <w:rPr>
          <w:rFonts w:ascii="Lexend Deca Light" w:eastAsia="Times New Roman" w:hAnsi="Lexend Deca Light" w:cs="Times New Roman"/>
          <w:kern w:val="0"/>
          <w:sz w:val="22"/>
          <w:szCs w:val="22"/>
          <w:lang w:eastAsia="en-GB"/>
        </w:rPr>
        <w:t>test the more radical proposition</w:t>
      </w:r>
      <w:r w:rsidRPr="00A64086">
        <w:rPr>
          <w:rFonts w:ascii="Lexend Deca Light" w:eastAsia="Times New Roman" w:hAnsi="Lexend Deca Light" w:cs="Times New Roman"/>
          <w:kern w:val="0"/>
          <w:sz w:val="22"/>
          <w:szCs w:val="22"/>
          <w:lang w:eastAsia="en-GB"/>
        </w:rPr>
        <w:t xml:space="preserve"> </w:t>
      </w:r>
      <w:r w:rsidRPr="00A64086">
        <w:rPr>
          <w:rFonts w:ascii="Lexend Deca Light" w:eastAsia="Times New Roman" w:hAnsi="Lexend Deca Light" w:cs="Times New Roman"/>
          <w:kern w:val="0"/>
          <w:sz w:val="22"/>
          <w:szCs w:val="22"/>
          <w:lang w:eastAsia="en-GB"/>
        </w:rPr>
        <w:t xml:space="preserve">that Progress 8 should be replaced outright with a measure that creates space for technical, vocational and employer-linked pathways from age 14, alongside </w:t>
      </w:r>
      <w:r w:rsidRPr="00A64086">
        <w:rPr>
          <w:rFonts w:ascii="Lexend Deca Light" w:eastAsia="Times New Roman" w:hAnsi="Lexend Deca Light" w:cs="Times New Roman"/>
          <w:kern w:val="0"/>
          <w:sz w:val="22"/>
          <w:szCs w:val="22"/>
          <w:lang w:eastAsia="en-GB"/>
        </w:rPr>
        <w:t>the</w:t>
      </w:r>
      <w:r w:rsidRPr="00A64086">
        <w:rPr>
          <w:rFonts w:ascii="Lexend Deca Light" w:eastAsia="Times New Roman" w:hAnsi="Lexend Deca Light" w:cs="Times New Roman"/>
          <w:kern w:val="0"/>
          <w:sz w:val="22"/>
          <w:szCs w:val="22"/>
          <w:lang w:eastAsia="en-GB"/>
        </w:rPr>
        <w:t xml:space="preserve"> local outcomes framework covering attendance, exclusions, wellbeing, economic participation and NEET rates</w:t>
      </w:r>
      <w:r w:rsidRPr="00A64086">
        <w:rPr>
          <w:rFonts w:ascii="Lexend Deca Light" w:eastAsia="Times New Roman" w:hAnsi="Lexend Deca Light" w:cs="Times New Roman"/>
          <w:kern w:val="0"/>
          <w:sz w:val="22"/>
          <w:szCs w:val="22"/>
          <w:lang w:eastAsia="en-GB"/>
        </w:rPr>
        <w:t xml:space="preserve"> proposed in the </w:t>
      </w:r>
      <w:r w:rsidRPr="00A64086">
        <w:rPr>
          <w:rFonts w:ascii="Lexend Deca Light" w:eastAsia="Times New Roman" w:hAnsi="Lexend Deca Light" w:cs="Times New Roman"/>
          <w:kern w:val="0"/>
          <w:sz w:val="22"/>
          <w:szCs w:val="22"/>
          <w:lang w:eastAsia="en-GB"/>
        </w:rPr>
        <w:t>above-mentioned</w:t>
      </w:r>
      <w:r w:rsidRPr="00A64086">
        <w:rPr>
          <w:rFonts w:ascii="Lexend Deca Light" w:eastAsia="Times New Roman" w:hAnsi="Lexend Deca Light" w:cs="Times New Roman"/>
          <w:kern w:val="0"/>
          <w:sz w:val="22"/>
          <w:szCs w:val="22"/>
          <w:lang w:eastAsia="en-GB"/>
        </w:rPr>
        <w:t xml:space="preserve"> report by Jonny Uttley</w:t>
      </w:r>
      <w:r w:rsidRPr="00A64086">
        <w:rPr>
          <w:rFonts w:ascii="Lexend Deca Light" w:eastAsia="Times New Roman" w:hAnsi="Lexend Deca Light" w:cs="Times New Roman"/>
          <w:kern w:val="0"/>
          <w:sz w:val="22"/>
          <w:szCs w:val="22"/>
          <w:lang w:eastAsia="en-GB"/>
        </w:rPr>
        <w:t xml:space="preserve">. </w:t>
      </w:r>
      <w:r w:rsidRPr="00A64086">
        <w:rPr>
          <w:rFonts w:ascii="Lexend Deca Light" w:eastAsia="Times New Roman" w:hAnsi="Lexend Deca Light" w:cs="Times New Roman"/>
          <w:kern w:val="0"/>
          <w:sz w:val="22"/>
          <w:szCs w:val="22"/>
          <w:lang w:eastAsia="en-GB"/>
        </w:rPr>
        <w:t>NGA believes that a</w:t>
      </w:r>
      <w:r w:rsidRPr="00A64086">
        <w:rPr>
          <w:rFonts w:ascii="Lexend Deca Light" w:eastAsia="Times New Roman" w:hAnsi="Lexend Deca Light" w:cs="Times New Roman"/>
          <w:kern w:val="0"/>
          <w:sz w:val="22"/>
          <w:szCs w:val="22"/>
          <w:lang w:eastAsia="en-GB"/>
        </w:rPr>
        <w:t>ccountability measur</w:t>
      </w:r>
      <w:r w:rsidRPr="00A64086">
        <w:rPr>
          <w:rFonts w:ascii="Lexend Deca Light" w:eastAsia="Times New Roman" w:hAnsi="Lexend Deca Light" w:cs="Times New Roman"/>
          <w:kern w:val="0"/>
          <w:sz w:val="22"/>
          <w:szCs w:val="22"/>
          <w:lang w:eastAsia="en-GB"/>
        </w:rPr>
        <w:t>ing</w:t>
      </w:r>
      <w:r w:rsidRPr="00A64086">
        <w:rPr>
          <w:rFonts w:ascii="Lexend Deca Light" w:eastAsia="Times New Roman" w:hAnsi="Lexend Deca Light" w:cs="Times New Roman"/>
          <w:kern w:val="0"/>
          <w:sz w:val="22"/>
          <w:szCs w:val="22"/>
          <w:lang w:eastAsia="en-GB"/>
        </w:rPr>
        <w:t xml:space="preserve"> only what an institution adds to its own pupils will always undercut a place-based ambition, however sincerely that ambition is held. </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[1.4] On RISE teams, NGA supports bespoke support over scrutiny. Ofsted must remain the primary evaluator, and RISE engagement should not trigger automatic structural intervention.</w:t>
      </w:r>
    </w:p>
    <w:p w:rsidR="00877F25" w:rsidRPr="00F534BD"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F534BD">
        <w:rPr>
          <w:rFonts w:ascii="Lexend Deca Light" w:eastAsia="Times New Roman" w:hAnsi="Lexend Deca Light" w:cs="Times New Roman"/>
          <w:b/>
          <w:bCs/>
          <w:kern w:val="0"/>
          <w:sz w:val="22"/>
          <w:szCs w:val="22"/>
          <w:lang w:eastAsia="en-GB"/>
        </w:rPr>
        <w:t>[2] Attendance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[2.1] Improving attendance is not an isolated goal. It is the clearest test of whether the system can build the inclusive, community-rooted offer the white paper describes. Our annual governance survey 2026 shows it rising fast up boards' agendas: 32% identified attendance as a top challenge and 36% as a strategic priority, both a ten-percentage-point increase on 2025.</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[2.2] The white paper rightly recognises that improvement requires a 'support first' approach, stronger partnerships with parents, and better coordination between schools and wider services.  Our autumn survey 2025 found</w:t>
      </w:r>
      <w:r w:rsidRPr="00A64086">
        <w:rPr>
          <w:rFonts w:ascii="Lexend Deca Light" w:eastAsia="Times New Roman" w:hAnsi="Lexend Deca Light" w:cs="Times New Roman"/>
          <w:kern w:val="0"/>
          <w:sz w:val="22"/>
          <w:szCs w:val="22"/>
          <w:lang w:eastAsia="en-GB"/>
        </w:rPr>
        <w:t xml:space="preserve"> causes for absence are complex and multi-faceted, including</w:t>
      </w:r>
      <w:r w:rsidRPr="00A64086">
        <w:rPr>
          <w:rFonts w:ascii="Lexend Deca Light" w:eastAsia="Times New Roman" w:hAnsi="Lexend Deca Light" w:cs="Times New Roman"/>
          <w:kern w:val="0"/>
          <w:sz w:val="22"/>
          <w:szCs w:val="22"/>
          <w:lang w:eastAsia="en-GB"/>
        </w:rPr>
        <w:t xml:space="preserve"> poor mental health, negative attitudes towards school and term-time holidays.</w:t>
      </w:r>
      <w:r w:rsidRPr="00A64086">
        <w:rPr>
          <w:rFonts w:ascii="Lexend Deca Light" w:eastAsia="Times New Roman" w:hAnsi="Lexend Deca Light" w:cs="Times New Roman"/>
          <w:kern w:val="0"/>
          <w:sz w:val="22"/>
          <w:szCs w:val="22"/>
          <w:lang w:eastAsia="en-GB"/>
        </w:rPr>
        <w:t xml:space="preserve"> </w:t>
      </w:r>
      <w:r w:rsidRPr="00A64086">
        <w:rPr>
          <w:rFonts w:ascii="Lexend Deca Light" w:hAnsi="Lexend Deca Light"/>
          <w:sz w:val="22"/>
          <w:szCs w:val="22"/>
        </w:rPr>
        <w:t>Teachers are being asked to build partnerships with families in circumstances far more complex than the ones their training anticipated. Our view is that</w:t>
      </w:r>
      <w:r w:rsidRPr="00A64086">
        <w:rPr>
          <w:rFonts w:ascii="Lexend Deca Light" w:hAnsi="Lexend Deca Light"/>
          <w:sz w:val="22"/>
          <w:szCs w:val="22"/>
        </w:rPr>
        <w:t xml:space="preserve"> teacher training has not caught up, and both ITT and CPD needs to address evolving societal, community and family needs. </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[2.3] Our 2024</w:t>
      </w:r>
      <w:r w:rsidRPr="00A64086">
        <w:rPr>
          <w:rFonts w:ascii="Lexend Deca Light" w:eastAsia="Times New Roman" w:hAnsi="Lexend Deca Light" w:cs="Times New Roman"/>
          <w:kern w:val="0"/>
          <w:sz w:val="22"/>
          <w:szCs w:val="22"/>
          <w:lang w:eastAsia="en-GB"/>
        </w:rPr>
        <w:t xml:space="preserve"> survey</w:t>
      </w:r>
      <w:r w:rsidRPr="00A64086">
        <w:rPr>
          <w:rFonts w:ascii="Lexend Deca Light" w:eastAsia="Times New Roman" w:hAnsi="Lexend Deca Light" w:cs="Times New Roman"/>
          <w:kern w:val="0"/>
          <w:sz w:val="22"/>
          <w:szCs w:val="22"/>
          <w:lang w:eastAsia="en-GB"/>
        </w:rPr>
        <w:t xml:space="preserve"> found that parental communication, targeted support meetings, multi-agency support for families and breakfast clubs are among the most successful </w:t>
      </w:r>
      <w:r w:rsidRPr="00A64086">
        <w:rPr>
          <w:rFonts w:ascii="Lexend Deca Light" w:eastAsia="Times New Roman" w:hAnsi="Lexend Deca Light" w:cs="Times New Roman"/>
          <w:kern w:val="0"/>
          <w:sz w:val="22"/>
          <w:szCs w:val="22"/>
          <w:lang w:eastAsia="en-GB"/>
        </w:rPr>
        <w:t xml:space="preserve">interventions, </w:t>
      </w:r>
      <w:r w:rsidRPr="00A64086">
        <w:rPr>
          <w:rFonts w:ascii="Lexend Deca Light" w:eastAsia="Times New Roman" w:hAnsi="Lexend Deca Light" w:cs="Times New Roman"/>
          <w:kern w:val="0"/>
          <w:sz w:val="22"/>
          <w:szCs w:val="22"/>
          <w:lang w:eastAsia="en-GB"/>
        </w:rPr>
        <w:t>reinforc</w:t>
      </w:r>
      <w:r w:rsidRPr="00A64086">
        <w:rPr>
          <w:rFonts w:ascii="Lexend Deca Light" w:eastAsia="Times New Roman" w:hAnsi="Lexend Deca Light" w:cs="Times New Roman"/>
          <w:kern w:val="0"/>
          <w:sz w:val="22"/>
          <w:szCs w:val="22"/>
          <w:lang w:eastAsia="en-GB"/>
        </w:rPr>
        <w:t>ing</w:t>
      </w:r>
      <w:r w:rsidRPr="00A64086">
        <w:rPr>
          <w:rFonts w:ascii="Lexend Deca Light" w:eastAsia="Times New Roman" w:hAnsi="Lexend Deca Light" w:cs="Times New Roman"/>
          <w:kern w:val="0"/>
          <w:sz w:val="22"/>
          <w:szCs w:val="22"/>
          <w:lang w:eastAsia="en-GB"/>
        </w:rPr>
        <w:t xml:space="preserve"> the case for minimum expectations on home-school partnership and closer</w:t>
      </w:r>
      <w:r w:rsidRPr="00A64086">
        <w:rPr>
          <w:rFonts w:ascii="Lexend Deca Light" w:eastAsia="Times New Roman" w:hAnsi="Lexend Deca Light" w:cs="Times New Roman"/>
          <w:kern w:val="0"/>
          <w:sz w:val="22"/>
          <w:szCs w:val="22"/>
          <w:lang w:eastAsia="en-GB"/>
        </w:rPr>
        <w:t xml:space="preserve"> multi service and sector</w:t>
      </w:r>
      <w:r w:rsidRPr="00A64086">
        <w:rPr>
          <w:rFonts w:ascii="Lexend Deca Light" w:eastAsia="Times New Roman" w:hAnsi="Lexend Deca Light" w:cs="Times New Roman"/>
          <w:kern w:val="0"/>
          <w:sz w:val="22"/>
          <w:szCs w:val="22"/>
          <w:lang w:eastAsia="en-GB"/>
        </w:rPr>
        <w:t xml:space="preserve"> collaboration.</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[2.4]</w:t>
      </w:r>
      <w:r w:rsidRPr="00A64086">
        <w:rPr>
          <w:rFonts w:ascii="Lexend Deca Light" w:eastAsia="Times New Roman" w:hAnsi="Lexend Deca Light" w:cs="Times New Roman"/>
          <w:kern w:val="0"/>
          <w:sz w:val="22"/>
          <w:szCs w:val="22"/>
          <w:lang w:eastAsia="en-GB"/>
        </w:rPr>
        <w:t xml:space="preserve"> NGA’s view is re</w:t>
      </w:r>
      <w:r w:rsidRPr="00A64086">
        <w:rPr>
          <w:rFonts w:ascii="Lexend Deca Light" w:eastAsia="Times New Roman" w:hAnsi="Lexend Deca Light" w:cs="Times New Roman"/>
          <w:kern w:val="0"/>
          <w:sz w:val="22"/>
          <w:szCs w:val="22"/>
          <w:lang w:eastAsia="en-GB"/>
        </w:rPr>
        <w:t>sponsibility must be</w:t>
      </w:r>
      <w:r w:rsidRPr="00A64086">
        <w:rPr>
          <w:rFonts w:ascii="Lexend Deca Light" w:eastAsia="Times New Roman" w:hAnsi="Lexend Deca Light" w:cs="Times New Roman"/>
          <w:kern w:val="0"/>
          <w:sz w:val="22"/>
          <w:szCs w:val="22"/>
          <w:lang w:eastAsia="en-GB"/>
        </w:rPr>
        <w:t xml:space="preserve"> more holistically</w:t>
      </w:r>
      <w:r w:rsidRPr="00A64086">
        <w:rPr>
          <w:rFonts w:ascii="Lexend Deca Light" w:eastAsia="Times New Roman" w:hAnsi="Lexend Deca Light" w:cs="Times New Roman"/>
          <w:kern w:val="0"/>
          <w:sz w:val="22"/>
          <w:szCs w:val="22"/>
          <w:lang w:eastAsia="en-GB"/>
        </w:rPr>
        <w:t xml:space="preserve"> shared</w:t>
      </w:r>
      <w:r w:rsidRPr="00A64086">
        <w:rPr>
          <w:rFonts w:ascii="Lexend Deca Light" w:eastAsia="Times New Roman" w:hAnsi="Lexend Deca Light" w:cs="Times New Roman"/>
          <w:kern w:val="0"/>
          <w:sz w:val="22"/>
          <w:szCs w:val="22"/>
          <w:lang w:eastAsia="en-GB"/>
        </w:rPr>
        <w:t>. While s</w:t>
      </w:r>
      <w:r w:rsidRPr="00A64086">
        <w:rPr>
          <w:rStyle w:val="normaltextrun"/>
          <w:rFonts w:ascii="Lexend Deca Light" w:hAnsi="Lexend Deca Light"/>
          <w:color w:val="2E2726"/>
          <w:sz w:val="22"/>
          <w:szCs w:val="22"/>
          <w:shd w:val="clear" w:color="auto" w:fill="FFFFFF"/>
          <w:lang w:val="en-US"/>
        </w:rPr>
        <w:t xml:space="preserve">chools play a vital role in fostering engagement and identifying concerns, they cannot meet increasingly complex family needs in isolation. 22% of respondents to our annual survey 2025 reported providing additional services to pupils and families places undue pressure on their school/trust. </w:t>
      </w:r>
      <w:r w:rsidRPr="00A64086">
        <w:rPr>
          <w:rFonts w:ascii="Lexend Deca Light" w:eastAsia="Times New Roman" w:hAnsi="Lexend Deca Light" w:cs="Times New Roman"/>
          <w:kern w:val="0"/>
          <w:sz w:val="22"/>
          <w:szCs w:val="22"/>
          <w:lang w:eastAsia="en-GB"/>
        </w:rPr>
        <w:t>The white paper does not explain how the NHS, local authorities and other partners will be held to account for their contribution.</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[3] Enrichment</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[3.1] NGA welcomes the recognition that belonging and access to enrichment are fundamental to outcomes, attendance and wellbeing.</w:t>
      </w:r>
      <w:r w:rsidRPr="00A64086">
        <w:rPr>
          <w:rFonts w:ascii="Lexend Deca Light" w:eastAsia="Times New Roman" w:hAnsi="Lexend Deca Light" w:cs="Times New Roman"/>
          <w:kern w:val="0"/>
          <w:sz w:val="22"/>
          <w:szCs w:val="22"/>
          <w:lang w:eastAsia="en-GB"/>
        </w:rPr>
        <w:t xml:space="preserve"> Yet</w:t>
      </w:r>
      <w:r w:rsidRPr="00A64086">
        <w:rPr>
          <w:rFonts w:ascii="Lexend Deca Light" w:eastAsia="Times New Roman" w:hAnsi="Lexend Deca Light" w:cs="Times New Roman"/>
          <w:kern w:val="0"/>
          <w:sz w:val="22"/>
          <w:szCs w:val="22"/>
          <w:lang w:eastAsia="en-GB"/>
        </w:rPr>
        <w:t xml:space="preserve"> 59% of respondents to our 2025 survey reported their school or trust had reduced or cut certain subjects because of budget constraints, with a lack of </w:t>
      </w:r>
      <w:r w:rsidRPr="00A64086">
        <w:rPr>
          <w:rFonts w:ascii="Lexend Deca Light" w:eastAsia="Times New Roman" w:hAnsi="Lexend Deca Light" w:cs="Times New Roman"/>
          <w:kern w:val="0"/>
          <w:sz w:val="22"/>
          <w:szCs w:val="22"/>
          <w:lang w:eastAsia="en-GB"/>
        </w:rPr>
        <w:t xml:space="preserve">qualified teachers (27%) and time pressures (18%) also contributing. A further 8% plan to change their curriculum offer over the next three to five years to secure financial sustainability. Enrichment ambition </w:t>
      </w:r>
      <w:r w:rsidRPr="00A64086">
        <w:rPr>
          <w:rFonts w:ascii="Lexend Deca Light" w:eastAsia="Times New Roman" w:hAnsi="Lexend Deca Light" w:cs="Times New Roman"/>
          <w:kern w:val="0"/>
          <w:sz w:val="22"/>
          <w:szCs w:val="22"/>
          <w:lang w:eastAsia="en-GB"/>
        </w:rPr>
        <w:t>conflicts with</w:t>
      </w:r>
      <w:r w:rsidRPr="00A64086">
        <w:rPr>
          <w:rFonts w:ascii="Lexend Deca Light" w:eastAsia="Times New Roman" w:hAnsi="Lexend Deca Light" w:cs="Times New Roman"/>
          <w:kern w:val="0"/>
          <w:sz w:val="22"/>
          <w:szCs w:val="22"/>
          <w:lang w:eastAsia="en-GB"/>
        </w:rPr>
        <w:t xml:space="preserve"> efficiency drives</w:t>
      </w:r>
      <w:r w:rsidRPr="00A64086">
        <w:rPr>
          <w:rFonts w:ascii="Lexend Deca Light" w:eastAsia="Times New Roman" w:hAnsi="Lexend Deca Light" w:cs="Times New Roman"/>
          <w:kern w:val="0"/>
          <w:sz w:val="22"/>
          <w:szCs w:val="22"/>
          <w:lang w:eastAsia="en-GB"/>
        </w:rPr>
        <w:t xml:space="preserve">, with </w:t>
      </w:r>
      <w:r w:rsidRPr="00A64086">
        <w:rPr>
          <w:rFonts w:ascii="Lexend Deca Light" w:eastAsia="Times New Roman" w:hAnsi="Lexend Deca Light" w:cs="Times New Roman"/>
          <w:kern w:val="0"/>
          <w:sz w:val="22"/>
          <w:szCs w:val="22"/>
          <w:lang w:eastAsia="en-GB"/>
        </w:rPr>
        <w:t>boards the ones forced to choose</w:t>
      </w:r>
      <w:r w:rsidRPr="00A64086">
        <w:rPr>
          <w:rFonts w:ascii="Lexend Deca Light" w:eastAsia="Times New Roman" w:hAnsi="Lexend Deca Light" w:cs="Times New Roman"/>
          <w:kern w:val="0"/>
          <w:sz w:val="22"/>
          <w:szCs w:val="22"/>
          <w:lang w:eastAsia="en-GB"/>
        </w:rPr>
        <w:t xml:space="preserve"> which they will pursue</w:t>
      </w:r>
      <w:r w:rsidRPr="00A64086">
        <w:rPr>
          <w:rFonts w:ascii="Lexend Deca Light" w:eastAsia="Times New Roman" w:hAnsi="Lexend Deca Light" w:cs="Times New Roman"/>
          <w:kern w:val="0"/>
          <w:sz w:val="22"/>
          <w:szCs w:val="22"/>
          <w:lang w:eastAsia="en-GB"/>
        </w:rPr>
        <w:t>.</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[3.2] The focus on belonging and pupil voice aligns with the strategic role of boards in understanding their communities: 60% of boards (2024 survey) monitor pupil survey results as part of stakeholder engagement. The proposed Pupil Engagement Framework could strengthen and standardise that evidence. It should include a dedicated section for governing boards, signposting statutory guidance, regulatory requirements and Ofsted's expectations on oversight of inclusion and pupil experience. Without clear govern</w:t>
      </w:r>
      <w:r w:rsidRPr="00A64086">
        <w:rPr>
          <w:rFonts w:ascii="Lexend Deca Light" w:eastAsia="Times New Roman" w:hAnsi="Lexend Deca Light" w:cs="Times New Roman"/>
          <w:kern w:val="0"/>
          <w:sz w:val="22"/>
          <w:szCs w:val="22"/>
          <w:lang w:eastAsia="en-GB"/>
        </w:rPr>
        <w:t>ance expectations, the framework will become a compliance exercise rather than a driver of improvement.</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[4] Behaviour</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[4.1] NGA welcomes measures focused on early intervention and reducing repeat suspensions. Reintegration support partnerships are among the strongest proposals in the white </w:t>
      </w:r>
      <w:r w:rsidRPr="00A64086">
        <w:rPr>
          <w:rFonts w:ascii="Lexend Deca Light" w:eastAsia="Times New Roman" w:hAnsi="Lexend Deca Light" w:cs="Times New Roman"/>
          <w:kern w:val="0"/>
          <w:sz w:val="22"/>
          <w:szCs w:val="22"/>
          <w:lang w:eastAsia="en-GB"/>
        </w:rPr>
        <w:t>paper and</w:t>
      </w:r>
      <w:r w:rsidRPr="00A64086">
        <w:rPr>
          <w:rFonts w:ascii="Lexend Deca Light" w:eastAsia="Times New Roman" w:hAnsi="Lexend Deca Light" w:cs="Times New Roman"/>
          <w:kern w:val="0"/>
          <w:sz w:val="22"/>
          <w:szCs w:val="22"/>
          <w:lang w:eastAsia="en-GB"/>
        </w:rPr>
        <w:t xml:space="preserve"> rightly treat repeat suspension as a driver of poor outcomes rather than a solution to them.</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[4.2] Proposals on internal suspension need greater clarity, particularly how they differ from removal from the classroom and how they will be scrutinised. In our white paper survey, only 38% believed their organisation had the capacity to implement the proposal; 49% said they did not. Boards support the principle of keeping suspended pupils in a supervised learning environment, but many schools lack the staff, space and specialist provision to do it properly.</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[4.3] The proposed duty to set work also needs clarification. Many schools already provide work, but expectations around feedback, marking and monitoring completion are unclear, and there is a real risk of unintended consequences if pupils face further sanctions for not completing it.</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[5] Complaints</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[5.1] Proposals to modernise complaints through digital processes, better monitoring and clearer information for parents are welcome. Our 2025 research shows why reform is needed: 82% of respondents reported complaints had increased over the past three </w:t>
      </w:r>
      <w:r w:rsidRPr="00A64086">
        <w:rPr>
          <w:rFonts w:ascii="Lexend Deca Light" w:eastAsia="Times New Roman" w:hAnsi="Lexend Deca Light" w:cs="Times New Roman"/>
          <w:kern w:val="0"/>
          <w:sz w:val="22"/>
          <w:szCs w:val="22"/>
          <w:lang w:eastAsia="en-GB"/>
        </w:rPr>
        <w:t>to five years, and 50% described the increase as significant. Respondents identified three priorities: strengthening the process and reducing duplication across agencies; addressing the underlying pressures in the SEND system through improved funding, provision and assessment; and supporting schools to manage parental expectations and an increasingly adversarial complaints culture.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[5.2] Extending the requirement for an independent panellist to maintained schools may present practical difficulties. Many schools already struggle to source governors for panels, and 31% of respondents to our white paper survey said their board would have difficulty securing an independent panellist.</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[6] Admissions</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[6.1] Admissions is ultimately a question of managing public assets in the interests of the communities that own them. NGA supports measures to ensure effective collaboration between local authorities and trusts, delivering fair access alongside sustainable place planning. This will only become more pressing as falling rolls bite. Every community will need careful place planning, </w:t>
      </w:r>
      <w:r w:rsidRPr="00A64086">
        <w:rPr>
          <w:rFonts w:ascii="Lexend Deca Light" w:eastAsia="Times New Roman" w:hAnsi="Lexend Deca Light" w:cs="Times New Roman"/>
          <w:kern w:val="0"/>
          <w:sz w:val="22"/>
          <w:szCs w:val="22"/>
          <w:lang w:eastAsia="en-GB"/>
        </w:rPr>
        <w:t>conducted with the trusts and local authorities that run its schools but insulated from their institutional interests.</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[6.2] NGA supports reform of the Admissions Code. Clearer and more consistent approaches to banding, and stronger local authority management of fair access protocols, would strengthen support for vulnerable children. Improvements to the accessibility and transparency of in-year admissions are also welcome. Admissions is where the competition model does its most visible damage to individual children, and it is the right place to start dismantling it.</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[7] Disadvantage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[7.1] The goal of halving the disadvantage gap is extremely ambitious and welcome. The system has rightly focused on SEND in recent years, but disadvantage is far broader than SEND — a point NGA has made consistently through our work on widening the lens on disadvantage. In a survey of over 1,000 governors and trustees following the white paper, 59% said free school meal eligibility does not accurately reflect their school's level of disadvantage.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[7.2] Boards identified clear limitations with FSM eligibility as a measure. It misses the "working poor" who sit just above the threshold, and families who do not register because of stigma. Household income is only one factor: parental mental health, domestic abuse, trauma, SEND and caring responsibilities all interact with socio-economic status to shape a child's experience. Families on similar incomes can face very different levels of disadvantage.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[7.3] There is broad support for a more nuanced funding model incorporating household income and, potentially, the duration of poverty. Any new model must avoid creating additional bureaucracy or relying on invasive data collection that would deter families from seeking support.</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[7.4] The effectiveness of pupil premium remains a concern. In our 2025 autumn policy survey of over 1,000 respondents, only 56% of governors and trustees said pupil </w:t>
      </w:r>
      <w:r w:rsidRPr="00A64086">
        <w:rPr>
          <w:rFonts w:ascii="Lexend Deca Light" w:eastAsia="Times New Roman" w:hAnsi="Lexend Deca Light" w:cs="Times New Roman"/>
          <w:kern w:val="0"/>
          <w:sz w:val="22"/>
          <w:szCs w:val="22"/>
          <w:lang w:eastAsia="en-GB"/>
        </w:rPr>
        <w:t>premium is effective in supporting pupils experiencing educational disadvantage. Breaking the link between FSM eligibility and deprivation funding is an opportunity to target support better. We welcomed the recent expansion of FSM eligibility, but funding remains tied to the historic criteria, excluding many pupils.</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[7.5] We support protecting the real-terms value of pupil premium and extending eligibility to other disadvantaged pupils. We also support automatic enrolment for free school meals, with a joined-up approach with the Department for Work and Pensions so eligible families are identified and supported.</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[8] Trusts and place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[8.1] </w:t>
      </w:r>
      <w:r w:rsidRPr="00A64086">
        <w:rPr>
          <w:rFonts w:ascii="Lexend Deca Light" w:hAnsi="Lexend Deca Light"/>
          <w:sz w:val="22"/>
          <w:szCs w:val="22"/>
        </w:rPr>
        <w:t xml:space="preserve">The relevant question about multi-academy trusts is not whether they should exist but how to maximise their public value through </w:t>
      </w:r>
      <w:r w:rsidRPr="00A64086">
        <w:rPr>
          <w:rFonts w:ascii="Lexend Deca Light" w:hAnsi="Lexend Deca Light"/>
          <w:sz w:val="22"/>
          <w:szCs w:val="22"/>
        </w:rPr>
        <w:t>improving schools and benefitting children, families and communities across a locality. While scale can deliver real benefits in economies of scale and access to specialist staff, what matters is what those benefits mean for the places trusts serve. Since 2011 the debate has largely been conducted in generalisations, for and against, but the reality is some trusts operating at scale have proven far more successful, both in terms of sustainability and in</w:t>
      </w:r>
      <w:r w:rsidRPr="00A64086">
        <w:rPr>
          <w:rFonts w:ascii="Lexend Deca Light" w:hAnsi="Lexend Deca Light"/>
          <w:sz w:val="22"/>
          <w:szCs w:val="22"/>
        </w:rPr>
        <w:t xml:space="preserve"> delivering inclusivity, resilience and civic leadership.</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[8.2] NGA welcomes the commitment to trust inspection</w:t>
      </w:r>
      <w:r w:rsidRPr="00A64086">
        <w:rPr>
          <w:rFonts w:ascii="Lexend Deca Light" w:eastAsia="Times New Roman" w:hAnsi="Lexend Deca Light" w:cs="Times New Roman"/>
          <w:kern w:val="0"/>
          <w:sz w:val="22"/>
          <w:szCs w:val="22"/>
          <w:lang w:eastAsia="en-GB"/>
        </w:rPr>
        <w:t>. The headline in our</w:t>
      </w:r>
      <w:r w:rsidRPr="00A64086">
        <w:rPr>
          <w:rStyle w:val="normaltextrun"/>
          <w:rFonts w:ascii="Lexend Deca Light" w:hAnsi="Lexend Deca Light"/>
          <w:color w:val="2E2726"/>
          <w:sz w:val="22"/>
          <w:szCs w:val="22"/>
          <w:shd w:val="clear" w:color="auto" w:fill="FFFFFF"/>
          <w:lang w:val="en-US"/>
        </w:rPr>
        <w:t> </w:t>
      </w:r>
      <w:r>
        <w:fldChar w:fldCharType="begin"/>
      </w:r>
      <w:r>
        <w:instrText xml:space="preserve"> HYPERLINK "https://www.nga.org.uk/knowledge-centre/moving-towards-a-mat-inspection-framework/" \t "_blank" </w:instrText>
      </w:r>
      <w:r>
        <w:fldChar w:fldCharType="separate"/>
      </w:r>
      <w:r w:rsidRPr="00A64086">
        <w:rPr>
          <w:rStyle w:val="normaltextrun"/>
          <w:rFonts w:ascii="Lexend Deca Light" w:hAnsi="Lexend Deca Light" w:cs="Segoe UI"/>
          <w:color w:val="467886"/>
          <w:sz w:val="22"/>
          <w:szCs w:val="22"/>
          <w:u w:val="single"/>
          <w:shd w:val="clear" w:color="auto" w:fill="FFFFFF"/>
          <w:lang w:val="en-US"/>
        </w:rPr>
        <w:t>recent policy paper</w:t>
      </w:r>
      <w:r>
        <w:fldChar w:fldCharType="end"/>
      </w:r>
      <w:r w:rsidRPr="00A64086">
        <w:rPr>
          <w:rFonts w:ascii="Lexend Deca Light" w:eastAsia="Times New Roman" w:hAnsi="Lexend Deca Light" w:cs="Times New Roman"/>
          <w:kern w:val="0"/>
          <w:sz w:val="22"/>
          <w:szCs w:val="22"/>
          <w:lang w:eastAsia="en-GB"/>
        </w:rPr>
        <w:t xml:space="preserve">  states </w:t>
      </w:r>
      <w:r w:rsidRPr="00A64086">
        <w:rPr>
          <w:rFonts w:ascii="Lexend Deca Light" w:eastAsia="Times New Roman" w:hAnsi="Lexend Deca Light" w:cs="Times New Roman"/>
          <w:kern w:val="0"/>
          <w:sz w:val="22"/>
          <w:szCs w:val="22"/>
          <w:lang w:eastAsia="en-GB"/>
        </w:rPr>
        <w:t>trust inspection must assess the public value a trust creates as an organisation</w:t>
      </w:r>
      <w:r w:rsidRPr="00A64086">
        <w:rPr>
          <w:rFonts w:ascii="Lexend Deca Light" w:eastAsia="Times New Roman" w:hAnsi="Lexend Deca Light" w:cs="Times New Roman"/>
          <w:kern w:val="0"/>
          <w:sz w:val="22"/>
          <w:szCs w:val="22"/>
          <w:lang w:eastAsia="en-GB"/>
        </w:rPr>
        <w:t xml:space="preserve"> - </w:t>
      </w:r>
      <w:r w:rsidRPr="00A64086">
        <w:rPr>
          <w:rStyle w:val="normaltextrun"/>
          <w:rFonts w:ascii="Lexend Deca Light" w:hAnsi="Lexend Deca Light"/>
          <w:color w:val="2E2726"/>
          <w:sz w:val="22"/>
          <w:szCs w:val="22"/>
          <w:shd w:val="clear" w:color="auto" w:fill="FFFFFF"/>
          <w:lang w:val="en-US"/>
        </w:rPr>
        <w:t xml:space="preserve">the trust </w:t>
      </w:r>
      <w:r w:rsidRPr="00A64086">
        <w:rPr>
          <w:rStyle w:val="normaltextrun"/>
          <w:rFonts w:ascii="Lexend Deca Light" w:hAnsi="Lexend Deca Light"/>
          <w:color w:val="2E2726"/>
          <w:sz w:val="22"/>
          <w:szCs w:val="22"/>
          <w:shd w:val="clear" w:color="auto" w:fill="FFFFFF"/>
          <w:lang w:val="en-US"/>
        </w:rPr>
        <w:t>dividend, defined as the value and capacity generated by MATs over and above what individual schools deliver.</w:t>
      </w:r>
      <w:r w:rsidRPr="00A64086">
        <w:rPr>
          <w:rStyle w:val="eop"/>
          <w:rFonts w:ascii="Lexend Deca Light" w:hAnsi="Lexend Deca Light"/>
          <w:color w:val="2E2726"/>
          <w:sz w:val="22"/>
          <w:szCs w:val="22"/>
          <w:shd w:val="clear" w:color="auto" w:fill="FFFFFF"/>
        </w:rPr>
        <w:t> </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[8.3] Evaluating the trust dividend requires steps the current school-based framework does not deliver. It means assessing the contribution of all four dimensions of trust governance (see </w:t>
      </w:r>
      <w:r>
        <w:fldChar w:fldCharType="begin"/>
      </w:r>
      <w:r>
        <w:instrText xml:space="preserve"> HYPERLINK "https://www.nga.org.uk/knowledge-centre/governing-in-4d/" \t "_blank" </w:instrText>
      </w:r>
      <w:r>
        <w:fldChar w:fldCharType="separate"/>
      </w:r>
      <w:r w:rsidRPr="00A64086">
        <w:rPr>
          <w:rStyle w:val="normaltextrun"/>
          <w:rFonts w:ascii="Lexend Deca Light" w:hAnsi="Lexend Deca Light" w:cs="Segoe UI"/>
          <w:color w:val="467886"/>
          <w:sz w:val="22"/>
          <w:szCs w:val="22"/>
          <w:u w:val="single"/>
          <w:shd w:val="clear" w:color="auto" w:fill="FFFFFF"/>
          <w:lang w:val="en-US"/>
        </w:rPr>
        <w:t>Governing in 4D</w:t>
      </w:r>
      <w:r>
        <w:fldChar w:fldCharType="end"/>
      </w:r>
      <w:r w:rsidRPr="00A64086">
        <w:rPr>
          <w:rStyle w:val="normaltextrun"/>
          <w:rFonts w:ascii="Lexend Deca Light" w:hAnsi="Lexend Deca Light"/>
          <w:color w:val="2E2726"/>
          <w:sz w:val="22"/>
          <w:szCs w:val="22"/>
          <w:shd w:val="clear" w:color="auto" w:fill="FFFFFF"/>
          <w:lang w:val="en-US"/>
        </w:rPr>
        <w:t xml:space="preserve">) </w:t>
      </w:r>
      <w:r w:rsidRPr="00A64086">
        <w:rPr>
          <w:rFonts w:ascii="Lexend Deca Light" w:eastAsia="Times New Roman" w:hAnsi="Lexend Deca Light" w:cs="Times New Roman"/>
          <w:kern w:val="0"/>
          <w:sz w:val="22"/>
          <w:szCs w:val="22"/>
          <w:lang w:eastAsia="en-GB"/>
        </w:rPr>
        <w:t>fully contextualising school-level evidence; avoiding disincentives to take on struggling schools; and building specialist capacity with trust experts. Outcomes must be transparent, and next steps proportionate and sensitive to workload.</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[8.4] </w:t>
      </w:r>
      <w:r w:rsidRPr="00A64086">
        <w:rPr>
          <w:rFonts w:ascii="Lexend Deca Light" w:eastAsia="Times New Roman" w:hAnsi="Lexend Deca Light" w:cs="Times New Roman"/>
          <w:kern w:val="0"/>
          <w:sz w:val="22"/>
          <w:szCs w:val="22"/>
          <w:lang w:eastAsia="en-GB"/>
        </w:rPr>
        <w:t>NGA</w:t>
      </w:r>
      <w:r w:rsidRPr="00A64086">
        <w:rPr>
          <w:rFonts w:ascii="Lexend Deca Light" w:eastAsia="Times New Roman" w:hAnsi="Lexend Deca Light" w:cs="Times New Roman"/>
          <w:kern w:val="0"/>
          <w:sz w:val="22"/>
          <w:szCs w:val="22"/>
          <w:lang w:eastAsia="en-GB"/>
        </w:rPr>
        <w:t xml:space="preserve"> has also long</w:t>
      </w:r>
      <w:r w:rsidRPr="00A64086">
        <w:rPr>
          <w:rFonts w:ascii="Lexend Deca Light" w:eastAsia="Times New Roman" w:hAnsi="Lexend Deca Light" w:cs="Times New Roman"/>
          <w:kern w:val="0"/>
          <w:sz w:val="22"/>
          <w:szCs w:val="22"/>
          <w:lang w:eastAsia="en-GB"/>
        </w:rPr>
        <w:t xml:space="preserve"> call</w:t>
      </w:r>
      <w:r w:rsidRPr="00A64086">
        <w:rPr>
          <w:rFonts w:ascii="Lexend Deca Light" w:eastAsia="Times New Roman" w:hAnsi="Lexend Deca Light" w:cs="Times New Roman"/>
          <w:kern w:val="0"/>
          <w:sz w:val="22"/>
          <w:szCs w:val="22"/>
          <w:lang w:eastAsia="en-GB"/>
        </w:rPr>
        <w:t>ed for more intelligent forms of accountability. The white paper touche</w:t>
      </w:r>
      <w:r w:rsidRPr="00A64086">
        <w:rPr>
          <w:rFonts w:ascii="Lexend Deca Light" w:eastAsia="Times New Roman" w:hAnsi="Lexend Deca Light" w:cs="Times New Roman"/>
          <w:kern w:val="0"/>
          <w:sz w:val="22"/>
          <w:szCs w:val="22"/>
          <w:lang w:eastAsia="en-GB"/>
        </w:rPr>
        <w:t>s</w:t>
      </w:r>
      <w:r w:rsidRPr="00A64086">
        <w:rPr>
          <w:rFonts w:ascii="Lexend Deca Light" w:eastAsia="Times New Roman" w:hAnsi="Lexend Deca Light" w:cs="Times New Roman"/>
          <w:kern w:val="0"/>
          <w:sz w:val="22"/>
          <w:szCs w:val="22"/>
          <w:lang w:eastAsia="en-GB"/>
        </w:rPr>
        <w:t xml:space="preserve"> on this through its community anchoring narrativ</w:t>
      </w:r>
      <w:r w:rsidRPr="00A64086">
        <w:rPr>
          <w:rFonts w:ascii="Lexend Deca Light" w:eastAsia="Times New Roman" w:hAnsi="Lexend Deca Light" w:cs="Times New Roman"/>
          <w:kern w:val="0"/>
          <w:sz w:val="22"/>
          <w:szCs w:val="22"/>
          <w:lang w:eastAsia="en-GB"/>
        </w:rPr>
        <w:t>e a</w:t>
      </w:r>
      <w:r w:rsidRPr="00A64086">
        <w:rPr>
          <w:rFonts w:ascii="Lexend Deca Light" w:hAnsi="Lexend Deca Light"/>
          <w:sz w:val="22"/>
          <w:szCs w:val="22"/>
        </w:rPr>
        <w:t xml:space="preserve">nd the governmental </w:t>
      </w:r>
      <w:r w:rsidRPr="00A64086">
        <w:rPr>
          <w:rFonts w:ascii="Lexend Deca Light" w:hAnsi="Lexend Deca Light"/>
          <w:sz w:val="22"/>
          <w:szCs w:val="22"/>
        </w:rPr>
        <w:t>shift is</w:t>
      </w:r>
      <w:r w:rsidRPr="00A64086">
        <w:rPr>
          <w:rFonts w:ascii="Lexend Deca Light" w:hAnsi="Lexend Deca Light"/>
          <w:sz w:val="22"/>
          <w:szCs w:val="22"/>
        </w:rPr>
        <w:t xml:space="preserve"> an opportunity to push past the boundaries it set for </w:t>
      </w:r>
      <w:r w:rsidRPr="00A64086">
        <w:rPr>
          <w:rFonts w:ascii="Lexend Deca Light" w:hAnsi="Lexend Deca Light"/>
          <w:sz w:val="22"/>
          <w:szCs w:val="22"/>
        </w:rPr>
        <w:t>itself.</w:t>
      </w:r>
      <w:r w:rsidRPr="00A64086">
        <w:rPr>
          <w:rFonts w:ascii="Lexend Deca Light" w:eastAsia="Times New Roman" w:hAnsi="Lexend Deca Light" w:cs="Times New Roman"/>
          <w:kern w:val="0"/>
          <w:sz w:val="22"/>
          <w:szCs w:val="22"/>
          <w:lang w:eastAsia="en-GB"/>
        </w:rPr>
        <w:t xml:space="preserve"> The </w:t>
      </w:r>
      <w:r>
        <w:fldChar w:fldCharType="begin"/>
      </w:r>
      <w:r>
        <w:instrText xml:space="preserve"> HYPERLINK "https://media.cfyl.org.uk/6a4f7930dab7f24ca79172be_a-new-settlement-for-education-final-pdf.pdf" </w:instrText>
      </w:r>
      <w:r>
        <w:fldChar w:fldCharType="separate"/>
      </w:r>
      <w:r w:rsidRPr="00A64086">
        <w:rPr>
          <w:rStyle w:val="Hyperlink"/>
          <w:rFonts w:ascii="Lexend Deca Light" w:eastAsia="Times New Roman" w:hAnsi="Lexend Deca Light" w:cs="Times New Roman"/>
          <w:kern w:val="0"/>
          <w:sz w:val="22"/>
          <w:szCs w:val="22"/>
          <w:lang w:eastAsia="en-GB"/>
        </w:rPr>
        <w:t>Jonny Uttley report</w:t>
      </w:r>
      <w:r>
        <w:fldChar w:fldCharType="end"/>
      </w:r>
      <w:r w:rsidRPr="00A64086">
        <w:rPr>
          <w:rFonts w:ascii="Lexend Deca Light" w:eastAsia="Times New Roman" w:hAnsi="Lexend Deca Light" w:cs="Times New Roman"/>
          <w:kern w:val="0"/>
          <w:sz w:val="22"/>
          <w:szCs w:val="22"/>
          <w:lang w:eastAsia="en-GB"/>
        </w:rPr>
        <w:t xml:space="preserve"> proposal for </w:t>
      </w:r>
      <w:r w:rsidRPr="00A64086">
        <w:rPr>
          <w:rFonts w:ascii="Lexend Deca Light" w:hAnsi="Lexend Deca Light"/>
          <w:sz w:val="22"/>
          <w:szCs w:val="22"/>
        </w:rPr>
        <w:t xml:space="preserve">a new settlement built around place-based partnerships would bring together trusts, schools, colleges, employers, local authorities, health services and regional government around shared outcomes for children and young people. </w:t>
      </w:r>
      <w:r w:rsidRPr="00A64086">
        <w:rPr>
          <w:rFonts w:ascii="Lexend Deca Light" w:hAnsi="Lexend Deca Light"/>
          <w:sz w:val="22"/>
          <w:szCs w:val="22"/>
        </w:rPr>
        <w:t>No trust, however capable, can deliver this alone, and the incentives still push them towards competition and institutional profile rather than collective contribution. The system needs a departure from market metrics towards machinery that allows communities to thrive. That means aligning place, accountability and curriculum around schools acting as civic partners in building prosperous communities.</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[9] Workforce: recruitment and retention</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[9.1] Successive governments' workforce policies have failed to address long-standing structural challenges. We have proposed long-term, sector-wide people strategies to tackle the most entrenched of them. Without that, there are profound questions about whether the sector has the capacity to deliver the white paper's ambitions, however worthy they are.</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[9.2] Schools have struggled with recruitment for years, with multiple governments missing teacher training targets. Attracting high-quality teaching staff was a top ten challenge for boards in our annual governance survey 2025. Future targets must be set alongside pupil number </w:t>
      </w:r>
      <w:r w:rsidRPr="00A64086">
        <w:rPr>
          <w:rFonts w:ascii="Lexend Deca Light" w:eastAsia="Times New Roman" w:hAnsi="Lexend Deca Light" w:cs="Times New Roman"/>
          <w:kern w:val="0"/>
          <w:sz w:val="22"/>
          <w:szCs w:val="22"/>
          <w:lang w:eastAsia="en-GB"/>
        </w:rPr>
        <w:t>forecasts,</w:t>
      </w:r>
      <w:r w:rsidRPr="00A64086">
        <w:rPr>
          <w:rFonts w:ascii="Lexend Deca Light" w:eastAsia="Times New Roman" w:hAnsi="Lexend Deca Light" w:cs="Times New Roman"/>
          <w:kern w:val="0"/>
          <w:sz w:val="22"/>
          <w:szCs w:val="22"/>
          <w:lang w:eastAsia="en-GB"/>
        </w:rPr>
        <w:t xml:space="preserve"> so plans reflect long-term need</w:t>
      </w:r>
      <w:r w:rsidRPr="00A64086">
        <w:rPr>
          <w:rFonts w:ascii="Lexend Deca Light" w:eastAsia="Times New Roman" w:hAnsi="Lexend Deca Light" w:cs="Times New Roman"/>
          <w:kern w:val="0"/>
          <w:sz w:val="22"/>
          <w:szCs w:val="22"/>
          <w:lang w:eastAsia="en-GB"/>
        </w:rPr>
        <w:t xml:space="preserve"> and not rest on dominating narratives. </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[9.3] Retention will not improve without addressing workload, consistently cited as the main reason teachers leave. Managing workload and wellbeing was identified by 51% of boards as one of the most significant causes of recruitment and retention difficulty in our 2025 survey, up from 33% in 2024.</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[10] Workforce: workload and wellbeing</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[10.1] Reducing workload has been </w:t>
      </w:r>
      <w:r w:rsidRPr="00A64086">
        <w:rPr>
          <w:rFonts w:ascii="Lexend Deca Light" w:eastAsia="Times New Roman" w:hAnsi="Lexend Deca Light" w:cs="Times New Roman"/>
          <w:kern w:val="0"/>
          <w:sz w:val="22"/>
          <w:szCs w:val="22"/>
          <w:lang w:eastAsia="en-GB"/>
        </w:rPr>
        <w:t xml:space="preserve">the </w:t>
      </w:r>
      <w:r w:rsidRPr="00A64086">
        <w:rPr>
          <w:rFonts w:ascii="Lexend Deca Light" w:eastAsia="Times New Roman" w:hAnsi="Lexend Deca Light" w:cs="Times New Roman"/>
          <w:kern w:val="0"/>
          <w:sz w:val="22"/>
          <w:szCs w:val="22"/>
          <w:lang w:eastAsia="en-GB"/>
        </w:rPr>
        <w:t>top staffing-specific challenge in our annual survey in 2023, 2024 and 2025, cited by 64% in the latter.</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[10.2] NGA welcomes proposals on flexible working, peer support, improved maternity pay and conditions, and the drive to make teaching more inclusive. These are positive measures.</w:t>
      </w:r>
      <w:r w:rsidRPr="00A64086">
        <w:rPr>
          <w:rFonts w:ascii="Lexend Deca Light" w:eastAsia="Times New Roman" w:hAnsi="Lexend Deca Light" w:cs="Times New Roman"/>
          <w:kern w:val="0"/>
          <w:sz w:val="22"/>
          <w:szCs w:val="22"/>
          <w:lang w:eastAsia="en-GB"/>
        </w:rPr>
        <w:t xml:space="preserve"> But there is often a cultural issue at play, where long standing school practice has led to flexible workings requests being met with no as a default. Governing boards often report to us that shifting mindsets of executive leaders in this respect is challenging. </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[10.3] </w:t>
      </w:r>
      <w:r w:rsidRPr="00A64086">
        <w:rPr>
          <w:rFonts w:ascii="Lexend Deca Light" w:eastAsia="Times New Roman" w:hAnsi="Lexend Deca Light" w:cs="Times New Roman"/>
          <w:kern w:val="0"/>
          <w:sz w:val="22"/>
          <w:szCs w:val="22"/>
          <w:lang w:eastAsia="en-GB"/>
        </w:rPr>
        <w:t>E</w:t>
      </w:r>
      <w:r w:rsidRPr="00A64086">
        <w:rPr>
          <w:rFonts w:ascii="Lexend Deca Light" w:eastAsia="Times New Roman" w:hAnsi="Lexend Deca Light" w:cs="Times New Roman"/>
          <w:kern w:val="0"/>
          <w:sz w:val="22"/>
          <w:szCs w:val="22"/>
          <w:lang w:eastAsia="en-GB"/>
        </w:rPr>
        <w:t>ntrenched workload pressur</w:t>
      </w:r>
      <w:r w:rsidRPr="00A64086">
        <w:rPr>
          <w:rFonts w:ascii="Lexend Deca Light" w:eastAsia="Times New Roman" w:hAnsi="Lexend Deca Light" w:cs="Times New Roman"/>
          <w:kern w:val="0"/>
          <w:sz w:val="22"/>
          <w:szCs w:val="22"/>
          <w:lang w:eastAsia="en-GB"/>
        </w:rPr>
        <w:t xml:space="preserve">es are further enforced </w:t>
      </w:r>
      <w:r w:rsidRPr="00A64086">
        <w:rPr>
          <w:rFonts w:ascii="Lexend Deca Light" w:eastAsia="Times New Roman" w:hAnsi="Lexend Deca Light" w:cs="Times New Roman"/>
          <w:kern w:val="0"/>
          <w:sz w:val="22"/>
          <w:szCs w:val="22"/>
          <w:lang w:eastAsia="en-GB"/>
        </w:rPr>
        <w:t>by expanding</w:t>
      </w:r>
      <w:r w:rsidRPr="00A64086">
        <w:rPr>
          <w:rFonts w:ascii="Lexend Deca Light" w:eastAsia="Times New Roman" w:hAnsi="Lexend Deca Light" w:cs="Times New Roman"/>
          <w:kern w:val="0"/>
          <w:sz w:val="22"/>
          <w:szCs w:val="22"/>
          <w:lang w:eastAsia="en-GB"/>
        </w:rPr>
        <w:t xml:space="preserve"> administrative expectations and schools' growing status as a 'fourth emergency service', absorbing responsibility for young people and families well beyond education. Technology and AI may ease some of it; the </w:t>
      </w:r>
      <w:r w:rsidRPr="00A64086">
        <w:rPr>
          <w:rFonts w:ascii="Lexend Deca Light" w:eastAsia="Times New Roman" w:hAnsi="Lexend Deca Light" w:cs="Times New Roman"/>
          <w:kern w:val="0"/>
          <w:sz w:val="22"/>
          <w:szCs w:val="22"/>
          <w:lang w:eastAsia="en-GB"/>
        </w:rPr>
        <w:t xml:space="preserve">evidence is not yet there. Boards are alert to a risk the white paper does not </w:t>
      </w:r>
      <w:r w:rsidRPr="00A64086">
        <w:rPr>
          <w:rFonts w:ascii="Lexend Deca Light" w:eastAsia="Times New Roman" w:hAnsi="Lexend Deca Light" w:cs="Times New Roman"/>
          <w:kern w:val="0"/>
          <w:sz w:val="22"/>
          <w:szCs w:val="22"/>
          <w:lang w:eastAsia="en-GB"/>
        </w:rPr>
        <w:t>address</w:t>
      </w:r>
      <w:r w:rsidRPr="00A64086">
        <w:rPr>
          <w:rFonts w:ascii="Lexend Deca Light" w:eastAsia="Times New Roman" w:hAnsi="Lexend Deca Light" w:cs="Times New Roman"/>
          <w:kern w:val="0"/>
          <w:sz w:val="22"/>
          <w:szCs w:val="22"/>
          <w:lang w:eastAsia="en-GB"/>
        </w:rPr>
        <w:t xml:space="preserve"> where schools cannot keep pace with AI, the gap between pupils' lives and their education will widen, with consequences for engagement and attendance.</w:t>
      </w: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[11] Workforce: pay and professional development</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[11.1] Changes to maternity pay and conditions are a welcome reform. The School Support Staff Negotiating Body is a significant step in recognising the value of support staff and the need to remunerate and develop them properly. In our annual surveys, teaching and support staff posts are cited as equally the hardest to recruit and retain.</w:t>
      </w:r>
    </w:p>
    <w:p w:rsidR="00877F25" w:rsidRPr="00A64086" w:rsidP="00CB60FF">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[11.2] Pay was the third top staffing challenge identified by boards (35%). This is why NGA argues for a long-term strategy defining aspirational pay levels that are realistic but ambitious enough to make teaching competitive. </w:t>
      </w:r>
    </w:p>
    <w:p w:rsidR="00877F25" w:rsidP="004B08D4">
      <w:pPr>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[11.3] We </w:t>
      </w:r>
      <w:r w:rsidRPr="00A64086">
        <w:rPr>
          <w:rFonts w:ascii="Lexend Deca Light" w:hAnsi="Lexend Deca Light"/>
          <w:sz w:val="22"/>
          <w:szCs w:val="22"/>
          <w:lang w:eastAsia="en-GB"/>
        </w:rPr>
        <w:t>are pleased to see the government approaching new measures to tackle excessive executive pay. B</w:t>
      </w:r>
      <w:r w:rsidRPr="00A64086">
        <w:rPr>
          <w:rFonts w:ascii="Lexend Deca Light" w:hAnsi="Lexend Deca Light"/>
          <w:sz w:val="22"/>
          <w:szCs w:val="22"/>
        </w:rPr>
        <w:t xml:space="preserve">oards want to make the right decisions to reward and retain the leaders they value </w:t>
      </w:r>
      <w:r w:rsidRPr="00A64086">
        <w:rPr>
          <w:rFonts w:ascii="Lexend Deca Light" w:hAnsi="Lexend Deca Light"/>
          <w:sz w:val="22"/>
          <w:szCs w:val="22"/>
        </w:rPr>
        <w:t>while being</w:t>
      </w:r>
      <w:r w:rsidRPr="00A64086">
        <w:rPr>
          <w:rFonts w:ascii="Lexend Deca Light" w:hAnsi="Lexend Deca Light"/>
          <w:sz w:val="22"/>
          <w:szCs w:val="22"/>
        </w:rPr>
        <w:t xml:space="preserve"> “proportionate and justifiable”. But they have been forced</w:t>
      </w:r>
      <w:r w:rsidRPr="00A64086">
        <w:rPr>
          <w:rFonts w:ascii="Lexend Deca Light" w:hAnsi="Lexend Deca Light"/>
          <w:sz w:val="22"/>
          <w:szCs w:val="22"/>
        </w:rPr>
        <w:t xml:space="preserve"> to do this in a vacuum, with no centralised framework and a handful of excessive awards which distort expectations and benchmarking. </w:t>
      </w:r>
      <w:r w:rsidRPr="00A64086">
        <w:rPr>
          <w:rFonts w:ascii="Lexend Deca Light" w:hAnsi="Lexend Deca Light"/>
          <w:color w:val="374151"/>
          <w:sz w:val="22"/>
          <w:szCs w:val="22"/>
        </w:rPr>
        <w:t>We are keen to see the Department go further with a banded framework for executive roles which considers trust size, geography and other relevant factors.</w:t>
      </w:r>
    </w:p>
    <w:p w:rsidR="00877F25" w:rsidRPr="00A64086" w:rsidP="004B08D4">
      <w:pPr>
        <w:rPr>
          <w:rFonts w:ascii="Lexend Deca Light" w:eastAsia="Times New Roman" w:hAnsi="Lexend Deca Light" w:cs="Times New Roman"/>
          <w:kern w:val="0"/>
          <w:sz w:val="22"/>
          <w:szCs w:val="22"/>
          <w:lang w:eastAsia="en-GB"/>
        </w:rPr>
      </w:pPr>
    </w:p>
    <w:p w:rsidR="00877F25" w:rsidRPr="004B08D4" w:rsidP="007403AB">
      <w:pPr>
        <w:spacing w:before="100" w:beforeAutospacing="1" w:after="100" w:afterAutospacing="1"/>
        <w:rPr>
          <w:rFonts w:ascii="Lexend Deca Light" w:eastAsia="Times New Roman" w:hAnsi="Lexend Deca Light" w:cs="Times New Roman"/>
          <w:b/>
          <w:bCs/>
          <w:kern w:val="0"/>
          <w:sz w:val="22"/>
          <w:szCs w:val="22"/>
          <w:lang w:eastAsia="en-GB"/>
        </w:rPr>
      </w:pPr>
      <w:r w:rsidRPr="004B08D4">
        <w:rPr>
          <w:rFonts w:ascii="Lexend Deca Light" w:eastAsia="Times New Roman" w:hAnsi="Lexend Deca Light" w:cs="Times New Roman"/>
          <w:b/>
          <w:bCs/>
          <w:kern w:val="0"/>
          <w:sz w:val="22"/>
          <w:szCs w:val="22"/>
          <w:lang w:eastAsia="en-GB"/>
        </w:rPr>
        <w:t>[12] Conclusion</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[12.1] The task now falling to a new government is to </w:t>
      </w:r>
      <w:r w:rsidRPr="00A64086">
        <w:rPr>
          <w:rFonts w:ascii="Lexend Deca Light" w:eastAsia="Times New Roman" w:hAnsi="Lexend Deca Light" w:cs="Times New Roman"/>
          <w:kern w:val="0"/>
          <w:sz w:val="22"/>
          <w:szCs w:val="22"/>
          <w:lang w:eastAsia="en-GB"/>
        </w:rPr>
        <w:t xml:space="preserve">evolve the white papers intent rather than </w:t>
      </w:r>
      <w:r w:rsidRPr="00A64086">
        <w:rPr>
          <w:rFonts w:ascii="Lexend Deca Light" w:eastAsia="Times New Roman" w:hAnsi="Lexend Deca Light" w:cs="Times New Roman"/>
          <w:kern w:val="0"/>
          <w:sz w:val="22"/>
          <w:szCs w:val="22"/>
          <w:lang w:eastAsia="en-GB"/>
        </w:rPr>
        <w:t xml:space="preserve">start again. Reform must be coherent </w:t>
      </w:r>
      <w:r w:rsidRPr="00A64086">
        <w:rPr>
          <w:rFonts w:ascii="Lexend Deca Light" w:eastAsia="Times New Roman" w:hAnsi="Lexend Deca Light" w:cs="Times New Roman"/>
          <w:kern w:val="0"/>
          <w:sz w:val="22"/>
          <w:szCs w:val="22"/>
          <w:lang w:eastAsia="en-GB"/>
        </w:rPr>
        <w:t xml:space="preserve">and </w:t>
      </w:r>
      <w:r w:rsidRPr="00A64086">
        <w:rPr>
          <w:rFonts w:ascii="Lexend Deca Light" w:eastAsia="Times New Roman" w:hAnsi="Lexend Deca Light" w:cs="Times New Roman"/>
          <w:kern w:val="0"/>
          <w:sz w:val="22"/>
          <w:szCs w:val="22"/>
          <w:lang w:eastAsia="en-GB"/>
        </w:rPr>
        <w:t xml:space="preserve">resourced. The system has absorbed </w:t>
      </w:r>
      <w:r w:rsidRPr="00A64086">
        <w:rPr>
          <w:rFonts w:ascii="Lexend Deca Light" w:eastAsia="Times New Roman" w:hAnsi="Lexend Deca Light" w:cs="Times New Roman"/>
          <w:kern w:val="0"/>
          <w:sz w:val="22"/>
          <w:szCs w:val="22"/>
          <w:lang w:eastAsia="en-GB"/>
        </w:rPr>
        <w:t>decades</w:t>
      </w:r>
      <w:r w:rsidRPr="00A64086">
        <w:rPr>
          <w:rFonts w:ascii="Lexend Deca Light" w:eastAsia="Times New Roman" w:hAnsi="Lexend Deca Light" w:cs="Times New Roman"/>
          <w:kern w:val="0"/>
          <w:sz w:val="22"/>
          <w:szCs w:val="22"/>
          <w:lang w:eastAsia="en-GB"/>
        </w:rPr>
        <w:t xml:space="preserve"> of institution-level improvement policy; the outstanding problems — persistent absence, SEND, youth mental health, child poverty, NEET numbers — are not institution-level problems and will not </w:t>
      </w:r>
      <w:r w:rsidRPr="00A64086">
        <w:rPr>
          <w:rFonts w:ascii="Lexend Deca Light" w:eastAsia="Times New Roman" w:hAnsi="Lexend Deca Light" w:cs="Times New Roman"/>
          <w:kern w:val="0"/>
          <w:sz w:val="22"/>
          <w:szCs w:val="22"/>
          <w:lang w:eastAsia="en-GB"/>
        </w:rPr>
        <w:t>be fixed through</w:t>
      </w:r>
      <w:r w:rsidRPr="00A64086">
        <w:rPr>
          <w:rFonts w:ascii="Lexend Deca Light" w:eastAsia="Times New Roman" w:hAnsi="Lexend Deca Light" w:cs="Times New Roman"/>
          <w:kern w:val="0"/>
          <w:sz w:val="22"/>
          <w:szCs w:val="22"/>
          <w:lang w:eastAsia="en-GB"/>
        </w:rPr>
        <w:t xml:space="preserve"> institution-level solutions.</w:t>
      </w:r>
    </w:p>
    <w:p w:rsidR="00877F25"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 xml:space="preserve">[12.2] That is why we </w:t>
      </w:r>
      <w:r w:rsidRPr="00A64086">
        <w:rPr>
          <w:rFonts w:ascii="Lexend Deca Light" w:eastAsia="Times New Roman" w:hAnsi="Lexend Deca Light" w:cs="Times New Roman"/>
          <w:kern w:val="0"/>
          <w:sz w:val="22"/>
          <w:szCs w:val="22"/>
          <w:lang w:eastAsia="en-GB"/>
        </w:rPr>
        <w:t xml:space="preserve">conclude it is </w:t>
      </w:r>
      <w:r w:rsidRPr="00A64086">
        <w:rPr>
          <w:rFonts w:ascii="Lexend Deca Light" w:eastAsia="Times New Roman" w:hAnsi="Lexend Deca Light" w:cs="Times New Roman"/>
          <w:kern w:val="0"/>
          <w:sz w:val="22"/>
          <w:szCs w:val="22"/>
          <w:lang w:eastAsia="en-GB"/>
        </w:rPr>
        <w:t>not enough to describe schools as anchor institutions while measuring</w:t>
      </w:r>
      <w:r w:rsidRPr="00A64086">
        <w:rPr>
          <w:rFonts w:ascii="Lexend Deca Light" w:eastAsia="Times New Roman" w:hAnsi="Lexend Deca Light" w:cs="Times New Roman"/>
          <w:kern w:val="0"/>
          <w:sz w:val="22"/>
          <w:szCs w:val="22"/>
          <w:lang w:eastAsia="en-GB"/>
        </w:rPr>
        <w:t xml:space="preserve"> or indeed promoting</w:t>
      </w:r>
      <w:r w:rsidRPr="00A64086">
        <w:rPr>
          <w:rFonts w:ascii="Lexend Deca Light" w:eastAsia="Times New Roman" w:hAnsi="Lexend Deca Light" w:cs="Times New Roman"/>
          <w:kern w:val="0"/>
          <w:sz w:val="22"/>
          <w:szCs w:val="22"/>
          <w:lang w:eastAsia="en-GB"/>
        </w:rPr>
        <w:t xml:space="preserve"> them as competitors. It is not enough to ask for multi-agency working while holding only one agency to account. The place-based settlement now being discussed is the right destination, and </w:t>
      </w:r>
      <w:r w:rsidRPr="00A64086">
        <w:rPr>
          <w:rFonts w:ascii="Lexend Deca Light" w:eastAsia="Times New Roman" w:hAnsi="Lexend Deca Light" w:cs="Times New Roman"/>
          <w:kern w:val="0"/>
          <w:sz w:val="22"/>
          <w:szCs w:val="22"/>
          <w:lang w:eastAsia="en-GB"/>
        </w:rPr>
        <w:t xml:space="preserve">locally influenced </w:t>
      </w:r>
      <w:r w:rsidRPr="00A64086">
        <w:rPr>
          <w:rFonts w:ascii="Lexend Deca Light" w:eastAsia="Times New Roman" w:hAnsi="Lexend Deca Light" w:cs="Times New Roman"/>
          <w:kern w:val="0"/>
          <w:sz w:val="22"/>
          <w:szCs w:val="22"/>
          <w:lang w:eastAsia="en-GB"/>
        </w:rPr>
        <w:t>governance is how the system gets there</w:t>
      </w:r>
      <w:r w:rsidRPr="00A64086">
        <w:rPr>
          <w:rFonts w:ascii="Lexend Deca Light" w:eastAsia="Times New Roman" w:hAnsi="Lexend Deca Light" w:cs="Times New Roman"/>
          <w:kern w:val="0"/>
          <w:sz w:val="22"/>
          <w:szCs w:val="22"/>
          <w:lang w:eastAsia="en-GB"/>
        </w:rPr>
        <w:t xml:space="preserve">. </w:t>
      </w:r>
      <w:r w:rsidRPr="00A64086">
        <w:rPr>
          <w:rFonts w:ascii="Lexend Deca Light" w:eastAsia="Times New Roman" w:hAnsi="Lexend Deca Light" w:cs="Times New Roman"/>
          <w:kern w:val="0"/>
          <w:sz w:val="22"/>
          <w:szCs w:val="22"/>
          <w:lang w:eastAsia="en-GB"/>
        </w:rPr>
        <w:t xml:space="preserve">230,000 volunteers already sitting in every community in England, holding legal responsibility, answerable to local people, and asking on their behalf whether the arrangement in front of them </w:t>
      </w:r>
      <w:r w:rsidRPr="00A64086">
        <w:rPr>
          <w:rFonts w:ascii="Lexend Deca Light" w:eastAsia="Times New Roman" w:hAnsi="Lexend Deca Light" w:cs="Times New Roman"/>
          <w:kern w:val="0"/>
          <w:sz w:val="22"/>
          <w:szCs w:val="22"/>
          <w:lang w:eastAsia="en-GB"/>
        </w:rPr>
        <w:t>works</w:t>
      </w:r>
      <w:r w:rsidRPr="00A64086">
        <w:rPr>
          <w:rFonts w:ascii="Lexend Deca Light" w:eastAsia="Times New Roman" w:hAnsi="Lexend Deca Light" w:cs="Times New Roman"/>
          <w:kern w:val="0"/>
          <w:sz w:val="22"/>
          <w:szCs w:val="22"/>
          <w:lang w:eastAsia="en-GB"/>
        </w:rPr>
        <w:t xml:space="preserve"> for every child.</w:t>
      </w:r>
    </w:p>
    <w:p w:rsidR="00026B6B" w:rsidRPr="00026B6B" w:rsidP="007403AB">
      <w:pPr>
        <w:spacing w:before="100" w:beforeAutospacing="1" w:after="100" w:afterAutospacing="1"/>
        <w:rPr>
          <w:rFonts w:ascii="Lexend Deca Light" w:eastAsia="Times New Roman" w:hAnsi="Lexend Deca Light" w:cs="Times New Roman"/>
          <w:i/>
          <w:iCs/>
          <w:kern w:val="0"/>
          <w:sz w:val="22"/>
          <w:szCs w:val="22"/>
          <w:lang w:eastAsia="en-GB"/>
        </w:rPr>
      </w:pPr>
      <w:r w:rsidRPr="00026B6B">
        <w:rPr>
          <w:rFonts w:ascii="Lexend Deca Light" w:eastAsia="Times New Roman" w:hAnsi="Lexend Deca Light" w:cs="Times New Roman"/>
          <w:i/>
          <w:iCs/>
          <w:kern w:val="0"/>
          <w:sz w:val="22"/>
          <w:szCs w:val="22"/>
          <w:lang w:eastAsia="en-GB"/>
        </w:rPr>
        <w:t>September 2026</w:t>
      </w:r>
    </w:p>
    <w:p w:rsidR="00877F25" w:rsidRPr="00A64086" w:rsidP="007403AB">
      <w:pPr>
        <w:spacing w:before="100" w:beforeAutospacing="1" w:after="100" w:afterAutospacing="1"/>
        <w:rPr>
          <w:rFonts w:ascii="Lexend Deca Light" w:eastAsia="Times New Roman" w:hAnsi="Lexend Deca Light" w:cs="Times New Roman"/>
          <w:kern w:val="0"/>
          <w:sz w:val="22"/>
          <w:szCs w:val="22"/>
          <w:lang w:eastAsia="en-GB"/>
        </w:rPr>
      </w:pPr>
      <w:r w:rsidRPr="00A64086">
        <w:rPr>
          <w:rFonts w:ascii="Lexend Deca Light" w:eastAsia="Times New Roman" w:hAnsi="Lexend Deca Light" w:cs="Times New Roman"/>
          <w:kern w:val="0"/>
          <w:sz w:val="22"/>
          <w:szCs w:val="22"/>
          <w:lang w:eastAsia="en-GB"/>
        </w:rPr>
        <w:t>.</w:t>
      </w:r>
    </w:p>
    <w:p w:rsidR="00877F25" w:rsidRPr="00A64086">
      <w:pPr>
        <w:rPr>
          <w:rFonts w:ascii="Lexend Deca Light" w:hAnsi="Lexend Deca Light"/>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exend Deca Light">
    <w:altName w:val="Calibri"/>
    <w:charset w:val="4D"/>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403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03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03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3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3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3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3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3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3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3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03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03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3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3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3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3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3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3AB"/>
    <w:rPr>
      <w:rFonts w:eastAsiaTheme="majorEastAsia" w:cstheme="majorBidi"/>
      <w:color w:val="272727" w:themeColor="text1" w:themeTint="D8"/>
    </w:rPr>
  </w:style>
  <w:style w:type="paragraph" w:styleId="Title">
    <w:name w:val="Title"/>
    <w:basedOn w:val="Normal"/>
    <w:next w:val="Normal"/>
    <w:link w:val="TitleChar"/>
    <w:uiPriority w:val="10"/>
    <w:qFormat/>
    <w:rsid w:val="007403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3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3A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3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3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03AB"/>
    <w:rPr>
      <w:i/>
      <w:iCs/>
      <w:color w:val="404040" w:themeColor="text1" w:themeTint="BF"/>
    </w:rPr>
  </w:style>
  <w:style w:type="paragraph" w:styleId="ListParagraph">
    <w:name w:val="List Paragraph"/>
    <w:basedOn w:val="Normal"/>
    <w:uiPriority w:val="34"/>
    <w:qFormat/>
    <w:rsid w:val="007403AB"/>
    <w:pPr>
      <w:ind w:left="720"/>
      <w:contextualSpacing/>
    </w:pPr>
  </w:style>
  <w:style w:type="character" w:styleId="IntenseEmphasis">
    <w:name w:val="Intense Emphasis"/>
    <w:basedOn w:val="DefaultParagraphFont"/>
    <w:uiPriority w:val="21"/>
    <w:qFormat/>
    <w:rsid w:val="007403AB"/>
    <w:rPr>
      <w:i/>
      <w:iCs/>
      <w:color w:val="0F4761" w:themeColor="accent1" w:themeShade="BF"/>
    </w:rPr>
  </w:style>
  <w:style w:type="paragraph" w:styleId="IntenseQuote">
    <w:name w:val="Intense Quote"/>
    <w:basedOn w:val="Normal"/>
    <w:next w:val="Normal"/>
    <w:link w:val="IntenseQuoteChar"/>
    <w:uiPriority w:val="30"/>
    <w:qFormat/>
    <w:rsid w:val="007403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3AB"/>
    <w:rPr>
      <w:i/>
      <w:iCs/>
      <w:color w:val="0F4761" w:themeColor="accent1" w:themeShade="BF"/>
    </w:rPr>
  </w:style>
  <w:style w:type="character" w:styleId="IntenseReference">
    <w:name w:val="Intense Reference"/>
    <w:basedOn w:val="DefaultParagraphFont"/>
    <w:uiPriority w:val="32"/>
    <w:qFormat/>
    <w:rsid w:val="007403AB"/>
    <w:rPr>
      <w:b/>
      <w:bCs/>
      <w:smallCaps/>
      <w:color w:val="0F4761" w:themeColor="accent1" w:themeShade="BF"/>
      <w:spacing w:val="5"/>
    </w:rPr>
  </w:style>
  <w:style w:type="paragraph" w:styleId="NormalWeb">
    <w:name w:val="Normal (Web)"/>
    <w:basedOn w:val="Normal"/>
    <w:uiPriority w:val="99"/>
    <w:semiHidden/>
    <w:unhideWhenUsed/>
    <w:rsid w:val="007403AB"/>
    <w:pPr>
      <w:spacing w:before="100" w:beforeAutospacing="1" w:after="100" w:afterAutospacing="1"/>
    </w:pPr>
    <w:rPr>
      <w:rFonts w:ascii="Times New Roman" w:eastAsia="Times New Roman" w:hAnsi="Times New Roman" w:cs="Times New Roman"/>
      <w:kern w:val="0"/>
      <w:lang w:eastAsia="en-GB"/>
    </w:rPr>
  </w:style>
  <w:style w:type="character" w:styleId="Strong">
    <w:name w:val="Strong"/>
    <w:basedOn w:val="DefaultParagraphFont"/>
    <w:uiPriority w:val="22"/>
    <w:qFormat/>
    <w:rsid w:val="007403AB"/>
    <w:rPr>
      <w:b/>
      <w:bCs/>
    </w:rPr>
  </w:style>
  <w:style w:type="character" w:styleId="Emphasis">
    <w:name w:val="Emphasis"/>
    <w:basedOn w:val="DefaultParagraphFont"/>
    <w:uiPriority w:val="20"/>
    <w:qFormat/>
    <w:rsid w:val="007403AB"/>
    <w:rPr>
      <w:i/>
      <w:iCs/>
    </w:rPr>
  </w:style>
  <w:style w:type="character" w:customStyle="1" w:styleId="normaltextrun">
    <w:name w:val="normaltextrun"/>
    <w:basedOn w:val="DefaultParagraphFont"/>
    <w:rsid w:val="007403AB"/>
  </w:style>
  <w:style w:type="character" w:customStyle="1" w:styleId="eop">
    <w:name w:val="eop"/>
    <w:basedOn w:val="DefaultParagraphFont"/>
    <w:rsid w:val="007403AB"/>
  </w:style>
  <w:style w:type="character" w:styleId="Hyperlink">
    <w:name w:val="Hyperlink"/>
    <w:basedOn w:val="DefaultParagraphFont"/>
    <w:uiPriority w:val="99"/>
    <w:unhideWhenUsed/>
    <w:rsid w:val="004F6DE9"/>
    <w:rPr>
      <w:color w:val="467886" w:themeColor="hyperlink"/>
      <w:u w:val="single"/>
    </w:rPr>
  </w:style>
  <w:style w:type="character" w:customStyle="1" w:styleId="UnresolvedMention1">
    <w:name w:val="Unresolved Mention1"/>
    <w:basedOn w:val="DefaultParagraphFont"/>
    <w:uiPriority w:val="99"/>
    <w:semiHidden/>
    <w:unhideWhenUsed/>
    <w:rsid w:val="004F6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ECA0159</dc:title>
  <cp:revision>0</cp:revision>
</cp:coreProperties>
</file>