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065B" w:rsidP="0077763C">
      <w:pPr>
        <w:tabs>
          <w:tab w:val="center" w:pos="4513"/>
          <w:tab w:val="left" w:pos="8142"/>
        </w:tabs>
        <w:spacing w:after="0"/>
        <w:rPr>
          <w:rFonts w:ascii="Arial" w:hAnsi="Arial" w:cs="Arial"/>
          <w:b/>
          <w:bCs/>
        </w:rPr>
      </w:pPr>
      <w:r>
        <w:rPr>
          <w:rFonts w:ascii="Arial" w:hAnsi="Arial" w:cs="Arial"/>
          <w:b/>
          <w:bCs/>
        </w:rPr>
        <w:tab/>
        <w:t xml:space="preserve">Written evidence by </w:t>
      </w:r>
      <w:r w:rsidRPr="0077763C">
        <w:rPr>
          <w:rFonts w:ascii="Arial" w:hAnsi="Arial" w:cs="Arial"/>
          <w:b/>
          <w:bCs/>
        </w:rPr>
        <w:t>Ambitious about Autism</w:t>
      </w:r>
      <w:r>
        <w:rPr>
          <w:rFonts w:ascii="Arial" w:hAnsi="Arial" w:cs="Arial"/>
          <w:b/>
          <w:bCs/>
        </w:rPr>
        <w:t xml:space="preserve"> (ECA0158)</w:t>
      </w:r>
      <w:r>
        <w:rPr>
          <w:rFonts w:ascii="Arial" w:hAnsi="Arial" w:cs="Arial"/>
          <w:b/>
          <w:bCs/>
        </w:rPr>
        <w:tab/>
      </w:r>
    </w:p>
    <w:p w:rsidR="0077763C" w:rsidP="0077763C">
      <w:pPr>
        <w:tabs>
          <w:tab w:val="center" w:pos="4513"/>
          <w:tab w:val="left" w:pos="8142"/>
        </w:tabs>
        <w:spacing w:after="0"/>
        <w:rPr>
          <w:rFonts w:ascii="Arial" w:hAnsi="Arial" w:cs="Arial"/>
        </w:rPr>
      </w:pPr>
    </w:p>
    <w:p w:rsidR="004D065B" w:rsidP="00EB493A">
      <w:pPr>
        <w:spacing w:after="0"/>
        <w:rPr>
          <w:rFonts w:ascii="Arial" w:hAnsi="Arial" w:cs="Arial"/>
          <w:b/>
          <w:bCs/>
          <w:u w:val="single"/>
        </w:rPr>
      </w:pPr>
      <w:r>
        <w:rPr>
          <w:rFonts w:ascii="Arial" w:hAnsi="Arial" w:cs="Arial"/>
          <w:b/>
          <w:bCs/>
          <w:u w:val="single"/>
        </w:rPr>
        <w:t>About Ambitious about Autism</w:t>
      </w:r>
    </w:p>
    <w:p w:rsidR="004D065B" w:rsidP="00EB493A">
      <w:pPr>
        <w:pStyle w:val="ListParagraph"/>
        <w:numPr>
          <w:ilvl w:val="0"/>
          <w:numId w:val="2"/>
        </w:numPr>
        <w:spacing w:after="0"/>
        <w:rPr>
          <w:rFonts w:ascii="Arial" w:hAnsi="Arial" w:cs="Arial"/>
        </w:rPr>
      </w:pPr>
      <w:r w:rsidRPr="00EE2B7A">
        <w:rPr>
          <w:rFonts w:ascii="Arial" w:hAnsi="Arial" w:cs="Arial"/>
        </w:rPr>
        <w:t xml:space="preserve">Ambitious about Autism is the national charity standing with autistic children and young people. We believe every autistic child and young person has the right to be themselves and realise their ambitions. We started as one school and have become a movement for change. We champion rights, campaign for change and create opportunities. </w:t>
      </w:r>
    </w:p>
    <w:p w:rsidR="004D065B" w:rsidP="00BF2C0F">
      <w:pPr>
        <w:pStyle w:val="ListParagraph"/>
        <w:spacing w:after="0"/>
        <w:rPr>
          <w:rFonts w:ascii="Arial" w:hAnsi="Arial" w:cs="Arial"/>
        </w:rPr>
      </w:pPr>
    </w:p>
    <w:p w:rsidR="004D065B" w:rsidP="00AC1902">
      <w:pPr>
        <w:pStyle w:val="ListParagraph"/>
        <w:numPr>
          <w:ilvl w:val="0"/>
          <w:numId w:val="2"/>
        </w:numPr>
        <w:spacing w:after="0"/>
        <w:rPr>
          <w:rFonts w:ascii="Arial" w:hAnsi="Arial" w:cs="Arial"/>
          <w:color w:val="000000" w:themeColor="text1"/>
        </w:rPr>
      </w:pPr>
      <w:r w:rsidRPr="007362F5">
        <w:rPr>
          <w:rFonts w:ascii="Arial" w:hAnsi="Arial" w:cs="Arial"/>
          <w:color w:val="000000" w:themeColor="text1"/>
        </w:rPr>
        <w:t xml:space="preserve">The White Paper sets out a clear ambition to make mainstream education more inclusive. It recognises that many autistic children and young people encounter practical barriers that make mainstream education difficult to access. Its response is to strengthen the Universal Offer so that schools have greater expertise, clearer expectations and better support to identify needs, make reasonable adjustments and remove barriers to participation. The underlying assumption is that, once these barriers are addressed, </w:t>
      </w:r>
      <w:r w:rsidRPr="007362F5">
        <w:rPr>
          <w:rFonts w:ascii="Arial" w:hAnsi="Arial" w:cs="Arial"/>
          <w:color w:val="000000" w:themeColor="text1"/>
        </w:rPr>
        <w:t>more children and young people with SEND will be able to access mainstream education and benefit from the wider reforms to attendance, behaviour, curriculum and attainment alongside their peers</w:t>
      </w:r>
      <w:r w:rsidRPr="00AC1902">
        <w:rPr>
          <w:rFonts w:ascii="Arial" w:hAnsi="Arial" w:cs="Arial"/>
          <w:color w:val="000000" w:themeColor="text1"/>
        </w:rPr>
        <w:t>.</w:t>
      </w:r>
    </w:p>
    <w:p w:rsidR="004D065B" w:rsidRPr="006A4E1C" w:rsidP="006A4E1C">
      <w:pPr>
        <w:spacing w:after="0"/>
        <w:rPr>
          <w:rFonts w:ascii="Arial" w:hAnsi="Arial" w:cs="Arial"/>
          <w:color w:val="000000" w:themeColor="text1"/>
        </w:rPr>
      </w:pPr>
    </w:p>
    <w:p w:rsidR="004D065B" w:rsidP="00AC1902">
      <w:pPr>
        <w:pStyle w:val="ListParagraph"/>
        <w:numPr>
          <w:ilvl w:val="0"/>
          <w:numId w:val="2"/>
        </w:numPr>
        <w:spacing w:after="0"/>
        <w:rPr>
          <w:rFonts w:ascii="Arial" w:hAnsi="Arial" w:cs="Arial"/>
          <w:color w:val="000000" w:themeColor="text1"/>
        </w:rPr>
      </w:pPr>
      <w:r w:rsidRPr="000F0D7B">
        <w:rPr>
          <w:rFonts w:ascii="Arial" w:hAnsi="Arial" w:cs="Arial"/>
          <w:color w:val="000000" w:themeColor="text1"/>
        </w:rPr>
        <w:t>We welcome this direction of travel. However, the White Paper continues to treat SEND reform and wider schools reform as largely separate agendas. In practice, they are inseparable. Attendance, behaviour, participation and attainment are not SEND-neutral policies. They reflect assumptions about how pupils should learn, communicate, participate and behave. Our work with autistic young people suggests that these assumptions can themselves create barriers to inclusion. Alongside strengthening support for pupil</w:t>
      </w:r>
      <w:r w:rsidRPr="000F0D7B">
        <w:rPr>
          <w:rFonts w:ascii="Arial" w:hAnsi="Arial" w:cs="Arial"/>
          <w:color w:val="000000" w:themeColor="text1"/>
        </w:rPr>
        <w:t>s with SEND, there is therefore a need to examine whether aspects of mainstream education should evolve to better reflect the diversity of learners they are intended to serve. An inclusive education system is not only one that helps autistic pupils access existing structures, but one that is willing to review whether those structures themselves unnecessarily disadvantage some pupils</w:t>
      </w:r>
      <w:r w:rsidRPr="00AC1902">
        <w:rPr>
          <w:rFonts w:ascii="Arial" w:hAnsi="Arial" w:cs="Arial"/>
          <w:color w:val="000000" w:themeColor="text1"/>
        </w:rPr>
        <w:t>.</w:t>
      </w:r>
    </w:p>
    <w:p w:rsidR="004D065B" w:rsidRPr="00AC1902" w:rsidP="008F1654">
      <w:pPr>
        <w:pStyle w:val="ListParagraph"/>
        <w:spacing w:after="0"/>
        <w:rPr>
          <w:rFonts w:ascii="Arial" w:hAnsi="Arial" w:cs="Arial"/>
          <w:color w:val="000000" w:themeColor="text1"/>
        </w:rPr>
      </w:pPr>
    </w:p>
    <w:p w:rsidR="004D065B" w:rsidRPr="008B372F" w:rsidP="008B372F">
      <w:pPr>
        <w:pStyle w:val="ListParagraph"/>
        <w:numPr>
          <w:ilvl w:val="0"/>
          <w:numId w:val="2"/>
        </w:numPr>
        <w:spacing w:after="0"/>
        <w:rPr>
          <w:rFonts w:ascii="Arial" w:hAnsi="Arial" w:cs="Arial"/>
          <w:color w:val="000000" w:themeColor="text1"/>
        </w:rPr>
      </w:pPr>
      <w:r w:rsidRPr="00A65E58">
        <w:rPr>
          <w:rFonts w:ascii="Arial" w:hAnsi="Arial" w:cs="Arial"/>
        </w:rPr>
        <w:t>We are currently working with a group of autistic young people to develop policy proposals in response to the White Paper. They have already shared their views directly with the Department for Education and the Minister for School Standards on the SEND-specific proposals. However, many of the strongest messages emerging from this work relate to the wider schools</w:t>
      </w:r>
      <w:r w:rsidRPr="00A65E58">
        <w:rPr>
          <w:rFonts w:ascii="Arial" w:hAnsi="Arial" w:cs="Arial"/>
        </w:rPr>
        <w:t xml:space="preserve"> reforms, including attendance, behaviour, participation and the design of mainstream education itself. We would therefore strongly encourage the Committee to hear directly from autistic children and young people as part of this inquiry. Their lived experience provides a unique perspective on how these wider reforms could better support inclusion for all pupils</w:t>
      </w:r>
      <w:r w:rsidRPr="00A5283C">
        <w:rPr>
          <w:rFonts w:ascii="Arial" w:hAnsi="Arial" w:cs="Arial"/>
          <w:color w:val="000000" w:themeColor="text1"/>
        </w:rPr>
        <w:t>.</w:t>
      </w:r>
    </w:p>
    <w:p w:rsidR="004D065B" w:rsidP="00756708">
      <w:pPr>
        <w:spacing w:after="0"/>
        <w:rPr>
          <w:rFonts w:ascii="Arial" w:hAnsi="Arial" w:cs="Arial"/>
        </w:rPr>
      </w:pPr>
    </w:p>
    <w:p w:rsidR="004D065B" w:rsidP="00EE2B7A">
      <w:pPr>
        <w:spacing w:after="0"/>
        <w:rPr>
          <w:rFonts w:ascii="Arial" w:hAnsi="Arial" w:cs="Arial"/>
          <w:b/>
          <w:bCs/>
          <w:u w:val="single"/>
        </w:rPr>
      </w:pPr>
      <w:r>
        <w:rPr>
          <w:rFonts w:ascii="Arial" w:hAnsi="Arial" w:cs="Arial"/>
          <w:b/>
          <w:bCs/>
          <w:u w:val="single"/>
        </w:rPr>
        <w:t>Raising a</w:t>
      </w:r>
      <w:r>
        <w:rPr>
          <w:rFonts w:ascii="Arial" w:hAnsi="Arial" w:cs="Arial"/>
          <w:b/>
          <w:bCs/>
          <w:u w:val="single"/>
        </w:rPr>
        <w:t>ttainment</w:t>
      </w:r>
    </w:p>
    <w:p w:rsidR="004D065B" w:rsidP="00A30F8C">
      <w:pPr>
        <w:pStyle w:val="ListParagraph"/>
        <w:numPr>
          <w:ilvl w:val="0"/>
          <w:numId w:val="2"/>
        </w:numPr>
        <w:spacing w:after="0"/>
        <w:rPr>
          <w:rFonts w:ascii="Arial" w:hAnsi="Arial" w:cs="Arial"/>
        </w:rPr>
      </w:pPr>
      <w:r w:rsidRPr="00060D3F">
        <w:rPr>
          <w:rFonts w:ascii="Arial" w:hAnsi="Arial" w:cs="Arial"/>
        </w:rPr>
        <w:t xml:space="preserve">The proposed consultation on progress measures provides an opportunity to consider how progress is defined and recognised for children and young people with SEND. Key questions include whether new measures will capture the broader progress that enables autistic pupils to participate and learn, and how they will evidence this invisible progress  in a way that parents, Ofsted, local authorities and </w:t>
      </w:r>
      <w:r w:rsidRPr="00060D3F">
        <w:rPr>
          <w:rFonts w:ascii="Arial" w:hAnsi="Arial" w:cs="Arial"/>
        </w:rPr>
        <w:t xml:space="preserve">children themselves can see, trust, and act on. While the White Paper assumes that more inclusive mainstream schools will improve outcomes, successful implementation will depend on understanding the conditions that enable autistic </w:t>
      </w:r>
      <w:r w:rsidRPr="00060D3F">
        <w:rPr>
          <w:rFonts w:ascii="Arial" w:hAnsi="Arial" w:cs="Arial"/>
        </w:rPr>
        <w:t>pupils to learn and achieve, rather than assuming that mainstream placement alone leads to better attainment.</w:t>
      </w:r>
    </w:p>
    <w:p w:rsidR="004D065B" w:rsidP="00060D3F">
      <w:pPr>
        <w:pStyle w:val="ListParagraph"/>
        <w:spacing w:after="0"/>
        <w:rPr>
          <w:rFonts w:ascii="Arial" w:hAnsi="Arial" w:cs="Arial"/>
        </w:rPr>
      </w:pPr>
    </w:p>
    <w:p w:rsidR="004D065B" w:rsidP="00A30F8C">
      <w:pPr>
        <w:pStyle w:val="ListParagraph"/>
        <w:numPr>
          <w:ilvl w:val="0"/>
          <w:numId w:val="2"/>
        </w:numPr>
        <w:spacing w:after="0"/>
        <w:rPr>
          <w:rFonts w:ascii="Arial" w:hAnsi="Arial" w:cs="Arial"/>
        </w:rPr>
      </w:pPr>
      <w:r>
        <w:rPr>
          <w:rFonts w:ascii="Arial" w:hAnsi="Arial" w:cs="Arial"/>
        </w:rPr>
        <w:t>The achievements of children and young people at school have historically been measured narrowly, with a</w:t>
      </w:r>
      <w:r>
        <w:rPr>
          <w:rFonts w:ascii="Arial" w:hAnsi="Arial" w:cs="Arial"/>
        </w:rPr>
        <w:t xml:space="preserve"> narrow</w:t>
      </w:r>
      <w:r>
        <w:rPr>
          <w:rFonts w:ascii="Arial" w:hAnsi="Arial" w:cs="Arial"/>
        </w:rPr>
        <w:t xml:space="preserve"> focus on </w:t>
      </w:r>
      <w:r>
        <w:rPr>
          <w:rFonts w:ascii="Arial" w:hAnsi="Arial" w:cs="Arial"/>
        </w:rPr>
        <w:t>academic attainment at the expense of other factors.</w:t>
      </w:r>
      <w:r>
        <w:rPr>
          <w:rFonts w:ascii="Arial" w:hAnsi="Arial" w:cs="Arial"/>
        </w:rPr>
        <w:t xml:space="preserve"> </w:t>
      </w:r>
      <w:r>
        <w:rPr>
          <w:rFonts w:ascii="Arial" w:hAnsi="Arial" w:cs="Arial"/>
        </w:rPr>
        <w:t>Some young autistic people describe</w:t>
      </w:r>
      <w:r>
        <w:rPr>
          <w:rFonts w:ascii="Arial" w:hAnsi="Arial" w:cs="Arial"/>
        </w:rPr>
        <w:t xml:space="preserve"> having their needs dismiss</w:t>
      </w:r>
      <w:r>
        <w:rPr>
          <w:rFonts w:ascii="Arial" w:hAnsi="Arial" w:cs="Arial"/>
        </w:rPr>
        <w:t xml:space="preserve">ed and disbelieved, despite clear </w:t>
      </w:r>
      <w:r>
        <w:rPr>
          <w:rFonts w:ascii="Arial" w:hAnsi="Arial" w:cs="Arial"/>
        </w:rPr>
        <w:t>social difficulties or worsening mental health,</w:t>
      </w:r>
      <w:r>
        <w:rPr>
          <w:rFonts w:ascii="Arial" w:hAnsi="Arial" w:cs="Arial"/>
        </w:rPr>
        <w:t xml:space="preserve"> on the basis that they were academically high-achieving</w:t>
      </w:r>
      <w:r>
        <w:rPr>
          <w:rFonts w:ascii="Arial" w:hAnsi="Arial" w:cs="Arial"/>
        </w:rPr>
        <w:t xml:space="preserve">. </w:t>
      </w:r>
      <w:r>
        <w:rPr>
          <w:rFonts w:ascii="Arial" w:hAnsi="Arial" w:cs="Arial"/>
        </w:rPr>
        <w:t xml:space="preserve">Others </w:t>
      </w:r>
      <w:r>
        <w:rPr>
          <w:rFonts w:ascii="Arial" w:hAnsi="Arial" w:cs="Arial"/>
        </w:rPr>
        <w:t>are not given the opportunity to reach their full potential, and risk being left behind by an overly narrow interpretation of “high and rising standards”.</w:t>
      </w:r>
    </w:p>
    <w:p w:rsidR="004D065B" w:rsidP="00A30F8C">
      <w:pPr>
        <w:pStyle w:val="ListParagraph"/>
        <w:spacing w:after="0"/>
        <w:rPr>
          <w:rFonts w:ascii="Arial" w:hAnsi="Arial" w:cs="Arial"/>
        </w:rPr>
      </w:pPr>
    </w:p>
    <w:p w:rsidR="004D065B" w:rsidP="00A30F8C">
      <w:pPr>
        <w:pStyle w:val="ListParagraph"/>
        <w:numPr>
          <w:ilvl w:val="0"/>
          <w:numId w:val="2"/>
        </w:numPr>
        <w:spacing w:after="0"/>
        <w:rPr>
          <w:rFonts w:ascii="Arial" w:hAnsi="Arial" w:cs="Arial"/>
        </w:rPr>
      </w:pPr>
      <w:r>
        <w:rPr>
          <w:rFonts w:ascii="Arial" w:hAnsi="Arial" w:cs="Arial"/>
        </w:rPr>
        <w:t>Education settings, and the accountability systems by which they are assessed, should value belonging, wellbeing</w:t>
      </w:r>
      <w:r>
        <w:rPr>
          <w:rFonts w:ascii="Arial" w:hAnsi="Arial" w:cs="Arial"/>
        </w:rPr>
        <w:t xml:space="preserve">, </w:t>
      </w:r>
      <w:r>
        <w:rPr>
          <w:rFonts w:ascii="Arial" w:hAnsi="Arial" w:cs="Arial"/>
        </w:rPr>
        <w:t xml:space="preserve">personal development </w:t>
      </w:r>
      <w:r>
        <w:rPr>
          <w:rFonts w:ascii="Arial" w:hAnsi="Arial" w:cs="Arial"/>
        </w:rPr>
        <w:t xml:space="preserve">and preparation for adulthood </w:t>
      </w:r>
      <w:r>
        <w:rPr>
          <w:rFonts w:ascii="Arial" w:hAnsi="Arial" w:cs="Arial"/>
        </w:rPr>
        <w:t>alongside academic achievement.</w:t>
      </w:r>
      <w:r>
        <w:rPr>
          <w:rFonts w:ascii="Arial" w:hAnsi="Arial" w:cs="Arial"/>
        </w:rPr>
        <w:t xml:space="preserve"> For example, we would welcome a greater focus on </w:t>
      </w:r>
      <w:r>
        <w:rPr>
          <w:rFonts w:ascii="Arial" w:hAnsi="Arial" w:cs="Arial"/>
        </w:rPr>
        <w:t>the acquisition and application of skills, and specialist pathways focusing on independence skills for young people with complex needs.</w:t>
      </w:r>
    </w:p>
    <w:p w:rsidR="004D065B" w:rsidRPr="00F177CC" w:rsidP="00F177CC">
      <w:pPr>
        <w:pStyle w:val="ListParagraph"/>
        <w:rPr>
          <w:rFonts w:ascii="Arial" w:hAnsi="Arial" w:cs="Arial"/>
        </w:rPr>
      </w:pPr>
    </w:p>
    <w:p w:rsidR="004D065B" w:rsidRPr="00C86326" w:rsidP="00C86326">
      <w:pPr>
        <w:pStyle w:val="ListParagraph"/>
        <w:numPr>
          <w:ilvl w:val="0"/>
          <w:numId w:val="2"/>
        </w:numPr>
        <w:rPr>
          <w:rFonts w:ascii="Arial" w:hAnsi="Arial" w:cs="Arial"/>
        </w:rPr>
      </w:pPr>
      <w:r w:rsidRPr="00C86326">
        <w:rPr>
          <w:rFonts w:ascii="Arial" w:hAnsi="Arial" w:cs="Arial"/>
        </w:rPr>
        <w:t>Evidence demonstrates that educational participation and educational achievement are closely linked. Where pupils experience persistent absence, exclusion, bullying or poor mental health, educational outcomes deteriorate irrespective of academic potential. Improving attainment therefore requires schools to address the barriers preventing pupils from accessing education in the first place. For example, only 23.8% of autistic pupils achieve grade 5 or above in English and mathematics GCSEs, compared with 45.9</w:t>
      </w:r>
      <w:r w:rsidRPr="00C86326">
        <w:rPr>
          <w:rFonts w:ascii="Arial" w:hAnsi="Arial" w:cs="Arial"/>
        </w:rPr>
        <w:t>% of all pupils</w:t>
      </w:r>
      <w:r>
        <w:rPr>
          <w:rStyle w:val="FootnoteReference"/>
          <w:rFonts w:ascii="Arial" w:hAnsi="Arial" w:cs="Arial"/>
        </w:rPr>
        <w:footnoteReference w:id="2"/>
      </w:r>
      <w:r w:rsidRPr="00C86326">
        <w:rPr>
          <w:rFonts w:ascii="Arial" w:hAnsi="Arial" w:cs="Arial"/>
        </w:rPr>
        <w:t>. At the same time, over 60,000 autistic pupils are persistently absent from school</w:t>
      </w:r>
      <w:r>
        <w:rPr>
          <w:rStyle w:val="FootnoteReference"/>
          <w:rFonts w:ascii="Arial" w:hAnsi="Arial" w:cs="Arial"/>
        </w:rPr>
        <w:footnoteReference w:id="3"/>
      </w:r>
      <w:r w:rsidRPr="00C86326">
        <w:rPr>
          <w:rFonts w:ascii="Arial" w:hAnsi="Arial" w:cs="Arial"/>
        </w:rPr>
        <w:t>, and Ambitious about Autism's research found that 71% of autistic pupils have experienced at least one form of lost learning, including absence, suspension, exclusion or reduced timetables</w:t>
      </w:r>
      <w:r>
        <w:rPr>
          <w:rStyle w:val="FootnoteReference"/>
          <w:rFonts w:ascii="Arial" w:hAnsi="Arial" w:cs="Arial"/>
        </w:rPr>
        <w:footnoteReference w:id="4"/>
      </w:r>
      <w:r w:rsidRPr="00C86326">
        <w:rPr>
          <w:rFonts w:ascii="Arial" w:hAnsi="Arial" w:cs="Arial"/>
        </w:rPr>
        <w:t>.</w:t>
      </w:r>
    </w:p>
    <w:p w:rsidR="004D065B" w:rsidRPr="00C86326" w:rsidP="00C86326">
      <w:pPr>
        <w:pStyle w:val="ListParagraph"/>
        <w:rPr>
          <w:rFonts w:ascii="Arial" w:hAnsi="Arial" w:cs="Arial"/>
        </w:rPr>
      </w:pPr>
    </w:p>
    <w:p w:rsidR="004D065B" w:rsidP="00A30F8C">
      <w:pPr>
        <w:pStyle w:val="ListParagraph"/>
        <w:numPr>
          <w:ilvl w:val="0"/>
          <w:numId w:val="2"/>
        </w:numPr>
        <w:spacing w:after="0"/>
        <w:rPr>
          <w:rFonts w:ascii="Arial" w:hAnsi="Arial" w:cs="Arial"/>
        </w:rPr>
      </w:pPr>
      <w:r>
        <w:rPr>
          <w:rFonts w:ascii="Arial" w:hAnsi="Arial" w:cs="Arial"/>
        </w:rPr>
        <w:t xml:space="preserve">A more accessible, less rigid assessment system would </w:t>
      </w:r>
      <w:r>
        <w:rPr>
          <w:rFonts w:ascii="Arial" w:hAnsi="Arial" w:cs="Arial"/>
        </w:rPr>
        <w:t>mean fewer pupils disincentivised from continuing in education and fewer schools disincentivised for supporting pupils with SEND. We would particularly welcome an end to th</w:t>
      </w:r>
      <w:r>
        <w:rPr>
          <w:rFonts w:ascii="Arial" w:hAnsi="Arial" w:cs="Arial"/>
        </w:rPr>
        <w:t xml:space="preserve">e requirements for young adults to continually resit GCSE English and Maths, leaving some young people with SEND trapped </w:t>
      </w:r>
      <w:r>
        <w:rPr>
          <w:rFonts w:ascii="Arial" w:hAnsi="Arial" w:cs="Arial"/>
        </w:rPr>
        <w:t>on a pathway that sets them up to fail.</w:t>
      </w:r>
    </w:p>
    <w:p w:rsidR="004D065B" w:rsidRPr="009857E5" w:rsidP="009857E5">
      <w:pPr>
        <w:pStyle w:val="ListParagraph"/>
        <w:rPr>
          <w:rFonts w:ascii="Arial" w:hAnsi="Arial" w:cs="Arial"/>
        </w:rPr>
      </w:pPr>
    </w:p>
    <w:p w:rsidR="004D065B" w:rsidP="007632FE">
      <w:pPr>
        <w:pStyle w:val="ListParagraph"/>
        <w:numPr>
          <w:ilvl w:val="0"/>
          <w:numId w:val="2"/>
        </w:numPr>
        <w:rPr>
          <w:rFonts w:ascii="Arial" w:hAnsi="Arial" w:cs="Arial"/>
        </w:rPr>
      </w:pPr>
      <w:r>
        <w:rPr>
          <w:rFonts w:ascii="Arial" w:hAnsi="Arial" w:cs="Arial"/>
        </w:rPr>
        <w:t xml:space="preserve">With relation to </w:t>
      </w:r>
      <w:r w:rsidRPr="007632FE">
        <w:rPr>
          <w:rFonts w:ascii="Arial" w:hAnsi="Arial" w:cs="Arial"/>
        </w:rPr>
        <w:t>how essential skills can reduce the number of young people who become NEE</w:t>
      </w:r>
      <w:r>
        <w:rPr>
          <w:rFonts w:ascii="Arial" w:hAnsi="Arial" w:cs="Arial"/>
        </w:rPr>
        <w:t>T, w</w:t>
      </w:r>
      <w:r w:rsidRPr="007632FE">
        <w:rPr>
          <w:rFonts w:ascii="Arial" w:hAnsi="Arial" w:cs="Arial"/>
        </w:rPr>
        <w:t>e believe schools have a central role in achieving this ambition: experiences in education have the power to build confidence, shape aspirations and prepare young people for adulthood. Where pupils leave school feeling disconnected, unsupported or lacking confidence in their own abilities, they are less likely to make successful transitions into further education or employment. This explains why damaging experiences in the education system can be so damaging and have such profound and lifelong impacts on au</w:t>
      </w:r>
      <w:r w:rsidRPr="007632FE">
        <w:rPr>
          <w:rFonts w:ascii="Arial" w:hAnsi="Arial" w:cs="Arial"/>
        </w:rPr>
        <w:t xml:space="preserve">tistic young people. While many have considerable strengths, many others continue to experience disproportionately poor post-16 outcomes. </w:t>
      </w:r>
    </w:p>
    <w:p w:rsidR="004D065B" w:rsidRPr="007632FE" w:rsidP="007632FE">
      <w:pPr>
        <w:pStyle w:val="ListParagraph"/>
        <w:rPr>
          <w:rFonts w:ascii="Arial" w:hAnsi="Arial" w:cs="Arial"/>
        </w:rPr>
      </w:pPr>
    </w:p>
    <w:p w:rsidR="004D065B" w:rsidP="007632FE">
      <w:pPr>
        <w:pStyle w:val="ListParagraph"/>
        <w:numPr>
          <w:ilvl w:val="0"/>
          <w:numId w:val="2"/>
        </w:numPr>
        <w:rPr>
          <w:rFonts w:ascii="Arial" w:hAnsi="Arial" w:cs="Arial"/>
        </w:rPr>
      </w:pPr>
      <w:r w:rsidRPr="007632FE">
        <w:rPr>
          <w:rFonts w:ascii="Arial" w:hAnsi="Arial" w:cs="Arial"/>
        </w:rPr>
        <w:t xml:space="preserve">Official statistics show that autistic people have one of the lowest employment rates of any disabled group despite many wanting to work. For example only 31.4% of </w:t>
      </w:r>
      <w:r w:rsidRPr="007632FE">
        <w:rPr>
          <w:rFonts w:ascii="Arial" w:hAnsi="Arial" w:cs="Arial"/>
        </w:rPr>
        <w:t>autistic people aged 16–64 are in full or part-time employment, compared with 52.8% of disabled people overall and 82.5% of non-disabled people</w:t>
      </w:r>
      <w:r>
        <w:rPr>
          <w:rStyle w:val="FootnoteReference"/>
          <w:rFonts w:ascii="Arial" w:hAnsi="Arial" w:cs="Arial"/>
        </w:rPr>
        <w:footnoteReference w:id="5"/>
      </w:r>
      <w:r w:rsidRPr="007632FE">
        <w:rPr>
          <w:rFonts w:ascii="Arial" w:hAnsi="Arial" w:cs="Arial"/>
        </w:rPr>
        <w:t>. Autistic people have the lowest employment rate of all 20 disability groups</w:t>
      </w:r>
      <w:r>
        <w:rPr>
          <w:rStyle w:val="FootnoteReference"/>
          <w:rFonts w:ascii="Arial" w:hAnsi="Arial" w:cs="Arial"/>
        </w:rPr>
        <w:footnoteReference w:id="6"/>
      </w:r>
      <w:r w:rsidRPr="007632FE">
        <w:rPr>
          <w:rFonts w:ascii="Arial" w:hAnsi="Arial" w:cs="Arial"/>
        </w:rPr>
        <w:t>. Educational reform should therefore be viewed as an important opportunity to improve longer-term employment outcomes, rather than solely educational outcomes.</w:t>
      </w:r>
    </w:p>
    <w:p w:rsidR="004D065B" w:rsidRPr="005C001B" w:rsidP="005C001B">
      <w:pPr>
        <w:pStyle w:val="ListParagraph"/>
        <w:rPr>
          <w:rFonts w:ascii="Arial" w:hAnsi="Arial" w:cs="Arial"/>
        </w:rPr>
      </w:pPr>
    </w:p>
    <w:p w:rsidR="004D065B" w:rsidP="007632FE">
      <w:pPr>
        <w:pStyle w:val="ListParagraph"/>
        <w:numPr>
          <w:ilvl w:val="0"/>
          <w:numId w:val="2"/>
        </w:numPr>
        <w:rPr>
          <w:rFonts w:ascii="Arial" w:hAnsi="Arial" w:cs="Arial"/>
        </w:rPr>
      </w:pPr>
      <w:r w:rsidRPr="005C001B">
        <w:rPr>
          <w:rFonts w:ascii="Arial" w:hAnsi="Arial" w:cs="Arial"/>
        </w:rPr>
        <w:t>Reforms should also recognise the importance of inclusive practice. For example, measures designed to improve attainment should not inadvertently discourage schools from supporting pupils whose progress may be less linear or whose strengths extend beyond traditional assessment measures. We believe that educational quality should be judged not only by examination outcomes but by whether schools enable all pupils to participate, make progress and prepare successfully for adult life.</w:t>
      </w:r>
    </w:p>
    <w:p w:rsidR="004D065B" w:rsidRPr="005C001B" w:rsidP="005C001B">
      <w:pPr>
        <w:pStyle w:val="ListParagraph"/>
        <w:rPr>
          <w:rFonts w:ascii="Arial" w:hAnsi="Arial" w:cs="Arial"/>
        </w:rPr>
      </w:pPr>
    </w:p>
    <w:p w:rsidR="004D065B" w:rsidRPr="005C001B" w:rsidP="007632FE">
      <w:pPr>
        <w:pStyle w:val="ListParagraph"/>
        <w:numPr>
          <w:ilvl w:val="0"/>
          <w:numId w:val="2"/>
        </w:numPr>
        <w:rPr>
          <w:rFonts w:ascii="Arial" w:hAnsi="Arial" w:cs="Arial"/>
        </w:rPr>
      </w:pPr>
      <w:r w:rsidRPr="005C001B">
        <w:rPr>
          <w:rFonts w:ascii="Arial" w:hAnsi="Arial" w:cs="Arial"/>
        </w:rPr>
        <w:t>We recommend that the Committee calls on the Government to:</w:t>
      </w:r>
    </w:p>
    <w:p w:rsidR="004D065B" w:rsidRPr="00570B69" w:rsidP="005C001B">
      <w:pPr>
        <w:pStyle w:val="ListParagraph"/>
        <w:numPr>
          <w:ilvl w:val="1"/>
          <w:numId w:val="2"/>
        </w:numPr>
        <w:rPr>
          <w:rFonts w:ascii="Arial" w:hAnsi="Arial" w:cs="Arial"/>
        </w:rPr>
      </w:pPr>
      <w:r w:rsidRPr="00570B69">
        <w:rPr>
          <w:rFonts w:ascii="Arial" w:hAnsi="Arial" w:cs="Arial"/>
        </w:rPr>
        <w:t>Ensure accountability reforms support inclusive practice alongside high academic standards;</w:t>
      </w:r>
    </w:p>
    <w:p w:rsidR="004D065B" w:rsidRPr="00570B69" w:rsidP="005C001B">
      <w:pPr>
        <w:pStyle w:val="ListParagraph"/>
        <w:numPr>
          <w:ilvl w:val="1"/>
          <w:numId w:val="2"/>
        </w:numPr>
        <w:rPr>
          <w:rFonts w:ascii="Arial" w:hAnsi="Arial" w:cs="Arial"/>
        </w:rPr>
      </w:pPr>
      <w:r w:rsidRPr="00570B69">
        <w:rPr>
          <w:rFonts w:ascii="Arial" w:hAnsi="Arial" w:cs="Arial"/>
        </w:rPr>
        <w:t>Ensure curriculum reforms better prepare autistic (and by extension, all) young people for successful transitions into further education</w:t>
      </w:r>
      <w:r>
        <w:rPr>
          <w:rFonts w:ascii="Arial" w:hAnsi="Arial" w:cs="Arial"/>
        </w:rPr>
        <w:t xml:space="preserve"> and </w:t>
      </w:r>
      <w:r w:rsidRPr="00570B69">
        <w:rPr>
          <w:rFonts w:ascii="Arial" w:hAnsi="Arial" w:cs="Arial"/>
        </w:rPr>
        <w:t>employment;</w:t>
      </w:r>
      <w:r>
        <w:rPr>
          <w:rFonts w:ascii="Arial" w:hAnsi="Arial" w:cs="Arial"/>
        </w:rPr>
        <w:t xml:space="preserve"> and</w:t>
      </w:r>
    </w:p>
    <w:p w:rsidR="004D065B" w:rsidRPr="005C001B" w:rsidP="005C001B">
      <w:pPr>
        <w:pStyle w:val="ListParagraph"/>
        <w:numPr>
          <w:ilvl w:val="1"/>
          <w:numId w:val="2"/>
        </w:numPr>
        <w:rPr>
          <w:rFonts w:ascii="Arial" w:hAnsi="Arial" w:cs="Arial"/>
          <w:i/>
          <w:iCs/>
        </w:rPr>
      </w:pPr>
      <w:r w:rsidRPr="00570B69">
        <w:rPr>
          <w:rFonts w:ascii="Arial" w:hAnsi="Arial" w:cs="Arial"/>
        </w:rPr>
        <w:t>Strengthen inclusive careers education and employer engagement</w:t>
      </w:r>
      <w:r>
        <w:rPr>
          <w:rFonts w:ascii="Arial" w:hAnsi="Arial" w:cs="Arial"/>
        </w:rPr>
        <w:t>.</w:t>
      </w:r>
    </w:p>
    <w:p w:rsidR="004D065B" w:rsidP="003A70FA">
      <w:pPr>
        <w:spacing w:after="0"/>
        <w:rPr>
          <w:rFonts w:ascii="Arial" w:hAnsi="Arial" w:cs="Arial"/>
        </w:rPr>
      </w:pPr>
    </w:p>
    <w:p w:rsidR="004D065B" w:rsidP="003A70FA">
      <w:pPr>
        <w:spacing w:after="0"/>
        <w:rPr>
          <w:rFonts w:ascii="Arial" w:hAnsi="Arial" w:cs="Arial"/>
        </w:rPr>
      </w:pPr>
      <w:r>
        <w:rPr>
          <w:rFonts w:ascii="Arial" w:hAnsi="Arial" w:cs="Arial"/>
          <w:b/>
          <w:bCs/>
          <w:u w:val="single"/>
        </w:rPr>
        <w:t>Improving attendance</w:t>
      </w:r>
    </w:p>
    <w:p w:rsidR="004D065B" w:rsidP="005C08B5">
      <w:pPr>
        <w:pStyle w:val="ListParagraph"/>
        <w:numPr>
          <w:ilvl w:val="0"/>
          <w:numId w:val="2"/>
        </w:numPr>
        <w:rPr>
          <w:rFonts w:ascii="Arial" w:hAnsi="Arial" w:cs="Arial"/>
        </w:rPr>
      </w:pPr>
      <w:r w:rsidRPr="002C2DC8">
        <w:rPr>
          <w:rFonts w:ascii="Arial" w:hAnsi="Arial" w:cs="Arial"/>
        </w:rPr>
        <w:t xml:space="preserve">The </w:t>
      </w:r>
      <w:r>
        <w:rPr>
          <w:rFonts w:ascii="Arial" w:hAnsi="Arial" w:cs="Arial"/>
        </w:rPr>
        <w:t>White Paper</w:t>
      </w:r>
      <w:r w:rsidRPr="002C2DC8">
        <w:rPr>
          <w:rFonts w:ascii="Arial" w:hAnsi="Arial" w:cs="Arial"/>
        </w:rPr>
        <w:t xml:space="preserve"> recognises children with SEND as a priority group and acknowledges that barriers to attendance are </w:t>
      </w:r>
      <w:r w:rsidRPr="002C2DC8">
        <w:rPr>
          <w:rFonts w:ascii="Arial" w:hAnsi="Arial" w:cs="Arial"/>
        </w:rPr>
        <w:t>complex, but</w:t>
      </w:r>
      <w:r w:rsidRPr="002C2DC8">
        <w:rPr>
          <w:rFonts w:ascii="Arial" w:hAnsi="Arial" w:cs="Arial"/>
        </w:rPr>
        <w:t xml:space="preserve"> provides relatively little analysis of the distinct barriers experienced by SEND pupils or autistic children and young people or how the proposed reforms will address them. Successful implementation will depend on whether schools have the expertise, resources and flexibility to identify and remove those barriers, how the strategy aligns with wider SEND and inclusion reforms, and how success will be measured specifically for autistic pupils. As Government continues to build the evidence base, implementation</w:t>
      </w:r>
      <w:r w:rsidRPr="002C2DC8">
        <w:rPr>
          <w:rFonts w:ascii="Arial" w:hAnsi="Arial" w:cs="Arial"/>
        </w:rPr>
        <w:t xml:space="preserve"> should reflect emerging evidence that improving attendance depends on understanding and responding to individual </w:t>
      </w:r>
      <w:r w:rsidRPr="002C2DC8">
        <w:rPr>
          <w:rFonts w:ascii="Arial" w:hAnsi="Arial" w:cs="Arial"/>
        </w:rPr>
        <w:t>barriers , strong relationships and a sense of belonging , rather than one-size-fits-all approaches.</w:t>
      </w:r>
    </w:p>
    <w:p w:rsidR="004D065B" w:rsidP="002C2DC8">
      <w:pPr>
        <w:pStyle w:val="ListParagraph"/>
        <w:rPr>
          <w:rFonts w:ascii="Arial" w:hAnsi="Arial" w:cs="Arial"/>
        </w:rPr>
      </w:pPr>
    </w:p>
    <w:p w:rsidR="004D065B" w:rsidRPr="005C08B5" w:rsidP="005C08B5">
      <w:pPr>
        <w:pStyle w:val="ListParagraph"/>
        <w:numPr>
          <w:ilvl w:val="0"/>
          <w:numId w:val="2"/>
        </w:numPr>
        <w:rPr>
          <w:rFonts w:ascii="Arial" w:hAnsi="Arial" w:cs="Arial"/>
        </w:rPr>
      </w:pPr>
      <w:r w:rsidRPr="005C08B5">
        <w:rPr>
          <w:rFonts w:ascii="Arial" w:hAnsi="Arial" w:cs="Arial"/>
        </w:rPr>
        <w:t>Regular attendance is fundamental to educational achievement, wellbeing and future life chances, but attendance alone is not a measure of successful participation. For many autistic pupils, persistent absence is a symptom of wider barriers within the education system rather than a lack of motivation to learn. Our research shows that lost learning is rarely a voluntary choice; it is driven by unmet need, anxiety, unsuitable environments and school practices that make education difficult to access consistentl</w:t>
      </w:r>
      <w:r w:rsidRPr="005C08B5">
        <w:rPr>
          <w:rFonts w:ascii="Arial" w:hAnsi="Arial" w:cs="Arial"/>
        </w:rPr>
        <w:t>y. Lasting improvements in attendance will therefore depend on creating inclusive school environments where autistic pupils are supported to participate, engage and thrive.</w:t>
      </w:r>
    </w:p>
    <w:p w:rsidR="004D065B" w:rsidP="00207F7A">
      <w:pPr>
        <w:pStyle w:val="ListParagraph"/>
        <w:rPr>
          <w:rFonts w:ascii="Arial" w:hAnsi="Arial" w:cs="Arial"/>
        </w:rPr>
      </w:pPr>
    </w:p>
    <w:p w:rsidR="004D065B" w:rsidRPr="00207F7A" w:rsidP="00207F7A">
      <w:pPr>
        <w:pStyle w:val="ListParagraph"/>
        <w:numPr>
          <w:ilvl w:val="0"/>
          <w:numId w:val="2"/>
        </w:numPr>
        <w:rPr>
          <w:rFonts w:ascii="Arial" w:hAnsi="Arial" w:cs="Arial"/>
        </w:rPr>
      </w:pPr>
      <w:r w:rsidRPr="00207F7A">
        <w:rPr>
          <w:rFonts w:ascii="Arial" w:hAnsi="Arial" w:cs="Arial"/>
        </w:rPr>
        <w:t xml:space="preserve">Evidence indicates that autistic pupils experience substantially higher rates of persistent absence than the wider pupil population. Department for Education data </w:t>
      </w:r>
      <w:r w:rsidRPr="00207F7A">
        <w:rPr>
          <w:rFonts w:ascii="Arial" w:hAnsi="Arial" w:cs="Arial"/>
        </w:rPr>
        <w:t>shows that more than 63,000 autistic pupils were persistently absent during the 2023/24 school year, highlighting the scale of barriers preventing many autistic children from participating consistently in education</w:t>
      </w:r>
      <w:r>
        <w:rPr>
          <w:rStyle w:val="FootnoteReference"/>
          <w:rFonts w:ascii="Arial" w:hAnsi="Arial" w:cs="Arial"/>
        </w:rPr>
        <w:footnoteReference w:id="7"/>
      </w:r>
      <w:r w:rsidRPr="00207F7A">
        <w:rPr>
          <w:rFonts w:ascii="Arial" w:hAnsi="Arial" w:cs="Arial"/>
        </w:rPr>
        <w:t>. Persistent absence should therefore be understood as a symptom of wider challenges within the education system rather than simply an attendance issue.</w:t>
      </w:r>
    </w:p>
    <w:p w:rsidR="004D065B" w:rsidP="00207F7A">
      <w:pPr>
        <w:pStyle w:val="ListParagraph"/>
        <w:rPr>
          <w:rFonts w:ascii="Arial" w:hAnsi="Arial" w:cs="Arial"/>
        </w:rPr>
      </w:pPr>
    </w:p>
    <w:p w:rsidR="004D065B" w:rsidRPr="00207F7A" w:rsidP="00207F7A">
      <w:pPr>
        <w:pStyle w:val="ListParagraph"/>
        <w:numPr>
          <w:ilvl w:val="0"/>
          <w:numId w:val="2"/>
        </w:numPr>
        <w:rPr>
          <w:rFonts w:ascii="Arial" w:hAnsi="Arial" w:cs="Arial"/>
        </w:rPr>
      </w:pPr>
      <w:r w:rsidRPr="00207F7A">
        <w:rPr>
          <w:rFonts w:ascii="Arial" w:hAnsi="Arial" w:cs="Arial"/>
        </w:rPr>
        <w:t>The reasons for absence are complex and frequently interconnected. Autistic pupils report experiencing anxiety, sensory overload, bullying, unmet support needs, difficulties navigating the social environment of school and declining mental health. These factors often reinforce one another, creating a cycle in which school becomes increasingly difficult to attend. Interventions that focus solely on improving attendance without addressing these underlying barriers are therefore unlikely to produce sustained im</w:t>
      </w:r>
      <w:r w:rsidRPr="00207F7A">
        <w:rPr>
          <w:rFonts w:ascii="Arial" w:hAnsi="Arial" w:cs="Arial"/>
        </w:rPr>
        <w:t>provements.</w:t>
      </w:r>
    </w:p>
    <w:p w:rsidR="004D065B" w:rsidP="00207F7A">
      <w:pPr>
        <w:pStyle w:val="ListParagraph"/>
        <w:rPr>
          <w:rFonts w:ascii="Arial" w:hAnsi="Arial" w:cs="Arial"/>
        </w:rPr>
      </w:pPr>
    </w:p>
    <w:p w:rsidR="004D065B" w:rsidRPr="00D422F8" w:rsidP="00D422F8">
      <w:pPr>
        <w:pStyle w:val="ListParagraph"/>
        <w:numPr>
          <w:ilvl w:val="0"/>
          <w:numId w:val="2"/>
        </w:numPr>
        <w:rPr>
          <w:rFonts w:ascii="Arial" w:hAnsi="Arial" w:cs="Arial"/>
        </w:rPr>
      </w:pPr>
      <w:r w:rsidRPr="00207F7A">
        <w:rPr>
          <w:rFonts w:ascii="Arial" w:hAnsi="Arial" w:cs="Arial"/>
        </w:rPr>
        <w:t>Our research illustrates the cumulative impact of unmet need. Our report</w:t>
      </w:r>
      <w:r w:rsidRPr="00207F7A">
        <w:rPr>
          <w:rFonts w:ascii="Arial" w:hAnsi="Arial" w:cs="Arial"/>
          <w:b/>
          <w:bCs/>
        </w:rPr>
        <w:t xml:space="preserve"> </w:t>
      </w:r>
      <w:r>
        <w:fldChar w:fldCharType="begin"/>
      </w:r>
      <w:r>
        <w:instrText xml:space="preserve"> HYPERLINK "https://www.ambitiousaboutautism.org.uk/sites/default/files/files/ambitious-about-autism-when-will-we-learn-lost-learning-report.pdf" </w:instrText>
      </w:r>
      <w:r>
        <w:fldChar w:fldCharType="separate"/>
      </w:r>
      <w:r w:rsidRPr="00207F7A">
        <w:rPr>
          <w:rStyle w:val="Hyperlink"/>
          <w:rFonts w:ascii="Arial" w:hAnsi="Arial" w:cs="Arial"/>
          <w:b/>
          <w:bCs/>
        </w:rPr>
        <w:t>When Will We Learn?</w:t>
      </w:r>
      <w:r>
        <w:fldChar w:fldCharType="end"/>
      </w:r>
      <w:r w:rsidRPr="00207F7A">
        <w:rPr>
          <w:rFonts w:ascii="Arial" w:hAnsi="Arial" w:cs="Arial"/>
          <w:b/>
          <w:bCs/>
        </w:rPr>
        <w:t xml:space="preserve"> </w:t>
      </w:r>
      <w:r w:rsidRPr="00207F7A">
        <w:rPr>
          <w:rFonts w:ascii="Arial" w:hAnsi="Arial" w:cs="Arial"/>
        </w:rPr>
        <w:t>found that 71% of autistic pupils had experienced at least one form of lost learning, with two-thirds experiencing multiple forms. The most common drivers were anxiety (77%), unsuitable environments (73%) and negative interactions with staff (61%)</w:t>
      </w:r>
      <w:r>
        <w:rPr>
          <w:rStyle w:val="FootnoteReference"/>
          <w:rFonts w:ascii="Arial" w:hAnsi="Arial" w:cs="Arial"/>
        </w:rPr>
        <w:footnoteReference w:id="8"/>
      </w:r>
      <w:r w:rsidRPr="00207F7A">
        <w:rPr>
          <w:rFonts w:ascii="Arial" w:hAnsi="Arial" w:cs="Arial"/>
        </w:rPr>
        <w:t>. These findings demonstrate that barriers to participation often emerge long before persistent absence becomes established, with unmet need progressively reducing pupils' opportunities to engage in education.</w:t>
      </w:r>
      <w:r>
        <w:rPr>
          <w:rFonts w:ascii="Arial" w:hAnsi="Arial" w:cs="Arial"/>
        </w:rPr>
        <w:t xml:space="preserve"> </w:t>
      </w:r>
      <w:r w:rsidRPr="00D422F8">
        <w:rPr>
          <w:rFonts w:ascii="Arial" w:hAnsi="Arial" w:cs="Arial"/>
        </w:rPr>
        <w:t xml:space="preserve">Of the survey respondents who experienced lost learning, one in six </w:t>
      </w:r>
      <w:r w:rsidRPr="00D422F8">
        <w:rPr>
          <w:rFonts w:ascii="Arial" w:hAnsi="Arial" w:cs="Arial"/>
        </w:rPr>
        <w:t>told us this was the best choice in impossible circumstances – often declining mental health.</w:t>
      </w:r>
      <w:r w:rsidRPr="00D422F8">
        <w:rPr>
          <w:rFonts w:ascii="Arial" w:hAnsi="Arial" w:cs="Arial"/>
        </w:rPr>
        <w:t xml:space="preserve"> </w:t>
      </w:r>
    </w:p>
    <w:p w:rsidR="004D065B" w:rsidRPr="00661842" w:rsidP="00661842">
      <w:pPr>
        <w:pStyle w:val="ListParagraph"/>
        <w:rPr>
          <w:rFonts w:ascii="Arial" w:hAnsi="Arial" w:cs="Arial"/>
        </w:rPr>
      </w:pPr>
    </w:p>
    <w:p w:rsidR="004D065B" w:rsidP="00D422F8">
      <w:pPr>
        <w:pStyle w:val="ListParagraph"/>
        <w:numPr>
          <w:ilvl w:val="0"/>
          <w:numId w:val="2"/>
        </w:numPr>
        <w:rPr>
          <w:rFonts w:ascii="Arial" w:hAnsi="Arial" w:cs="Arial"/>
        </w:rPr>
      </w:pPr>
      <w:r w:rsidRPr="00D422F8">
        <w:rPr>
          <w:rFonts w:ascii="Arial" w:hAnsi="Arial" w:cs="Arial"/>
        </w:rPr>
        <w:t xml:space="preserve">We therefore encourage the Committee to consider attendance as an </w:t>
      </w:r>
      <w:r w:rsidRPr="00D422F8">
        <w:rPr>
          <w:rFonts w:ascii="Arial" w:hAnsi="Arial" w:cs="Arial"/>
          <w:b/>
          <w:bCs/>
        </w:rPr>
        <w:t>outcome of inclusion</w:t>
      </w:r>
      <w:r w:rsidRPr="00D422F8">
        <w:rPr>
          <w:rFonts w:ascii="Arial" w:hAnsi="Arial" w:cs="Arial"/>
        </w:rPr>
        <w:t xml:space="preserve"> rather than simply a measure of compliance. Schools in which pupils feel safe, understood and supported are more likely to achieve sustained improvements in attendance than those relying primarily on monitoring, sanctions or enforcement. This reflects the White Paper's emphasis on creating school environments where children feel they belong and are able to thrive.</w:t>
      </w:r>
      <w:r>
        <w:rPr>
          <w:rFonts w:ascii="Arial" w:hAnsi="Arial" w:cs="Arial"/>
        </w:rPr>
        <w:t xml:space="preserve"> </w:t>
      </w:r>
      <w:r w:rsidRPr="00D422F8">
        <w:rPr>
          <w:rFonts w:ascii="Arial" w:hAnsi="Arial" w:cs="Arial"/>
        </w:rPr>
        <w:t xml:space="preserve">A rigid focus on perfect attendance </w:t>
      </w:r>
      <w:r w:rsidRPr="00D422F8">
        <w:rPr>
          <w:rFonts w:ascii="Arial" w:hAnsi="Arial" w:cs="Arial"/>
        </w:rPr>
        <w:t>too often leads to individual families being punished for systemic failures.</w:t>
      </w:r>
    </w:p>
    <w:p w:rsidR="004D065B" w:rsidRPr="003575CF" w:rsidP="003575CF">
      <w:pPr>
        <w:pStyle w:val="ListParagraph"/>
        <w:rPr>
          <w:rFonts w:ascii="Arial" w:hAnsi="Arial" w:cs="Arial"/>
        </w:rPr>
      </w:pPr>
    </w:p>
    <w:p w:rsidR="004D065B" w:rsidRPr="002F3130" w:rsidP="002F3130">
      <w:pPr>
        <w:pStyle w:val="ListParagraph"/>
        <w:numPr>
          <w:ilvl w:val="0"/>
          <w:numId w:val="2"/>
        </w:numPr>
        <w:rPr>
          <w:rFonts w:ascii="Arial" w:hAnsi="Arial" w:cs="Arial"/>
        </w:rPr>
      </w:pPr>
      <w:r w:rsidRPr="002F3130">
        <w:rPr>
          <w:rFonts w:ascii="Arial" w:hAnsi="Arial" w:cs="Arial"/>
        </w:rPr>
        <w:t>We recommend that the Committee calls on the Government to:</w:t>
      </w:r>
    </w:p>
    <w:p w:rsidR="004D065B" w:rsidRPr="002F3130" w:rsidP="002F3130">
      <w:pPr>
        <w:pStyle w:val="ListParagraph"/>
        <w:numPr>
          <w:ilvl w:val="1"/>
          <w:numId w:val="2"/>
        </w:numPr>
        <w:rPr>
          <w:rFonts w:ascii="Arial" w:hAnsi="Arial" w:cs="Arial"/>
        </w:rPr>
      </w:pPr>
      <w:r w:rsidRPr="002F3130">
        <w:rPr>
          <w:rFonts w:ascii="Arial" w:hAnsi="Arial" w:cs="Arial"/>
        </w:rPr>
        <w:t xml:space="preserve">Recognise attendance as an outcome of inclusion, wellbeing and school belonging rather than solely a performance measure; </w:t>
      </w:r>
    </w:p>
    <w:p w:rsidR="004D065B" w:rsidRPr="002F3130" w:rsidP="002F3130">
      <w:pPr>
        <w:pStyle w:val="ListParagraph"/>
        <w:numPr>
          <w:ilvl w:val="1"/>
          <w:numId w:val="2"/>
        </w:numPr>
        <w:rPr>
          <w:rFonts w:ascii="Arial" w:hAnsi="Arial" w:cs="Arial"/>
        </w:rPr>
      </w:pPr>
      <w:r w:rsidRPr="002F3130">
        <w:rPr>
          <w:rFonts w:ascii="Arial" w:hAnsi="Arial" w:cs="Arial"/>
        </w:rPr>
        <w:t xml:space="preserve">Ensure attendance hubs promote evidence-informed inclusive practice alongside effective attendance management; </w:t>
      </w:r>
    </w:p>
    <w:p w:rsidR="004D065B" w:rsidRPr="002F3130" w:rsidP="002F3130">
      <w:pPr>
        <w:pStyle w:val="ListParagraph"/>
        <w:numPr>
          <w:ilvl w:val="1"/>
          <w:numId w:val="2"/>
        </w:numPr>
        <w:rPr>
          <w:rFonts w:ascii="Arial" w:hAnsi="Arial" w:cs="Arial"/>
        </w:rPr>
      </w:pPr>
      <w:r w:rsidRPr="002F3130">
        <w:rPr>
          <w:rFonts w:ascii="Arial" w:hAnsi="Arial" w:cs="Arial"/>
        </w:rPr>
        <w:t>Evaluate attendance initiatives using measures of sustained participation, wellbeing and pupil belonging alongside attendance rates.</w:t>
      </w:r>
    </w:p>
    <w:p w:rsidR="004D065B" w:rsidRPr="00566FBF" w:rsidP="00566FBF">
      <w:pPr>
        <w:pStyle w:val="ListParagraph"/>
        <w:rPr>
          <w:rFonts w:ascii="Arial" w:hAnsi="Arial" w:cs="Arial"/>
        </w:rPr>
      </w:pPr>
    </w:p>
    <w:p w:rsidR="004D065B" w:rsidP="00566FBF">
      <w:pPr>
        <w:spacing w:after="0"/>
        <w:rPr>
          <w:rFonts w:ascii="Arial" w:hAnsi="Arial" w:cs="Arial"/>
          <w:b/>
          <w:bCs/>
          <w:u w:val="single"/>
        </w:rPr>
      </w:pPr>
      <w:r>
        <w:rPr>
          <w:rFonts w:ascii="Arial" w:hAnsi="Arial" w:cs="Arial"/>
          <w:b/>
          <w:bCs/>
          <w:u w:val="single"/>
        </w:rPr>
        <w:t>Enrichment, Belonging and Behaviour</w:t>
      </w:r>
    </w:p>
    <w:p w:rsidR="004D065B" w:rsidRPr="00226D2C" w:rsidP="00226D2C">
      <w:pPr>
        <w:pStyle w:val="ListParagraph"/>
        <w:numPr>
          <w:ilvl w:val="0"/>
          <w:numId w:val="2"/>
        </w:numPr>
        <w:spacing w:after="0"/>
        <w:rPr>
          <w:rFonts w:ascii="Arial" w:hAnsi="Arial" w:cs="Arial"/>
        </w:rPr>
      </w:pPr>
      <w:r w:rsidRPr="00226D2C">
        <w:rPr>
          <w:rFonts w:ascii="Arial" w:hAnsi="Arial" w:cs="Arial"/>
        </w:rPr>
        <w:t xml:space="preserve">We welcome the White Paper’s focus on creating a sense of belonging </w:t>
      </w:r>
      <w:r w:rsidRPr="00226D2C">
        <w:rPr>
          <w:rFonts w:ascii="Arial" w:hAnsi="Arial" w:cs="Arial"/>
        </w:rPr>
        <w:t>at school. Autistic young people tell us this is one of the clearest measures of inclusion.</w:t>
      </w:r>
      <w:r w:rsidRPr="00226D2C">
        <w:rPr>
          <w:rFonts w:ascii="Arial" w:hAnsi="Arial" w:cs="Arial"/>
        </w:rPr>
        <w:t xml:space="preserve"> </w:t>
      </w:r>
      <w:r w:rsidRPr="00226D2C">
        <w:rPr>
          <w:rFonts w:ascii="Arial" w:hAnsi="Arial" w:cs="Arial"/>
        </w:rPr>
        <w:t xml:space="preserve">The proposed Pupil Engagement Framework is an important step forward. It recognises </w:t>
      </w:r>
      <w:r w:rsidRPr="00226D2C">
        <w:rPr>
          <w:rFonts w:ascii="Arial" w:hAnsi="Arial" w:cs="Arial"/>
        </w:rPr>
        <w:t xml:space="preserve">that children's experiences of belonging, safety, relationships and inclusion should help shape how schools understand success. However, it remains unclear how the Framework is being developed, whose experiences are shaping it, and whether it will </w:t>
      </w:r>
      <w:r w:rsidRPr="00226D2C">
        <w:rPr>
          <w:rFonts w:ascii="Arial" w:hAnsi="Arial" w:cs="Arial"/>
        </w:rPr>
        <w:t>evolve as new evidence emerges. If it is to become a meaningful tool for improving SEND, it should be co-produced with autistic children and young people and designed to answer the questions Government most needs to answer, not simply those that are easiest to mea</w:t>
      </w:r>
      <w:r w:rsidRPr="00226D2C">
        <w:rPr>
          <w:rFonts w:ascii="Arial" w:hAnsi="Arial" w:cs="Arial"/>
        </w:rPr>
        <w:t>sure.</w:t>
      </w:r>
      <w:r w:rsidRPr="00226D2C">
        <w:rPr>
          <w:rFonts w:ascii="Arial" w:hAnsi="Arial" w:cs="Arial"/>
        </w:rPr>
        <w:t xml:space="preserve"> </w:t>
      </w:r>
      <w:r w:rsidRPr="00226D2C">
        <w:rPr>
          <w:rFonts w:ascii="Arial" w:hAnsi="Arial" w:cs="Arial"/>
        </w:rPr>
        <w:t>We would be delighted t</w:t>
      </w:r>
      <w:r w:rsidRPr="00226D2C">
        <w:rPr>
          <w:rFonts w:ascii="Arial" w:hAnsi="Arial" w:cs="Arial"/>
        </w:rPr>
        <w:t>o support autistic young people to co-develop initiatives such as the Pupil Engagement Framework.</w:t>
      </w:r>
    </w:p>
    <w:p w:rsidR="004D065B" w:rsidP="007152F9">
      <w:pPr>
        <w:pStyle w:val="ListParagraph"/>
        <w:spacing w:after="0"/>
        <w:rPr>
          <w:rFonts w:ascii="Arial" w:hAnsi="Arial" w:cs="Arial"/>
        </w:rPr>
      </w:pPr>
    </w:p>
    <w:p w:rsidR="004D065B" w:rsidRPr="007152F9" w:rsidP="00226D2C">
      <w:pPr>
        <w:pStyle w:val="ListParagraph"/>
        <w:numPr>
          <w:ilvl w:val="0"/>
          <w:numId w:val="2"/>
        </w:numPr>
        <w:spacing w:after="0"/>
        <w:rPr>
          <w:rFonts w:ascii="Arial" w:hAnsi="Arial" w:cs="Arial"/>
        </w:rPr>
      </w:pPr>
      <w:r w:rsidRPr="007152F9">
        <w:rPr>
          <w:rFonts w:ascii="Arial" w:hAnsi="Arial" w:cs="Arial"/>
        </w:rPr>
        <w:t>A strong sense of belonging is created when pupils feel accepted, understood and supported by both staff and their peers. For autistic pupils, these relationships play an important role in enabling participation in education. Our research shows that lost learning is frequently driven by factors affecting pupils' sense of safety and belonging at school, with 77% identifying anxiety, 73% unsuitable learning environments and 61% negative interactions with school staff as contributing factors</w:t>
      </w:r>
      <w:r>
        <w:rPr>
          <w:rStyle w:val="FootnoteReference"/>
          <w:rFonts w:ascii="Arial" w:hAnsi="Arial" w:cs="Arial"/>
        </w:rPr>
        <w:footnoteReference w:id="9"/>
      </w:r>
      <w:r w:rsidRPr="007152F9">
        <w:rPr>
          <w:rFonts w:ascii="Arial" w:hAnsi="Arial" w:cs="Arial"/>
        </w:rPr>
        <w:t xml:space="preserve">. More broadly, autistic pupils experience disproportionately high levels of bullying and exclusion from school life. These experiences can undermine attendance, engagement and wellbeing, limiting opportunities to learn and achieve. </w:t>
      </w:r>
    </w:p>
    <w:p w:rsidR="004D065B" w:rsidRPr="007152F9" w:rsidP="007152F9">
      <w:pPr>
        <w:pStyle w:val="ListParagraph"/>
        <w:spacing w:after="0"/>
        <w:rPr>
          <w:rFonts w:ascii="Arial" w:hAnsi="Arial" w:cs="Arial"/>
        </w:rPr>
      </w:pPr>
    </w:p>
    <w:p w:rsidR="004D065B" w:rsidP="00226D2C">
      <w:pPr>
        <w:pStyle w:val="ListParagraph"/>
        <w:numPr>
          <w:ilvl w:val="0"/>
          <w:numId w:val="2"/>
        </w:numPr>
        <w:spacing w:after="0"/>
        <w:rPr>
          <w:rFonts w:ascii="Arial" w:hAnsi="Arial" w:cs="Arial"/>
        </w:rPr>
      </w:pPr>
      <w:r w:rsidRPr="005F0E8B">
        <w:rPr>
          <w:rFonts w:ascii="Arial" w:hAnsi="Arial" w:cs="Arial"/>
        </w:rPr>
        <w:t xml:space="preserve">The permanent exclusion rate of autistic children is </w:t>
      </w:r>
      <w:r w:rsidRPr="005F0E8B">
        <w:rPr>
          <w:rFonts w:ascii="Arial" w:hAnsi="Arial" w:cs="Arial"/>
        </w:rPr>
        <w:t xml:space="preserve">also </w:t>
      </w:r>
      <w:r w:rsidRPr="005F0E8B">
        <w:rPr>
          <w:rFonts w:ascii="Arial" w:hAnsi="Arial" w:cs="Arial"/>
        </w:rPr>
        <w:t>more than double that of pupils with no identified SEN. Similarly, autistic pupils are twice as likely to face regular fixed-term suspensions as those without SEND.</w:t>
      </w:r>
      <w:r w:rsidRPr="005F0E8B">
        <w:rPr>
          <w:rFonts w:ascii="Arial" w:hAnsi="Arial" w:cs="Arial"/>
        </w:rPr>
        <w:t xml:space="preserve"> The current approach to behaviour in school is not working for autistic pupils, </w:t>
      </w:r>
      <w:r w:rsidRPr="005F0E8B">
        <w:rPr>
          <w:rFonts w:ascii="Arial" w:hAnsi="Arial" w:cs="Arial"/>
        </w:rPr>
        <w:t>exacerbating already high levels of lost learning in this group.</w:t>
      </w:r>
      <w:r w:rsidRPr="005F0E8B">
        <w:rPr>
          <w:rFonts w:ascii="Arial" w:hAnsi="Arial" w:cs="Arial"/>
        </w:rPr>
        <w:t xml:space="preserve"> </w:t>
      </w:r>
    </w:p>
    <w:p w:rsidR="004D065B" w:rsidRPr="00226D2C" w:rsidP="00226D2C">
      <w:pPr>
        <w:pStyle w:val="ListParagraph"/>
        <w:rPr>
          <w:rFonts w:ascii="Arial" w:hAnsi="Arial" w:cs="Arial"/>
        </w:rPr>
      </w:pPr>
    </w:p>
    <w:p w:rsidR="004D065B" w:rsidP="00226D2C">
      <w:pPr>
        <w:pStyle w:val="ListParagraph"/>
        <w:numPr>
          <w:ilvl w:val="0"/>
          <w:numId w:val="2"/>
        </w:numPr>
        <w:spacing w:after="0"/>
        <w:rPr>
          <w:rFonts w:ascii="Arial" w:hAnsi="Arial" w:cs="Arial"/>
        </w:rPr>
      </w:pPr>
      <w:r w:rsidRPr="005F0E8B">
        <w:rPr>
          <w:rFonts w:ascii="Arial" w:hAnsi="Arial" w:cs="Arial"/>
        </w:rPr>
        <w:t>No child should end up out of education altogether over</w:t>
      </w:r>
      <w:r w:rsidRPr="005F0E8B">
        <w:rPr>
          <w:rFonts w:ascii="Arial" w:hAnsi="Arial" w:cs="Arial"/>
        </w:rPr>
        <w:t xml:space="preserve"> an avoidable meltdown, minor uniform infractions or the way their body moves. Young autistic people describe behaviour systems that interpret autistic traits as defiance or poor behaviour</w:t>
      </w:r>
      <w:r w:rsidRPr="005F0E8B">
        <w:rPr>
          <w:rFonts w:ascii="Arial" w:hAnsi="Arial" w:cs="Arial"/>
        </w:rPr>
        <w:t xml:space="preserve">. Instead, schools should seek to understand what is driving this behaviour and respond with understanding and support. For example, sensory-friendly uniform options, </w:t>
      </w:r>
      <w:r w:rsidRPr="005F0E8B">
        <w:rPr>
          <w:rFonts w:ascii="Arial" w:hAnsi="Arial" w:cs="Arial"/>
        </w:rPr>
        <w:t>predictable lesson structures and advance notice of changes can all reduce d</w:t>
      </w:r>
      <w:r w:rsidRPr="005F0E8B">
        <w:rPr>
          <w:rFonts w:ascii="Arial" w:hAnsi="Arial" w:cs="Arial"/>
        </w:rPr>
        <w:t>istress, anxiety and the associated disruption.</w:t>
      </w:r>
    </w:p>
    <w:p w:rsidR="004D065B" w:rsidRPr="005F0E8B" w:rsidP="005F0E8B">
      <w:pPr>
        <w:spacing w:after="0"/>
        <w:rPr>
          <w:rFonts w:ascii="Arial" w:hAnsi="Arial" w:cs="Arial"/>
        </w:rPr>
      </w:pPr>
    </w:p>
    <w:p w:rsidR="004D065B" w:rsidP="00226D2C">
      <w:pPr>
        <w:pStyle w:val="ListParagraph"/>
        <w:numPr>
          <w:ilvl w:val="0"/>
          <w:numId w:val="2"/>
        </w:numPr>
        <w:spacing w:after="0"/>
        <w:rPr>
          <w:rFonts w:ascii="Arial" w:hAnsi="Arial" w:cs="Arial"/>
        </w:rPr>
      </w:pPr>
      <w:r w:rsidRPr="001C0793">
        <w:rPr>
          <w:rFonts w:ascii="Arial" w:hAnsi="Arial" w:cs="Arial"/>
        </w:rPr>
        <w:t>The White Paper provides relatively little guidance on the distinct factors that shape behaviour for autistic children and young people, or SEND pupils, or how behaviour policies should respond to those experiences.</w:t>
      </w:r>
      <w:r>
        <w:rPr>
          <w:rFonts w:ascii="Arial" w:hAnsi="Arial" w:cs="Arial"/>
        </w:rPr>
        <w:t xml:space="preserve"> U</w:t>
      </w:r>
      <w:r>
        <w:rPr>
          <w:rFonts w:ascii="Arial" w:hAnsi="Arial" w:cs="Arial"/>
        </w:rPr>
        <w:t>nlike attendance and attainment, no national ambition has been set for reducing suspensions and exclusions, making it less clear how the success of these reforms will be measured.</w:t>
      </w:r>
    </w:p>
    <w:p w:rsidR="004D065B" w:rsidRPr="0020003A" w:rsidP="0020003A">
      <w:pPr>
        <w:pStyle w:val="ListParagraph"/>
        <w:rPr>
          <w:rFonts w:ascii="Arial" w:hAnsi="Arial" w:cs="Arial"/>
        </w:rPr>
      </w:pPr>
    </w:p>
    <w:p w:rsidR="004D065B" w:rsidP="0020003A">
      <w:pPr>
        <w:pStyle w:val="ListParagraph"/>
        <w:numPr>
          <w:ilvl w:val="0"/>
          <w:numId w:val="2"/>
        </w:numPr>
        <w:spacing w:after="0"/>
        <w:rPr>
          <w:rFonts w:ascii="Arial" w:hAnsi="Arial" w:cs="Arial"/>
        </w:rPr>
      </w:pPr>
      <w:r w:rsidRPr="001C0793">
        <w:rPr>
          <w:rFonts w:ascii="Arial" w:hAnsi="Arial" w:cs="Arial"/>
        </w:rPr>
        <w:t>Successful implementation will depend on whether schools have the expertise, resources and flexibility to identify and address underlying needs, and whether behaviour policies recognise that behaviours of concern can arise from the interaction between pupils and their school environment, rather than the child alone.</w:t>
      </w:r>
      <w:r>
        <w:rPr>
          <w:rFonts w:ascii="Arial" w:hAnsi="Arial" w:cs="Arial"/>
        </w:rPr>
        <w:t xml:space="preserve"> </w:t>
      </w:r>
      <w:r w:rsidRPr="0020003A">
        <w:rPr>
          <w:rFonts w:ascii="Arial" w:hAnsi="Arial" w:cs="Arial"/>
        </w:rPr>
        <w:t xml:space="preserve">It will also be important to monitor how the updated exclusions framework, including new approaches to internal suspensions and safeguarding separation, is implemented in practice to ensure greater flexibility does not inadvertently increase exclusionary practice or reduce safeguards for autistic pupils.  </w:t>
      </w:r>
    </w:p>
    <w:p w:rsidR="0077763C" w:rsidP="0077763C">
      <w:pPr>
        <w:spacing w:after="0"/>
        <w:rPr>
          <w:rFonts w:ascii="Arial" w:hAnsi="Arial" w:cs="Arial"/>
        </w:rPr>
      </w:pPr>
    </w:p>
    <w:p w:rsidR="0077763C" w:rsidRPr="0077763C" w:rsidP="0077763C">
      <w:pPr>
        <w:spacing w:after="0"/>
        <w:rPr>
          <w:rFonts w:ascii="Arial" w:hAnsi="Arial" w:cs="Arial"/>
          <w:i/>
          <w:iCs/>
        </w:rPr>
      </w:pPr>
      <w:r w:rsidRPr="0077763C">
        <w:rPr>
          <w:rFonts w:ascii="Arial" w:hAnsi="Arial" w:cs="Arial"/>
          <w:i/>
          <w:iCs/>
        </w:rPr>
        <w:t>September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D065B" w:rsidP="00F62100">
      <w:pPr>
        <w:spacing w:after="0" w:line="240" w:lineRule="auto"/>
      </w:pPr>
      <w:r>
        <w:separator/>
      </w:r>
    </w:p>
  </w:footnote>
  <w:footnote w:type="continuationSeparator" w:id="1">
    <w:p w:rsidR="004D065B" w:rsidP="00F62100">
      <w:pPr>
        <w:spacing w:after="0" w:line="240" w:lineRule="auto"/>
      </w:pPr>
      <w:r>
        <w:continuationSeparator/>
      </w:r>
    </w:p>
  </w:footnote>
  <w:footnote w:id="2">
    <w:p w:rsidR="004D065B" w:rsidP="00C86326">
      <w:pPr>
        <w:pStyle w:val="FootnoteText"/>
      </w:pPr>
      <w:r>
        <w:rPr>
          <w:rStyle w:val="FootnoteReference"/>
        </w:rPr>
        <w:footnoteRef/>
      </w:r>
      <w:r>
        <w:t xml:space="preserve"> </w:t>
      </w:r>
      <w:r w:rsidRPr="002979DC">
        <w:t xml:space="preserve"> Department for Education </w:t>
      </w:r>
      <w:r>
        <w:fldChar w:fldCharType="begin"/>
      </w:r>
      <w:r>
        <w:instrText xml:space="preserve"> HYPERLINK "https://explore-education-statistics.service.gov.uk/find-statistics/key-stage-4-performance/2023-24" </w:instrText>
      </w:r>
      <w:r>
        <w:fldChar w:fldCharType="separate"/>
      </w:r>
      <w:r w:rsidRPr="002979DC">
        <w:rPr>
          <w:rStyle w:val="Hyperlink"/>
        </w:rPr>
        <w:t>Key stage 4 performance for autistic pupils</w:t>
      </w:r>
      <w:r>
        <w:fldChar w:fldCharType="end"/>
      </w:r>
      <w:r w:rsidRPr="002979DC">
        <w:t xml:space="preserve"> </w:t>
      </w:r>
      <w:r w:rsidRPr="002979DC">
        <w:rPr>
          <w:b/>
          <w:bCs/>
        </w:rPr>
        <w:t>Published April 2025</w:t>
      </w:r>
    </w:p>
  </w:footnote>
  <w:footnote w:id="3">
    <w:p w:rsidR="004D065B" w:rsidP="00C86326">
      <w:pPr>
        <w:pStyle w:val="FootnoteText"/>
      </w:pPr>
      <w:r>
        <w:rPr>
          <w:rStyle w:val="FootnoteReference"/>
        </w:rPr>
        <w:footnoteRef/>
      </w:r>
      <w:r>
        <w:t xml:space="preserve"> </w:t>
      </w:r>
      <w:r w:rsidRPr="00263E6E">
        <w:t> </w:t>
      </w:r>
      <w:r>
        <w:fldChar w:fldCharType="begin"/>
      </w:r>
      <w:r>
        <w:instrText xml:space="preserve"> HYPERLINK "https://explore-education-statistics.service.gov.uk/data-tables/permalink/6b0c8697-fbb0-49a1-ce41-08dd66bfee22" </w:instrText>
      </w:r>
      <w:r>
        <w:fldChar w:fldCharType="separate"/>
      </w:r>
      <w:r w:rsidRPr="00263E6E">
        <w:rPr>
          <w:rStyle w:val="Hyperlink"/>
        </w:rPr>
        <w:t>'Absence by pupil characteristics' from 'Pupil absence in schools in England'</w:t>
      </w:r>
      <w:r>
        <w:fldChar w:fldCharType="end"/>
      </w:r>
      <w:r w:rsidRPr="00263E6E">
        <w:t xml:space="preserve"> </w:t>
      </w:r>
      <w:r w:rsidRPr="00263E6E">
        <w:rPr>
          <w:b/>
          <w:bCs/>
        </w:rPr>
        <w:t>Published March 2025</w:t>
      </w:r>
    </w:p>
  </w:footnote>
  <w:footnote w:id="4">
    <w:p w:rsidR="004D065B" w:rsidP="00C86326">
      <w:pPr>
        <w:pStyle w:val="FootnoteText"/>
      </w:pPr>
      <w:r>
        <w:rPr>
          <w:rStyle w:val="FootnoteReference"/>
        </w:rPr>
        <w:footnoteRef/>
      </w:r>
      <w:r>
        <w:t xml:space="preserve"> </w:t>
      </w:r>
      <w:r w:rsidRPr="00B8431A">
        <w:t xml:space="preserve">Ambitious about Autism. </w:t>
      </w:r>
      <w:r>
        <w:fldChar w:fldCharType="begin"/>
      </w:r>
      <w:r>
        <w:instrText xml:space="preserve"> HYPERLINK "https://www.ambitiousaboutautism.org.uk/what-we-do/policy-and-campaigns/campaigns/education/when-will-we-learn-lost-learning" </w:instrText>
      </w:r>
      <w:r>
        <w:fldChar w:fldCharType="separate"/>
      </w:r>
      <w:r w:rsidRPr="00F32F00">
        <w:rPr>
          <w:rStyle w:val="Hyperlink"/>
        </w:rPr>
        <w:t>When will we learn: Lost Learning</w:t>
      </w:r>
      <w:r>
        <w:fldChar w:fldCharType="end"/>
      </w:r>
      <w:r w:rsidRPr="00B8431A">
        <w:t xml:space="preserve"> </w:t>
      </w:r>
      <w:r w:rsidRPr="00B8431A">
        <w:rPr>
          <w:b/>
          <w:bCs/>
        </w:rPr>
        <w:t>Published March 2025</w:t>
      </w:r>
    </w:p>
  </w:footnote>
  <w:footnote w:id="5">
    <w:p w:rsidR="004D065B" w:rsidP="007632FE">
      <w:pPr>
        <w:pStyle w:val="FootnoteText"/>
      </w:pPr>
      <w:r>
        <w:rPr>
          <w:rStyle w:val="FootnoteReference"/>
        </w:rPr>
        <w:footnoteRef/>
      </w:r>
      <w:r>
        <w:t xml:space="preserve"> </w:t>
      </w:r>
      <w:r w:rsidRPr="00610D3B">
        <w:t xml:space="preserve">Department for Work and Pensions. </w:t>
      </w:r>
      <w:r>
        <w:fldChar w:fldCharType="begin"/>
      </w:r>
      <w:r>
        <w:instrText xml:space="preserve"> HYPERLINK "https://www.gov.uk/government/statistics/the-employment-of-disabled-people-2025/the-employment-of-disabled-people-2025" \l "labour-market-status" </w:instrText>
      </w:r>
      <w:r>
        <w:fldChar w:fldCharType="separate"/>
      </w:r>
      <w:r w:rsidRPr="00610D3B">
        <w:rPr>
          <w:rStyle w:val="Hyperlink"/>
        </w:rPr>
        <w:t>The employment of disabled people 2025</w:t>
      </w:r>
      <w:r>
        <w:fldChar w:fldCharType="end"/>
      </w:r>
      <w:r w:rsidRPr="00610D3B">
        <w:t xml:space="preserve">. </w:t>
      </w:r>
      <w:r w:rsidRPr="00610D3B">
        <w:rPr>
          <w:b/>
          <w:bCs/>
        </w:rPr>
        <w:t>Published November 2025</w:t>
      </w:r>
    </w:p>
  </w:footnote>
  <w:footnote w:id="6">
    <w:p w:rsidR="004D065B" w:rsidP="007632FE">
      <w:pPr>
        <w:pStyle w:val="FootnoteText"/>
      </w:pPr>
      <w:r>
        <w:rPr>
          <w:rStyle w:val="FootnoteReference"/>
        </w:rPr>
        <w:footnoteRef/>
      </w:r>
      <w:r>
        <w:t xml:space="preserve"> </w:t>
      </w:r>
      <w:r w:rsidRPr="00626E55">
        <w:t xml:space="preserve">The Association of Graduates Careers Advisory Services. </w:t>
      </w:r>
      <w:r>
        <w:fldChar w:fldCharType="begin"/>
      </w:r>
      <w:r>
        <w:instrText xml:space="preserve"> HYPERLINK "https://zkvgzcruhniduuswbfyh.supabase.co/storage/v1/object/public/file-repository/uploads/1764687644714-zh02rwq-WhatHappensNext2025.pdf" </w:instrText>
      </w:r>
      <w:r>
        <w:fldChar w:fldCharType="separate"/>
      </w:r>
      <w:r w:rsidRPr="00626E55">
        <w:rPr>
          <w:rStyle w:val="Hyperlink"/>
        </w:rPr>
        <w:t>What Happens Next? report 2025.</w:t>
      </w:r>
      <w:r>
        <w:fldChar w:fldCharType="end"/>
      </w:r>
      <w:r w:rsidRPr="00626E55">
        <w:t xml:space="preserve"> </w:t>
      </w:r>
      <w:r w:rsidRPr="00626E55">
        <w:rPr>
          <w:b/>
          <w:bCs/>
        </w:rPr>
        <w:t>Published 2025</w:t>
      </w:r>
    </w:p>
  </w:footnote>
  <w:footnote w:id="7">
    <w:p w:rsidR="004D065B" w:rsidP="00207F7A">
      <w:pPr>
        <w:pStyle w:val="FootnoteText"/>
      </w:pPr>
      <w:r>
        <w:rPr>
          <w:rStyle w:val="FootnoteReference"/>
        </w:rPr>
        <w:footnoteRef/>
      </w:r>
      <w:r>
        <w:t xml:space="preserve"> </w:t>
      </w:r>
      <w:r>
        <w:fldChar w:fldCharType="begin"/>
      </w:r>
      <w:r>
        <w:instrText xml:space="preserve"> HYPERLINK "https://explore-education-statistics.service.gov.uk/data-tables/permalink/6b0c8697-fbb0-49a1-ce41-08dd66bfee22" </w:instrText>
      </w:r>
      <w:r>
        <w:fldChar w:fldCharType="separate"/>
      </w:r>
      <w:r w:rsidRPr="00894792">
        <w:rPr>
          <w:rStyle w:val="Hyperlink"/>
        </w:rPr>
        <w:t>Absence by pupil characteristics' from 'Pupil absence in schools in England'</w:t>
      </w:r>
      <w:r>
        <w:fldChar w:fldCharType="end"/>
      </w:r>
      <w:r w:rsidRPr="00894792">
        <w:t xml:space="preserve"> </w:t>
      </w:r>
      <w:r w:rsidRPr="00894792">
        <w:rPr>
          <w:b/>
          <w:bCs/>
        </w:rPr>
        <w:t>Published March 2025</w:t>
      </w:r>
    </w:p>
  </w:footnote>
  <w:footnote w:id="8">
    <w:p w:rsidR="004D065B" w:rsidP="00207F7A">
      <w:pPr>
        <w:pStyle w:val="FootnoteText"/>
      </w:pPr>
      <w:r>
        <w:rPr>
          <w:rStyle w:val="FootnoteReference"/>
        </w:rPr>
        <w:footnoteRef/>
      </w:r>
      <w:r>
        <w:t xml:space="preserve"> </w:t>
      </w:r>
      <w:r w:rsidRPr="009965C4">
        <w:t xml:space="preserve">Ambitious about Autism </w:t>
      </w:r>
      <w:r>
        <w:fldChar w:fldCharType="begin"/>
      </w:r>
      <w:r>
        <w:instrText xml:space="preserve"> HYPERLINK "https://www.ambitiousaboutautism.org.uk/sites/default/files/files/ambitious-about-autism-when-will-we-learn-lost-learning-report.pdf" </w:instrText>
      </w:r>
      <w:r>
        <w:fldChar w:fldCharType="separate"/>
      </w:r>
      <w:r w:rsidRPr="009965C4">
        <w:rPr>
          <w:rStyle w:val="Hyperlink"/>
        </w:rPr>
        <w:t xml:space="preserve">When will we </w:t>
      </w:r>
      <w:r w:rsidRPr="009965C4">
        <w:rPr>
          <w:rStyle w:val="Hyperlink"/>
        </w:rPr>
        <w:t>learn?:</w:t>
      </w:r>
      <w:r w:rsidRPr="009965C4">
        <w:rPr>
          <w:rStyle w:val="Hyperlink"/>
        </w:rPr>
        <w:t xml:space="preserve"> Lost learning report</w:t>
      </w:r>
      <w:r>
        <w:fldChar w:fldCharType="end"/>
      </w:r>
      <w:r w:rsidRPr="009965C4">
        <w:t xml:space="preserve"> </w:t>
      </w:r>
      <w:r w:rsidRPr="009965C4">
        <w:rPr>
          <w:b/>
          <w:bCs/>
        </w:rPr>
        <w:t>Published March 2025</w:t>
      </w:r>
    </w:p>
  </w:footnote>
  <w:footnote w:id="9">
    <w:p w:rsidR="004D065B" w:rsidP="007152F9">
      <w:pPr>
        <w:pStyle w:val="FootnoteText"/>
      </w:pPr>
      <w:r>
        <w:rPr>
          <w:rStyle w:val="FootnoteReference"/>
        </w:rPr>
        <w:footnoteRef/>
      </w:r>
      <w:r>
        <w:t xml:space="preserve"> </w:t>
      </w:r>
      <w:r w:rsidRPr="00D008B6">
        <w:t xml:space="preserve">Ambitious about Autism. </w:t>
      </w:r>
      <w:r>
        <w:fldChar w:fldCharType="begin"/>
      </w:r>
      <w:r>
        <w:instrText xml:space="preserve"> HYPERLINK "https://www.ambitiousaboutautism.org.uk/what-we-do/policy-and-campaigns/campaigns/education/when-will-we-learn-lost-learning" </w:instrText>
      </w:r>
      <w:r>
        <w:fldChar w:fldCharType="separate"/>
      </w:r>
      <w:r w:rsidRPr="00D008B6">
        <w:rPr>
          <w:rStyle w:val="Hyperlink"/>
        </w:rPr>
        <w:t>When will we learn: Lost Learning</w:t>
      </w:r>
      <w:r>
        <w:fldChar w:fldCharType="end"/>
      </w:r>
      <w:r w:rsidRPr="00D008B6">
        <w:t xml:space="preserve"> </w:t>
      </w:r>
      <w:r w:rsidRPr="00D008B6">
        <w:rPr>
          <w:b/>
          <w:bCs/>
        </w:rPr>
        <w:t>Published March 2025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8610D3"/>
    <w:multiLevelType w:val="hybridMultilevel"/>
    <w:tmpl w:val="48D8DCC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3D460E0"/>
    <w:multiLevelType w:val="hybridMultilevel"/>
    <w:tmpl w:val="D2E07AD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5AA346D"/>
    <w:multiLevelType w:val="hybridMultilevel"/>
    <w:tmpl w:val="EE804FD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30BA012E"/>
    <w:multiLevelType w:val="hybridMultilevel"/>
    <w:tmpl w:val="CC54274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48080E93"/>
    <w:multiLevelType w:val="hybridMultilevel"/>
    <w:tmpl w:val="D2E07AD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62797AA4"/>
    <w:multiLevelType w:val="hybridMultilevel"/>
    <w:tmpl w:val="85C0B4A6"/>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637417BE"/>
    <w:multiLevelType w:val="hybridMultilevel"/>
    <w:tmpl w:val="EC7041A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680D0E1F"/>
    <w:multiLevelType w:val="hybridMultilevel"/>
    <w:tmpl w:val="E68C1B3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6DE65222"/>
    <w:multiLevelType w:val="hybridMultilevel"/>
    <w:tmpl w:val="3DC656F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6E160554"/>
    <w:multiLevelType w:val="hybridMultilevel"/>
    <w:tmpl w:val="083081D4"/>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73FC6E4F"/>
    <w:multiLevelType w:val="hybridMultilevel"/>
    <w:tmpl w:val="38A213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76207277"/>
    <w:multiLevelType w:val="hybridMultilevel"/>
    <w:tmpl w:val="3172738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D1A1786"/>
    <w:multiLevelType w:val="hybridMultilevel"/>
    <w:tmpl w:val="49A4923A"/>
    <w:lvl w:ilvl="0">
      <w:start w:val="0"/>
      <w:numFmt w:val="bullet"/>
      <w:lvlText w:val=""/>
      <w:lvlJc w:val="left"/>
      <w:pPr>
        <w:ind w:left="720" w:hanging="360"/>
      </w:pPr>
      <w:rPr>
        <w:rFonts w:ascii="Symbol" w:hAnsi="Symbol" w:eastAsiaTheme="minorHAns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2"/>
  </w:num>
  <w:num w:numId="2">
    <w:abstractNumId w:val="1"/>
  </w:num>
  <w:num w:numId="3">
    <w:abstractNumId w:val="6"/>
  </w:num>
  <w:num w:numId="4">
    <w:abstractNumId w:val="9"/>
  </w:num>
  <w:num w:numId="5">
    <w:abstractNumId w:val="2"/>
  </w:num>
  <w:num w:numId="6">
    <w:abstractNumId w:val="7"/>
  </w:num>
  <w:num w:numId="7">
    <w:abstractNumId w:val="11"/>
  </w:num>
  <w:num w:numId="8">
    <w:abstractNumId w:val="5"/>
  </w:num>
  <w:num w:numId="9">
    <w:abstractNumId w:val="0"/>
  </w:num>
  <w:num w:numId="10">
    <w:abstractNumId w:val="3"/>
  </w:num>
  <w:num w:numId="11">
    <w:abstractNumId w:val="8"/>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EB49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B49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B493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B493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B493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B49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9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9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9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93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B493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B493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B493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B493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B49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9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9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93A"/>
    <w:rPr>
      <w:rFonts w:eastAsiaTheme="majorEastAsia" w:cstheme="majorBidi"/>
      <w:color w:val="272727" w:themeColor="text1" w:themeTint="D8"/>
    </w:rPr>
  </w:style>
  <w:style w:type="paragraph" w:styleId="Title">
    <w:name w:val="Title"/>
    <w:basedOn w:val="Normal"/>
    <w:next w:val="Normal"/>
    <w:link w:val="TitleChar"/>
    <w:uiPriority w:val="10"/>
    <w:qFormat/>
    <w:rsid w:val="00EB49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9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9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9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93A"/>
    <w:pPr>
      <w:spacing w:before="160"/>
      <w:jc w:val="center"/>
    </w:pPr>
    <w:rPr>
      <w:i/>
      <w:iCs/>
      <w:color w:val="404040" w:themeColor="text1" w:themeTint="BF"/>
    </w:rPr>
  </w:style>
  <w:style w:type="character" w:customStyle="1" w:styleId="QuoteChar">
    <w:name w:val="Quote Char"/>
    <w:basedOn w:val="DefaultParagraphFont"/>
    <w:link w:val="Quote"/>
    <w:uiPriority w:val="29"/>
    <w:rsid w:val="00EB493A"/>
    <w:rPr>
      <w:i/>
      <w:iCs/>
      <w:color w:val="404040" w:themeColor="text1" w:themeTint="BF"/>
    </w:rPr>
  </w:style>
  <w:style w:type="paragraph" w:styleId="ListParagraph">
    <w:name w:val="List Paragraph"/>
    <w:basedOn w:val="Normal"/>
    <w:link w:val="ListParagraphChar"/>
    <w:uiPriority w:val="34"/>
    <w:qFormat/>
    <w:rsid w:val="00EB493A"/>
    <w:pPr>
      <w:ind w:left="720"/>
      <w:contextualSpacing/>
    </w:pPr>
  </w:style>
  <w:style w:type="character" w:styleId="IntenseEmphasis">
    <w:name w:val="Intense Emphasis"/>
    <w:basedOn w:val="DefaultParagraphFont"/>
    <w:uiPriority w:val="21"/>
    <w:qFormat/>
    <w:rsid w:val="00EB493A"/>
    <w:rPr>
      <w:i/>
      <w:iCs/>
      <w:color w:val="2F5496" w:themeColor="accent1" w:themeShade="BF"/>
    </w:rPr>
  </w:style>
  <w:style w:type="paragraph" w:styleId="IntenseQuote">
    <w:name w:val="Intense Quote"/>
    <w:basedOn w:val="Normal"/>
    <w:next w:val="Normal"/>
    <w:link w:val="IntenseQuoteChar"/>
    <w:uiPriority w:val="30"/>
    <w:qFormat/>
    <w:rsid w:val="00EB49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B493A"/>
    <w:rPr>
      <w:i/>
      <w:iCs/>
      <w:color w:val="2F5496" w:themeColor="accent1" w:themeShade="BF"/>
    </w:rPr>
  </w:style>
  <w:style w:type="character" w:styleId="IntenseReference">
    <w:name w:val="Intense Reference"/>
    <w:basedOn w:val="DefaultParagraphFont"/>
    <w:uiPriority w:val="32"/>
    <w:qFormat/>
    <w:rsid w:val="00EB493A"/>
    <w:rPr>
      <w:b/>
      <w:bCs/>
      <w:smallCaps/>
      <w:color w:val="2F5496" w:themeColor="accent1" w:themeShade="BF"/>
      <w:spacing w:val="5"/>
    </w:rPr>
  </w:style>
  <w:style w:type="character" w:customStyle="1" w:styleId="ListParagraphChar">
    <w:name w:val="List Paragraph Char"/>
    <w:basedOn w:val="DefaultParagraphFont"/>
    <w:link w:val="ListParagraph"/>
    <w:uiPriority w:val="34"/>
    <w:rsid w:val="0008283C"/>
  </w:style>
  <w:style w:type="character" w:styleId="CommentReference">
    <w:name w:val="annotation reference"/>
    <w:basedOn w:val="DefaultParagraphFont"/>
    <w:uiPriority w:val="99"/>
    <w:semiHidden/>
    <w:unhideWhenUsed/>
    <w:rsid w:val="006E457C"/>
    <w:rPr>
      <w:sz w:val="16"/>
      <w:szCs w:val="16"/>
    </w:rPr>
  </w:style>
  <w:style w:type="paragraph" w:styleId="CommentText">
    <w:name w:val="annotation text"/>
    <w:basedOn w:val="Normal"/>
    <w:link w:val="CommentTextChar"/>
    <w:uiPriority w:val="99"/>
    <w:unhideWhenUsed/>
    <w:rsid w:val="006E457C"/>
    <w:pPr>
      <w:spacing w:line="240" w:lineRule="auto"/>
    </w:pPr>
    <w:rPr>
      <w:sz w:val="20"/>
      <w:szCs w:val="20"/>
    </w:rPr>
  </w:style>
  <w:style w:type="character" w:customStyle="1" w:styleId="CommentTextChar">
    <w:name w:val="Comment Text Char"/>
    <w:basedOn w:val="DefaultParagraphFont"/>
    <w:link w:val="CommentText"/>
    <w:uiPriority w:val="99"/>
    <w:rsid w:val="006E457C"/>
    <w:rPr>
      <w:sz w:val="20"/>
      <w:szCs w:val="20"/>
    </w:rPr>
  </w:style>
  <w:style w:type="paragraph" w:styleId="CommentSubject">
    <w:name w:val="annotation subject"/>
    <w:basedOn w:val="CommentText"/>
    <w:next w:val="CommentText"/>
    <w:link w:val="CommentSubjectChar"/>
    <w:uiPriority w:val="99"/>
    <w:semiHidden/>
    <w:unhideWhenUsed/>
    <w:rsid w:val="006E457C"/>
    <w:rPr>
      <w:b/>
      <w:bCs/>
    </w:rPr>
  </w:style>
  <w:style w:type="character" w:customStyle="1" w:styleId="CommentSubjectChar">
    <w:name w:val="Comment Subject Char"/>
    <w:basedOn w:val="CommentTextChar"/>
    <w:link w:val="CommentSubject"/>
    <w:uiPriority w:val="99"/>
    <w:semiHidden/>
    <w:rsid w:val="006E457C"/>
    <w:rPr>
      <w:b/>
      <w:bCs/>
      <w:sz w:val="20"/>
      <w:szCs w:val="20"/>
    </w:rPr>
  </w:style>
  <w:style w:type="paragraph" w:styleId="Header">
    <w:name w:val="header"/>
    <w:basedOn w:val="Normal"/>
    <w:link w:val="HeaderChar"/>
    <w:uiPriority w:val="99"/>
    <w:unhideWhenUsed/>
    <w:rsid w:val="00F621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2100"/>
  </w:style>
  <w:style w:type="paragraph" w:styleId="Footer">
    <w:name w:val="footer"/>
    <w:basedOn w:val="Normal"/>
    <w:link w:val="FooterChar"/>
    <w:uiPriority w:val="99"/>
    <w:unhideWhenUsed/>
    <w:rsid w:val="00F621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2100"/>
  </w:style>
  <w:style w:type="character" w:customStyle="1" w:styleId="normaltextrun">
    <w:name w:val="normaltextrun"/>
    <w:basedOn w:val="DefaultParagraphFont"/>
    <w:rsid w:val="00F37E69"/>
  </w:style>
  <w:style w:type="character" w:styleId="Hyperlink">
    <w:name w:val="Hyperlink"/>
    <w:basedOn w:val="DefaultParagraphFont"/>
    <w:uiPriority w:val="99"/>
    <w:unhideWhenUsed/>
    <w:rsid w:val="00C86326"/>
    <w:rPr>
      <w:color w:val="0563C1" w:themeColor="hyperlink"/>
      <w:u w:val="single"/>
    </w:rPr>
  </w:style>
  <w:style w:type="paragraph" w:styleId="FootnoteText">
    <w:name w:val="footnote text"/>
    <w:basedOn w:val="Normal"/>
    <w:link w:val="FootnoteTextChar"/>
    <w:uiPriority w:val="99"/>
    <w:unhideWhenUsed/>
    <w:rsid w:val="00C86326"/>
    <w:pPr>
      <w:spacing w:after="0" w:line="240" w:lineRule="auto"/>
    </w:pPr>
    <w:rPr>
      <w:sz w:val="20"/>
      <w:szCs w:val="20"/>
    </w:rPr>
  </w:style>
  <w:style w:type="character" w:customStyle="1" w:styleId="FootnoteTextChar">
    <w:name w:val="Footnote Text Char"/>
    <w:basedOn w:val="DefaultParagraphFont"/>
    <w:link w:val="FootnoteText"/>
    <w:uiPriority w:val="99"/>
    <w:rsid w:val="00C86326"/>
    <w:rPr>
      <w:sz w:val="20"/>
      <w:szCs w:val="20"/>
    </w:rPr>
  </w:style>
  <w:style w:type="character" w:styleId="FootnoteReference">
    <w:name w:val="footnote reference"/>
    <w:basedOn w:val="DefaultParagraphFont"/>
    <w:uiPriority w:val="99"/>
    <w:semiHidden/>
    <w:unhideWhenUsed/>
    <w:rsid w:val="00C863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8401905AC5394D995FF1697F86A15E" ma:contentTypeVersion="17" ma:contentTypeDescription="Create a new document." ma:contentTypeScope="" ma:versionID="63e5b393cabc44142dd993b20c2fecc5">
  <xsd:schema xmlns:xsd="http://www.w3.org/2001/XMLSchema" xmlns:xs="http://www.w3.org/2001/XMLSchema" xmlns:p="http://schemas.microsoft.com/office/2006/metadata/properties" xmlns:ns2="25b17aa3-9918-426b-8799-d493e824b25e" xmlns:ns3="39eabc71-7989-420c-bd52-cb89af2386c2" targetNamespace="http://schemas.microsoft.com/office/2006/metadata/properties" ma:root="true" ma:fieldsID="087daa387e41b144c576a96aa698b995" ns2:_="" ns3:_="">
    <xsd:import namespace="25b17aa3-9918-426b-8799-d493e824b25e"/>
    <xsd:import namespace="39eabc71-7989-420c-bd52-cb89af2386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b17aa3-9918-426b-8799-d493e824b2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1580137-4ab1-4d54-8160-c1b72fa6f2b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9eabc71-7989-420c-bd52-cb89af2386c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eb9adf89-5921-4bdf-88f6-b6f3aee4ee2e}" ma:internalName="TaxCatchAll" ma:showField="CatchAllData" ma:web="39eabc71-7989-420c-bd52-cb89af2386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9eabc71-7989-420c-bd52-cb89af2386c2" xsi:nil="true"/>
    <lcf76f155ced4ddcb4097134ff3c332f xmlns="25b17aa3-9918-426b-8799-d493e824b25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944509E-2464-43B0-8137-9464A9B44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b17aa3-9918-426b-8799-d493e824b25e"/>
    <ds:schemaRef ds:uri="39eabc71-7989-420c-bd52-cb89af2386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5169F9-7226-42C0-B129-1E0636E20C0E}">
  <ds:schemaRefs>
    <ds:schemaRef ds:uri="http://schemas.microsoft.com/sharepoint/v3/contenttype/forms"/>
  </ds:schemaRefs>
</ds:datastoreItem>
</file>

<file path=customXml/itemProps3.xml><?xml version="1.0" encoding="utf-8"?>
<ds:datastoreItem xmlns:ds="http://schemas.openxmlformats.org/officeDocument/2006/customXml" ds:itemID="{371C99E4-1EBD-4CEC-A609-A113893DADC3}">
  <ds:schemaRefs>
    <ds:schemaRef ds:uri="http://schemas.microsoft.com/office/2006/metadata/properties"/>
    <ds:schemaRef ds:uri="http://schemas.microsoft.com/office/infopath/2007/PartnerControls"/>
    <ds:schemaRef ds:uri="39eabc71-7989-420c-bd52-cb89af2386c2"/>
    <ds:schemaRef ds:uri="25b17aa3-9918-426b-8799-d493e824b25e"/>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ECA0158</dc:title>
  <cp:revision>0</cp:revision>
</cp:coreProperties>
</file>