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5340" w:rsidP="00465340">
      <w:pPr>
        <w:spacing w:line="240" w:lineRule="auto"/>
        <w:jc w:val="center"/>
        <w:rPr>
          <w:b/>
          <w:bCs/>
          <w:sz w:val="32"/>
          <w:szCs w:val="32"/>
        </w:rPr>
      </w:pPr>
      <w:r>
        <w:rPr>
          <w:b/>
          <w:bCs/>
          <w:sz w:val="32"/>
          <w:szCs w:val="32"/>
        </w:rPr>
        <w:t xml:space="preserve">Written evidence by </w:t>
      </w:r>
      <w:r w:rsidRPr="00465340">
        <w:rPr>
          <w:b/>
          <w:bCs/>
          <w:sz w:val="32"/>
          <w:szCs w:val="32"/>
        </w:rPr>
        <w:t>Dr Clara Rübner Jørgensen</w:t>
      </w:r>
      <w:r>
        <w:rPr>
          <w:b/>
          <w:bCs/>
          <w:sz w:val="32"/>
          <w:szCs w:val="32"/>
        </w:rPr>
        <w:t>,</w:t>
      </w:r>
      <w:r w:rsidRPr="00465340">
        <w:rPr>
          <w:b/>
          <w:bCs/>
          <w:sz w:val="32"/>
          <w:szCs w:val="32"/>
        </w:rPr>
        <w:t> Dr Thomas Perry</w:t>
      </w:r>
      <w:r>
        <w:rPr>
          <w:b/>
          <w:bCs/>
          <w:sz w:val="32"/>
          <w:szCs w:val="32"/>
        </w:rPr>
        <w:t xml:space="preserve">, </w:t>
      </w:r>
      <w:r w:rsidRPr="00465340">
        <w:rPr>
          <w:b/>
          <w:bCs/>
          <w:sz w:val="32"/>
          <w:szCs w:val="32"/>
        </w:rPr>
        <w:t>Dr Laurence Lessard-Phillips </w:t>
      </w:r>
      <w:r>
        <w:rPr>
          <w:b/>
          <w:bCs/>
          <w:sz w:val="32"/>
          <w:szCs w:val="32"/>
        </w:rPr>
        <w:t xml:space="preserve">&amp; </w:t>
      </w:r>
      <w:r w:rsidRPr="00465340">
        <w:rPr>
          <w:b/>
          <w:bCs/>
          <w:sz w:val="32"/>
          <w:szCs w:val="32"/>
        </w:rPr>
        <w:t xml:space="preserve">Dr Laura Cristescu </w:t>
      </w:r>
      <w:r>
        <w:rPr>
          <w:b/>
          <w:bCs/>
          <w:sz w:val="32"/>
          <w:szCs w:val="32"/>
        </w:rPr>
        <w:t>(ECA0156)</w:t>
      </w:r>
    </w:p>
    <w:p w:rsidR="00465340" w:rsidP="0045265A">
      <w:pPr>
        <w:spacing w:line="240" w:lineRule="auto"/>
        <w:rPr>
          <w:b/>
          <w:bCs/>
          <w:sz w:val="32"/>
          <w:szCs w:val="32"/>
        </w:rPr>
      </w:pPr>
    </w:p>
    <w:p w:rsidR="00AD2C80" w:rsidP="0045265A">
      <w:pPr>
        <w:spacing w:line="240" w:lineRule="auto"/>
        <w:rPr>
          <w:b/>
          <w:bCs/>
          <w:sz w:val="32"/>
          <w:szCs w:val="32"/>
        </w:rPr>
      </w:pPr>
      <w:r w:rsidRPr="000D414C">
        <w:rPr>
          <w:b/>
          <w:bCs/>
          <w:sz w:val="32"/>
          <w:szCs w:val="32"/>
        </w:rPr>
        <w:t>Response to the Call for Evidence: 'Every Child Achieving and Thriving' White Paper</w:t>
      </w:r>
    </w:p>
    <w:p w:rsidR="00AD2C80" w:rsidRPr="003F5A4F" w:rsidP="0045265A">
      <w:pPr>
        <w:pStyle w:val="Articletitle"/>
        <w:spacing w:before="120" w:line="240" w:lineRule="auto"/>
        <w:rPr>
          <w:b w:val="0"/>
          <w:bCs/>
          <w:i/>
          <w:iCs/>
        </w:rPr>
      </w:pPr>
      <w:r w:rsidRPr="003F5A4F">
        <w:rPr>
          <w:b w:val="0"/>
          <w:bCs/>
          <w:i/>
          <w:iCs/>
        </w:rPr>
        <w:t>30 July 2026</w:t>
      </w:r>
    </w:p>
    <w:p w:rsidR="00AD2C80" w:rsidRPr="0045265A" w:rsidP="0045265A">
      <w:pPr>
        <w:pStyle w:val="Authornames"/>
        <w:spacing w:line="240" w:lineRule="auto"/>
      </w:pPr>
      <w:r w:rsidRPr="0045265A">
        <w:t>Clara Rübner Jørgensen</w:t>
      </w:r>
      <w:r w:rsidRPr="0045265A">
        <w:rPr>
          <w:vertAlign w:val="superscript"/>
        </w:rPr>
        <w:t>a</w:t>
      </w:r>
      <w:r w:rsidRPr="0045265A">
        <w:t>, Thomas Perry</w:t>
      </w:r>
      <w:r w:rsidRPr="0045265A">
        <w:rPr>
          <w:vertAlign w:val="superscript"/>
        </w:rPr>
        <w:t>b</w:t>
      </w:r>
      <w:r w:rsidRPr="0045265A">
        <w:t xml:space="preserve">, </w:t>
      </w:r>
      <w:r w:rsidRPr="0045265A">
        <w:t>Laurence Lessard-Phillips</w:t>
      </w:r>
      <w:r w:rsidRPr="0045265A">
        <w:rPr>
          <w:vertAlign w:val="superscript"/>
        </w:rPr>
        <w:t>c</w:t>
      </w:r>
      <w:r>
        <w:t xml:space="preserve">, </w:t>
      </w:r>
      <w:r w:rsidRPr="0045265A">
        <w:t>Laura Cristescu</w:t>
      </w:r>
      <w:r w:rsidRPr="0045265A">
        <w:rPr>
          <w:vertAlign w:val="superscript"/>
        </w:rPr>
        <w:t>a</w:t>
      </w:r>
    </w:p>
    <w:p w:rsidR="00AD2C80" w:rsidRPr="007843F5" w:rsidP="0045265A">
      <w:pPr>
        <w:pStyle w:val="Affiliation"/>
        <w:spacing w:line="240" w:lineRule="auto"/>
        <w:rPr>
          <w:sz w:val="22"/>
          <w:szCs w:val="22"/>
        </w:rPr>
      </w:pPr>
      <w:r w:rsidRPr="007843F5">
        <w:rPr>
          <w:sz w:val="22"/>
          <w:szCs w:val="22"/>
          <w:vertAlign w:val="superscript"/>
        </w:rPr>
        <w:t>a</w:t>
      </w:r>
      <w:r w:rsidRPr="007843F5">
        <w:rPr>
          <w:sz w:val="22"/>
          <w:szCs w:val="22"/>
        </w:rPr>
        <w:t xml:space="preserve"> Department for Disability Inclusion and Special Needs, School of Education, University of Birmingham, UK</w:t>
      </w:r>
      <w:r w:rsidRPr="007843F5">
        <w:rPr>
          <w:sz w:val="22"/>
          <w:szCs w:val="22"/>
        </w:rPr>
        <w:br/>
      </w:r>
      <w:r w:rsidRPr="007843F5">
        <w:rPr>
          <w:sz w:val="22"/>
          <w:szCs w:val="22"/>
          <w:vertAlign w:val="superscript"/>
        </w:rPr>
        <w:t>b</w:t>
      </w:r>
      <w:r w:rsidRPr="007843F5">
        <w:rPr>
          <w:sz w:val="22"/>
          <w:szCs w:val="22"/>
        </w:rPr>
        <w:t xml:space="preserve"> </w:t>
      </w:r>
      <w:r w:rsidRPr="007843F5">
        <w:rPr>
          <w:sz w:val="22"/>
          <w:szCs w:val="22"/>
        </w:rPr>
        <w:t>School of Education, Learning and Communication Sciences</w:t>
      </w:r>
      <w:r w:rsidRPr="007843F5">
        <w:rPr>
          <w:sz w:val="22"/>
          <w:szCs w:val="22"/>
        </w:rPr>
        <w:t>, University of Warwick, UK</w:t>
      </w:r>
    </w:p>
    <w:p w:rsidR="00AD2C80" w:rsidRPr="007843F5" w:rsidP="0045265A">
      <w:pPr>
        <w:pStyle w:val="Affiliation"/>
        <w:spacing w:before="0" w:line="240" w:lineRule="auto"/>
        <w:rPr>
          <w:sz w:val="22"/>
          <w:szCs w:val="22"/>
        </w:rPr>
      </w:pPr>
      <w:r w:rsidRPr="007843F5">
        <w:rPr>
          <w:sz w:val="22"/>
          <w:szCs w:val="22"/>
          <w:vertAlign w:val="superscript"/>
        </w:rPr>
        <w:t>c</w:t>
      </w:r>
      <w:r w:rsidRPr="007843F5">
        <w:rPr>
          <w:sz w:val="22"/>
          <w:szCs w:val="22"/>
        </w:rPr>
        <w:t xml:space="preserve"> Department of Social Policy, Sociology and Criminology, University of Birmingham, UK</w:t>
      </w:r>
    </w:p>
    <w:p w:rsidR="00AD2C80" w:rsidRPr="007843F5" w:rsidP="0045265A">
      <w:pPr>
        <w:pStyle w:val="Affiliation"/>
        <w:spacing w:line="240" w:lineRule="auto"/>
        <w:rPr>
          <w:sz w:val="22"/>
          <w:szCs w:val="22"/>
        </w:rPr>
      </w:pPr>
      <w:r w:rsidRPr="007843F5">
        <w:rPr>
          <w:sz w:val="22"/>
          <w:szCs w:val="22"/>
        </w:rPr>
        <w:t>Corresponding author: Clara Rübner Jørgensen,</w:t>
      </w:r>
      <w:r w:rsidRPr="007843F5" w:rsidR="00465340">
        <w:rPr>
          <w:sz w:val="22"/>
          <w:szCs w:val="22"/>
        </w:rPr>
        <w:t xml:space="preserve"> </w:t>
      </w:r>
    </w:p>
    <w:p w:rsidR="00AD2C80" w:rsidP="00252622">
      <w:pPr>
        <w:pStyle w:val="Heading1"/>
      </w:pPr>
      <w:r w:rsidRPr="0087407C">
        <w:t>Introduction</w:t>
      </w:r>
    </w:p>
    <w:p w:rsidR="00AD2C80" w:rsidP="0045265A">
      <w:pPr>
        <w:pStyle w:val="ListParagraph"/>
        <w:numPr>
          <w:ilvl w:val="0"/>
          <w:numId w:val="26"/>
        </w:numPr>
        <w:spacing w:line="240" w:lineRule="auto"/>
        <w:jc w:val="both"/>
      </w:pPr>
      <w:r>
        <w:t>We are a team of researchers from the Universities of Birmingham and Warwick. We are currently conducting a large mixed-methods study on pupil school mobility, funded by the Nuffield Foundation (2024–2027). The project includes a systematic literature review, statistical analysis of the National Pupil Database (NPD), and qualitative interviews, focus groups and workshops with children and families, schools and local authority teams.</w:t>
      </w:r>
    </w:p>
    <w:p w:rsidR="00AD2C80" w:rsidP="0045265A">
      <w:pPr>
        <w:pStyle w:val="ListParagraph"/>
        <w:numPr>
          <w:ilvl w:val="0"/>
          <w:numId w:val="26"/>
        </w:numPr>
        <w:spacing w:line="240" w:lineRule="auto"/>
        <w:jc w:val="both"/>
      </w:pPr>
      <w:r>
        <w:t>Our research focuses on 'non-structural' mobility, where children move school outside of standard structural transitions such as between the primary and secondary phases. Drawing on our most robust measure, based on five cohorts of pupils moving through Years 1 to 11 (over seven million pupils in total), we find that around a third of pupils make at least one non-structural move during their compulsory schooling. When structural and non-structural moves are considered together, around half of all pupils mov</w:t>
      </w:r>
      <w:r>
        <w:t xml:space="preserve">e school </w:t>
      </w:r>
      <w:r>
        <w:t>two or more times</w:t>
      </w:r>
      <w:r>
        <w:t xml:space="preserve"> during their school career</w:t>
      </w:r>
      <w:r>
        <w:t>.</w:t>
      </w:r>
      <w:r w:rsidRPr="00F156C5">
        <w:t xml:space="preserve"> </w:t>
      </w:r>
      <w:r>
        <w:t>A</w:t>
      </w:r>
      <w:r>
        <w:t xml:space="preserve">round 17% of all pupils move 3 or more times during their </w:t>
      </w:r>
      <w:r>
        <w:t>school</w:t>
      </w:r>
      <w:r>
        <w:t xml:space="preserve"> career, and over 5% move 4 or more times.</w:t>
      </w:r>
    </w:p>
    <w:p w:rsidR="00AD2C80" w:rsidP="0045265A">
      <w:pPr>
        <w:pStyle w:val="ListParagraph"/>
        <w:numPr>
          <w:ilvl w:val="0"/>
          <w:numId w:val="26"/>
        </w:numPr>
        <w:spacing w:line="240" w:lineRule="auto"/>
        <w:jc w:val="both"/>
      </w:pPr>
      <w:r>
        <w:t>Such figures lead us to believe that pupil school mobility is a common and significant aspect of the education system, which benefits from specific attention, in particular in relation to associated educational disadvantage.</w:t>
      </w:r>
      <w:r>
        <w:t xml:space="preserve"> </w:t>
      </w:r>
      <w:r>
        <w:t>We are conducting mixed-methods analyses focused on highly mobile pupils, who have moved schools several times during their school careers, and how this relates to their educational outcomes and experiences. Our fieldwork has explored with children, families, schools and local authorities how school mobility affects provision, experiences and outcomes, and will result in a guidance and support toolkit for multiple stakeholders.</w:t>
      </w:r>
    </w:p>
    <w:p w:rsidR="00AD2C80" w:rsidP="0045265A">
      <w:pPr>
        <w:pStyle w:val="ListParagraph"/>
        <w:numPr>
          <w:ilvl w:val="0"/>
          <w:numId w:val="26"/>
        </w:numPr>
        <w:spacing w:line="240" w:lineRule="auto"/>
        <w:jc w:val="both"/>
      </w:pPr>
      <w:r>
        <w:t>Pupil school mobility has an impact on many of the areas discussed in the Government's White Paper. We are therefore submitting this response to share preliminary results from our research and to raise awareness of the issue of pupil school mobility in relation to the proposed reforms. Below, we respond to specific questions on disadvantage, attainment, attendance, belonging, behaviour and admissions, where they relate to pupil school mobility, drawing on emerging findings from our research.</w:t>
      </w:r>
    </w:p>
    <w:p w:rsidR="00AD2C80" w:rsidRPr="000A28C3" w:rsidP="007F1F89">
      <w:pPr>
        <w:pStyle w:val="Heading1"/>
        <w:keepLines/>
      </w:pPr>
      <w:r w:rsidRPr="000A28C3">
        <w:t>Reducing disadvantage gaps</w:t>
      </w:r>
    </w:p>
    <w:p w:rsidR="00AD2C80" w:rsidP="007F1F89">
      <w:pPr>
        <w:pStyle w:val="Displayedquotation"/>
        <w:keepNext/>
        <w:keepLines/>
        <w:spacing w:line="240" w:lineRule="auto"/>
      </w:pPr>
      <w:r w:rsidRPr="00A009AD">
        <w:t>The proposed reforms to disadvantage funding, including the introduction of a stepped funding model and the use of household income measures. The implications of breaking the link between free school meal eligibility and deprivation funding.</w:t>
      </w:r>
    </w:p>
    <w:p w:rsidR="00AD2C80" w:rsidP="0045265A">
      <w:pPr>
        <w:pStyle w:val="ListParagraph"/>
        <w:numPr>
          <w:ilvl w:val="0"/>
          <w:numId w:val="26"/>
        </w:numPr>
        <w:spacing w:line="240" w:lineRule="auto"/>
        <w:jc w:val="both"/>
      </w:pPr>
      <w:r>
        <w:t xml:space="preserve">We welcome the ambition to make disadvantage funding more precisely targeted, including moving towards income-based, stepped funding that reflects the depth and duration of a family's disadvantage (p. 45). However, our research suggests that a nuanced, dynamic measure of disadvantage would need to account for mobility as well as income. In our data, the relationship between disadvantage and mobility is not straightforward: pupils </w:t>
      </w:r>
      <w:r>
        <w:t xml:space="preserve">who have been eligible for free school meals are more likely </w:t>
      </w:r>
      <w:r>
        <w:t xml:space="preserve">to have </w:t>
      </w:r>
      <w:r>
        <w:t xml:space="preserve">moved school non-structurally than those who have not (51% </w:t>
      </w:r>
      <w:r>
        <w:t xml:space="preserve">vs 28%); however, </w:t>
      </w:r>
      <w:r>
        <w:t>within this</w:t>
      </w:r>
      <w:r>
        <w:t xml:space="preserve"> group</w:t>
      </w:r>
      <w:r>
        <w:t xml:space="preserve">, </w:t>
      </w:r>
      <w:r>
        <w:t xml:space="preserve">those </w:t>
      </w:r>
      <w:r>
        <w:t xml:space="preserve">whose families cycle in and out of free school meal eligibility during their school career are somewhat </w:t>
      </w:r>
      <w:r w:rsidRPr="007F1F89">
        <w:rPr>
          <w:i/>
          <w:iCs/>
        </w:rPr>
        <w:t>more</w:t>
      </w:r>
      <w:r>
        <w:t xml:space="preserve"> likely to have moved school non-structurally than those who are eligible for free school meals throughout their entire time in education (57% vs 44% have moved at least once, on our most conservative estimate).</w:t>
      </w:r>
      <w:r>
        <w:t xml:space="preserve"> In other words, disadvantaged </w:t>
      </w:r>
      <w:r>
        <w:t>children</w:t>
      </w:r>
      <w:r>
        <w:t xml:space="preserve"> in general</w:t>
      </w:r>
      <w:r>
        <w:t xml:space="preserve"> are more mobile, but the most disadvantaged are les</w:t>
      </w:r>
      <w:r>
        <w:t>s</w:t>
      </w:r>
      <w:r>
        <w:t xml:space="preserve"> </w:t>
      </w:r>
      <w:r>
        <w:t xml:space="preserve">so </w:t>
      </w:r>
      <w:r>
        <w:t>than</w:t>
      </w:r>
      <w:r>
        <w:t xml:space="preserve"> the</w:t>
      </w:r>
      <w:r>
        <w:t xml:space="preserve"> moderately </w:t>
      </w:r>
      <w:r>
        <w:t>disadvantaged.</w:t>
      </w:r>
      <w:r>
        <w:t xml:space="preserve"> This suggests that the stability of a family's circumstances, not only their depth of disadvantage, is relevant to understanding when a child is at risk of disruption, and is worth consideration as any new stepped model is developed.</w:t>
      </w:r>
    </w:p>
    <w:p w:rsidR="00AD2C80" w:rsidP="0045265A">
      <w:pPr>
        <w:pStyle w:val="ListParagraph"/>
        <w:numPr>
          <w:ilvl w:val="0"/>
          <w:numId w:val="26"/>
        </w:numPr>
        <w:spacing w:line="240" w:lineRule="auto"/>
        <w:jc w:val="both"/>
      </w:pPr>
      <w:r>
        <w:t>We would also urge the Government not to lose sight of pupil mobility as a distinct funding consideration in its own right, separate from deprivation funding. The current National Funding Formula already includes a compulsory mobility factor, but its definition is a blunt proxy: a pupil is counted as 'mobile' if their first attendance at a school simply falls outside the standard October census point, and funding is only triggered once a school's mobile population exceeds 6%</w:t>
      </w:r>
      <w:r>
        <w:rPr>
          <w:rStyle w:val="FootnoteReference"/>
        </w:rPr>
        <w:footnoteReference w:id="2"/>
      </w:r>
      <w:r>
        <w:t>. This captures in-year admissions broadly, rather than non-structural mobility specifically, and will miss, for example, pupils who move more than once, or schools with a persistent but moderate churn of new admissions that falls below the threshold. Our more granular NPD-based measures, which distinguish structural from non-structural moves and identify highly mobile pupils, could help inform a more accurate and better-targeted mobility factor.</w:t>
      </w:r>
      <w:r>
        <w:t xml:space="preserve"> Our work with schools, families and local authorities is showing why this matters, and </w:t>
      </w:r>
      <w:r>
        <w:t>how different forms of mobility have different implications for disadvantage and disruption to education (see below).</w:t>
      </w:r>
    </w:p>
    <w:p w:rsidR="00AD2C80" w:rsidP="0045265A">
      <w:pPr>
        <w:pStyle w:val="ListParagraph"/>
        <w:numPr>
          <w:ilvl w:val="0"/>
          <w:numId w:val="26"/>
        </w:numPr>
        <w:spacing w:line="240" w:lineRule="auto"/>
        <w:jc w:val="both"/>
      </w:pPr>
      <w:r>
        <w:t>We would also welcome recognition of highly mobile pupils as a distinct category within school-level data and accountability systems, alongside existing measures of deprivation. Some groups already recognised as vulnerable are dramatically more mobile than their peers, in ways current funding measures do not directly capture:</w:t>
      </w:r>
      <w:r>
        <w:t xml:space="preserve"> only 26% of looked-after children make no non-structural moves during their compulsory schooling, compared with 65% of other pupils, and looked-after children are almost eight times as likely to have moved three or more times (23% vs 3%). Children from service families show a similar, if less pronounced, pattern (39% make no non-structural moves and are around three-and-a-half times as likely to have moved three or more times, compared with non-service children). We comment further on specific groups at el</w:t>
      </w:r>
      <w:r>
        <w:t>evated risk of mobility in the sections below.</w:t>
      </w:r>
    </w:p>
    <w:p w:rsidR="00AD2C80" w:rsidRPr="004361A0" w:rsidP="0045265A">
      <w:pPr>
        <w:spacing w:line="240" w:lineRule="auto"/>
        <w:jc w:val="both"/>
      </w:pPr>
    </w:p>
    <w:p w:rsidR="00AD2C80" w:rsidRPr="008C5F19" w:rsidP="00C631A1">
      <w:pPr>
        <w:pStyle w:val="Heading1"/>
      </w:pPr>
      <w:r w:rsidRPr="008C5F19">
        <w:t>Raising attainment</w:t>
      </w:r>
    </w:p>
    <w:p w:rsidR="00AD2C80" w:rsidRPr="008C3F84" w:rsidP="0045265A">
      <w:pPr>
        <w:pStyle w:val="Displayedquotation"/>
        <w:spacing w:line="240" w:lineRule="auto"/>
      </w:pPr>
      <w:r w:rsidRPr="008C3F84">
        <w:t>The Government’s ambition to raise attainment, including reducing the disadvantage gap.</w:t>
      </w:r>
    </w:p>
    <w:p w:rsidR="00AD2C80" w:rsidP="0045265A">
      <w:pPr>
        <w:pStyle w:val="ListParagraph"/>
        <w:keepNext/>
        <w:numPr>
          <w:ilvl w:val="0"/>
          <w:numId w:val="26"/>
        </w:numPr>
        <w:spacing w:line="240" w:lineRule="auto"/>
        <w:jc w:val="both"/>
      </w:pPr>
      <w:r>
        <w:t>Our research shows that pupil school mobility is a wide-spread phenomenon and can be a significant educational disadvantage. With some exceptions, most of the literature identified through our systematic literature review points to mobility having a predominantly negative effect on attainment. This is likely to reflect a combination of factors: disruption to curriculum continuity and progression, the loss of established relationships with teachers who understand a child's needs, and discontinuities in the t</w:t>
      </w:r>
      <w:r>
        <w:t>ransfer of assessment information and specialist support, for example for pupils with SEND, between schools. Our own data illustrate the scale of the association: pupils in the lowest Attainment 8 quintile at KS4 are almost eight times as likely to have made three or more non-structural moves during their school career as those in the highest quintile (8.9% vs 1.1%). This suggests that more work to manage and support mobility should form part of the Government's ambition to raise attainment.</w:t>
      </w:r>
      <w:r>
        <w:t xml:space="preserve"> Our estimates at KS2 and KS5 </w:t>
      </w:r>
      <w:r>
        <w:t xml:space="preserve">also </w:t>
      </w:r>
      <w:r>
        <w:t>show stark differences between the attainment of mobile and non-mobile pupils.</w:t>
      </w:r>
    </w:p>
    <w:p w:rsidR="00AD2C80" w:rsidP="0045265A">
      <w:pPr>
        <w:pStyle w:val="ListParagraph"/>
        <w:keepNext/>
        <w:numPr>
          <w:ilvl w:val="0"/>
          <w:numId w:val="26"/>
        </w:numPr>
        <w:spacing w:line="240" w:lineRule="auto"/>
        <w:jc w:val="both"/>
      </w:pPr>
      <w:r>
        <w:t>It is also important to recognise that the reasons behind children moving school are multiple, complex and sometimes overlapping, and that for some, a school move may provide a positive opportunity to leave a setting in which they do not feel included or supported. However, our data show that non-structural mobility is not evenly spread:</w:t>
      </w:r>
      <w:r>
        <w:t xml:space="preserve"> it is concentrated among pupils who are already more vulnerable. Pupils with special educational needs whose provision is in transition, moving between SEN Support and an Education, Health and Care Plan</w:t>
      </w:r>
      <w:r>
        <w:t xml:space="preserve"> (EHCP)</w:t>
      </w:r>
      <w:r>
        <w:t>, are more mobile than pupils at either a stable SEN Support or EHCP level</w:t>
      </w:r>
      <w:r>
        <w:t xml:space="preserve"> of support</w:t>
      </w:r>
      <w:r>
        <w:t>.</w:t>
      </w:r>
      <w:r>
        <w:t xml:space="preserve"> </w:t>
      </w:r>
      <w:r>
        <w:t>Within SEND groups, p</w:t>
      </w:r>
      <w:r>
        <w:t>upils with social, emotional and mental health</w:t>
      </w:r>
      <w:r>
        <w:t xml:space="preserve"> (SE</w:t>
      </w:r>
      <w:r>
        <w:t>MH)</w:t>
      </w:r>
      <w:r>
        <w:t xml:space="preserve"> needs</w:t>
      </w:r>
      <w:r>
        <w:t xml:space="preserve">, and those with </w:t>
      </w:r>
      <w:r w:rsidRPr="004A5136">
        <w:t>Behaviour, Emotional and Social Difficulties (BESD)</w:t>
      </w:r>
      <w:r>
        <w:t xml:space="preserve"> are more than twice as likely to have moved three or more times as pupils with most other types of need. </w:t>
      </w:r>
      <w:r>
        <w:t>Changing</w:t>
      </w:r>
      <w:r>
        <w:t xml:space="preserve"> schools can </w:t>
      </w:r>
      <w:r>
        <w:t xml:space="preserve">be a positive move to secure more suitable provision; however, it can also make </w:t>
      </w:r>
      <w:r>
        <w:t xml:space="preserve">ascertaining and providing the right provision for children with additional needs more difficult. </w:t>
      </w:r>
      <w:r>
        <w:t>In order to raise attainment for children moving school, it is thus important that adequate systems and resources are in place at all schools for supporting school moves and limiting any disruptions to learning, which may have a negative effect on attainment.</w:t>
      </w:r>
    </w:p>
    <w:p w:rsidR="00AD2C80" w:rsidP="0045265A">
      <w:pPr>
        <w:pStyle w:val="Heading2"/>
        <w:spacing w:line="240" w:lineRule="auto"/>
      </w:pPr>
      <w:r>
        <w:t>Changing accountability measures</w:t>
      </w:r>
    </w:p>
    <w:p w:rsidR="00AD2C80" w:rsidP="0045265A">
      <w:pPr>
        <w:pStyle w:val="ListParagraph"/>
        <w:keepNext/>
        <w:numPr>
          <w:ilvl w:val="0"/>
          <w:numId w:val="26"/>
        </w:numPr>
        <w:spacing w:line="240" w:lineRule="auto"/>
        <w:jc w:val="both"/>
      </w:pPr>
      <w:r>
        <w:t>The way attainment is measured for children who have moved school is an issue which we believe requires close attention within any proposed changes to accountability measures. Admitting children and young people outside standard transitions can have resource implications for schools, and place challenges related to curriculum differences, especially for moves taking place close to exams. In order not to disadvantage pupils seeking to move school, it therefore seems important that mobility is accounted for i</w:t>
      </w:r>
      <w:r>
        <w:t>n school performance data, despite the practical challenges involved, especially if this can be accompanied by an understanding of the type of move and how it relates to accountability measures around attainment. Given that schools follow different exam boards, children moving within KS4 may experience particular challenges in relation to their GCSEs</w:t>
      </w:r>
      <w:r>
        <w:t>, for example.</w:t>
      </w:r>
    </w:p>
    <w:p w:rsidR="00AD2C80" w:rsidRPr="008A7A40" w:rsidP="0045265A">
      <w:pPr>
        <w:pStyle w:val="ListParagraph"/>
        <w:keepNext/>
        <w:numPr>
          <w:ilvl w:val="0"/>
          <w:numId w:val="26"/>
        </w:numPr>
        <w:spacing w:line="240" w:lineRule="auto"/>
        <w:jc w:val="both"/>
      </w:pPr>
      <w:r>
        <w:t xml:space="preserve">The White Paper states that the Government plans to introduce a new progress measure aimed at better reflecting outcomes for pupils who begin secondary school well behind their peers (p. 42). Based on our research, we would argue that it is equally important to develop a progress measure which better captures the progress and achievements of </w:t>
      </w:r>
      <w:r>
        <w:t>children who attend different schools as part of their school journey. Current accountability arrangements are based on whether a pupil is on roll at a single census point in Year 11, rather than any account of how long they have actually been at the school; this creates a perverse incentive to overlook pupils who move on, and no incentive to weigh their outcomes proportionately. FFT Education Datalab</w:t>
      </w:r>
      <w:r>
        <w:t xml:space="preserve"> has set out options for addressing this, including reweighting performance indicators by the number of terms a pupil has actually spent at a school. We would encourage the Government to consider such an approach as part of its wider accountability reforms. This would enable a better understanding of the challenges experienced by children who move school, as well as address some of the above-mentioned concerns schools might have about admitting new children to their settings.</w:t>
      </w:r>
    </w:p>
    <w:p w:rsidR="00AD2C80" w:rsidRPr="00851A20" w:rsidP="00C631A1">
      <w:pPr>
        <w:pStyle w:val="Heading1"/>
      </w:pPr>
      <w:r>
        <w:rPr>
          <w:i/>
          <w:iCs/>
        </w:rPr>
        <w:t xml:space="preserve"> </w:t>
      </w:r>
      <w:r w:rsidRPr="00851A20">
        <w:t>Improving attendance</w:t>
      </w:r>
    </w:p>
    <w:p w:rsidR="00AD2C80" w:rsidP="0045265A">
      <w:pPr>
        <w:pStyle w:val="Displayedquotation"/>
        <w:spacing w:line="240" w:lineRule="auto"/>
      </w:pPr>
      <w:r w:rsidRPr="177B7BA8">
        <w:t>The Government’s target to reduce overall absence</w:t>
      </w:r>
      <w:r w:rsidRPr="177B7BA8">
        <w:t xml:space="preserve">, </w:t>
      </w:r>
      <w:r w:rsidRPr="177B7BA8">
        <w:t>increase total days attended</w:t>
      </w:r>
      <w:r w:rsidRPr="177B7BA8">
        <w:t xml:space="preserve"> and address persistent absence</w:t>
      </w:r>
      <w:r w:rsidRPr="177B7BA8">
        <w:t>.</w:t>
      </w:r>
    </w:p>
    <w:p w:rsidR="00AD2C80" w:rsidP="0045265A">
      <w:pPr>
        <w:pStyle w:val="ListParagraph"/>
        <w:numPr>
          <w:ilvl w:val="0"/>
          <w:numId w:val="26"/>
        </w:numPr>
        <w:spacing w:line="240" w:lineRule="auto"/>
        <w:jc w:val="both"/>
      </w:pPr>
      <w:r>
        <w:t xml:space="preserve">The White Paper argues that when children are not included in the system, their voices unheard and needs unmet, this drives disengagement, isolation and lasting educational inequality (p. 39). Our study similarly found that a lack of inclusion or insufficient support from schools can lead to children and young people having negative educational experiences and potentially moving school. This was sometimes combined with significant periods of absence, and we thus encourage the reforms to explicitly consider </w:t>
      </w:r>
      <w:r>
        <w:t>inclusion and mobility in any attempts to reduce absence, including partnerships between families and schools.</w:t>
      </w:r>
    </w:p>
    <w:p w:rsidR="00AD2C80" w:rsidP="0045265A">
      <w:pPr>
        <w:pStyle w:val="ListParagraph"/>
        <w:numPr>
          <w:ilvl w:val="0"/>
          <w:numId w:val="26"/>
        </w:numPr>
        <w:spacing w:line="240" w:lineRule="auto"/>
        <w:jc w:val="both"/>
      </w:pPr>
      <w:r>
        <w:t>Our data also suggest that non-structural mobility is not something that happens mainly at the start of the school year. Across Years 1 to 11, non-structural moves occur at a fairly steady rate of around 1–2% of pupils per term throughout the year, rather than being concentrated in September. This has implications for how the causes of persistent absence are understood and addressed: attendance support linked to school moves needs to be available year-round, not only at the points where schools typically pl</w:t>
      </w:r>
      <w:r>
        <w:t>an for new admissions.</w:t>
      </w:r>
    </w:p>
    <w:p w:rsidR="00AD2C80" w:rsidRPr="008C5F19" w:rsidP="0045265A">
      <w:pPr>
        <w:pStyle w:val="ListParagraph"/>
        <w:numPr>
          <w:ilvl w:val="0"/>
          <w:numId w:val="26"/>
        </w:numPr>
        <w:spacing w:line="240" w:lineRule="auto"/>
        <w:jc w:val="both"/>
      </w:pPr>
      <w:r>
        <w:t>The White Paper's mention of temporary accommodation as a factor in attendance (p. 69) also resonates with emerging findings from our research. Our literature review identified temporary or precarious housing as one of the factors leading to frequent school moves. Especially when moves are made with short notice, they might involve periods of absence until a new school is arranged. We therefore support the Government's commitment to work with the Ministry of Housing, Communities and Local Government to ensu</w:t>
      </w:r>
      <w:r>
        <w:t>re school attendance is prioritised when temporary accommodation is arranged (p. 69).</w:t>
      </w:r>
    </w:p>
    <w:p w:rsidR="00AD2C80" w:rsidRPr="000A28C3" w:rsidP="00252622">
      <w:pPr>
        <w:pStyle w:val="Heading1"/>
      </w:pPr>
      <w:r w:rsidRPr="000A28C3">
        <w:t>Enrichment, belonging and behaviour</w:t>
      </w:r>
    </w:p>
    <w:p w:rsidR="00AD2C80" w:rsidRPr="00A52B4B" w:rsidP="0045265A">
      <w:pPr>
        <w:pStyle w:val="Displayedquotation"/>
        <w:spacing w:line="240" w:lineRule="auto"/>
      </w:pPr>
      <w:r w:rsidRPr="00A52B4B">
        <w:t>How schools can promote belonging and positive relationships</w:t>
      </w:r>
      <w:r>
        <w:t xml:space="preserve">; </w:t>
      </w:r>
      <w:r w:rsidRPr="00A52B4B">
        <w:t>the role of the proposed Pupil Engagement Framework</w:t>
      </w:r>
    </w:p>
    <w:p w:rsidR="00AD2C80" w:rsidP="0045265A">
      <w:pPr>
        <w:pStyle w:val="ListParagraph"/>
        <w:numPr>
          <w:ilvl w:val="0"/>
          <w:numId w:val="26"/>
        </w:numPr>
        <w:spacing w:line="240" w:lineRule="auto"/>
        <w:jc w:val="both"/>
      </w:pPr>
      <w:r w:rsidRPr="00B20713">
        <w:t>We very much welcome the White Paper's focus on belonging and engagement as a key aspect of education. School moves involve a disruption to friendships, relationships with school staff and school routines, and therefore children moving school may experience particular challenges with regards to belonging and engagement. Our research has found that an inclusive approach within schools, a clear process for welcoming new children into the school and investing time and resources in building relationships with c</w:t>
      </w:r>
      <w:r w:rsidRPr="00B20713">
        <w:t xml:space="preserve">hildren and their </w:t>
      </w:r>
      <w:r w:rsidRPr="00B20713">
        <w:t>families has a real impact. We are currently developing guidance to support families, schools and local authority staff experiencing school moves, drawing on examples of practices that schools and families have found effective in supporting pupils through a school move. This will result in a wide-ranging set of resources aimed at promoting good practice across the system.</w:t>
      </w:r>
    </w:p>
    <w:p w:rsidR="00AD2C80" w:rsidP="0045265A">
      <w:pPr>
        <w:pStyle w:val="ListParagraph"/>
        <w:numPr>
          <w:ilvl w:val="0"/>
          <w:numId w:val="26"/>
        </w:numPr>
        <w:spacing w:line="240" w:lineRule="auto"/>
        <w:jc w:val="both"/>
      </w:pPr>
      <w:r w:rsidRPr="00B20713">
        <w:t>The proposed Pupil Engagement Framework may be a useful way of monitoring belonging and engagement within schools. However, if schools are to make effective use of this data by embedding evidence-based practice into their improvement plans, as proposed on p. 62, it is essential that they understand the specific experiences of different groups of pupils, including those who are mobile. We therefore encourage the Government to ensure any pupil engagement framework includes specific attention to mobility and i</w:t>
      </w:r>
      <w:r w:rsidRPr="00B20713">
        <w:t>ts varied and multi-faceted impact on belonging and engagement.</w:t>
      </w:r>
      <w:r>
        <w:t xml:space="preserve"> In our view, p</w:t>
      </w:r>
      <w:r w:rsidRPr="00B20713">
        <w:t>upils' voice should be central in the development of the framework and any related resources.</w:t>
      </w:r>
    </w:p>
    <w:p w:rsidR="00AD2C80" w:rsidRPr="00B20713" w:rsidP="0045265A">
      <w:pPr>
        <w:pStyle w:val="ListParagraph"/>
        <w:numPr>
          <w:ilvl w:val="0"/>
          <w:numId w:val="26"/>
        </w:numPr>
        <w:spacing w:line="240" w:lineRule="auto"/>
        <w:jc w:val="both"/>
      </w:pPr>
      <w:r w:rsidRPr="00B20713">
        <w:t>As recognised in the White Paper, home-school partnerships are also an important element in belonging and engagement. The reforms propose to set down 'minimum expectations that supports the creation of meaningful home-to-school partnerships' (p. 63). One element of the minimum expectations focuses on supporting pupils and families through transitions, from early years through to post-16 (p. 63). Based on our research, we would argue that this element should also explicitly include support for in-year transi</w:t>
      </w:r>
      <w:r w:rsidRPr="00B20713">
        <w:t>tions, not only the standard points of transition the framework currently anticipates. Another element, 'Creating a strong school culture' (p. 64), points to 'regular opportunities for families to be part of school life' (p. 64) through parent-led groups and parent-teacher associations. However, in our conversations with parents, we also heard that more informal interactions were a key part of them feeling part of the school. These included, for example, friendly conversations with reception or admin staff,</w:t>
      </w:r>
      <w:r w:rsidRPr="00B20713">
        <w:t xml:space="preserve"> head teachers welcoming families at the gate, and positive day-to-day communication. Formal opportunities for parents to be part of school life thus need to sit alongside informal opportunities to interact with school staff, suggesting that this minimum expectation could helpfully be reworded to 'Creating a strong and welcoming school culture.'</w:t>
      </w:r>
    </w:p>
    <w:p w:rsidR="00AD2C80" w:rsidRPr="00B20713" w:rsidP="0045265A">
      <w:pPr>
        <w:pStyle w:val="Heading2"/>
        <w:spacing w:line="240" w:lineRule="auto"/>
      </w:pPr>
      <w:r w:rsidRPr="00B20713">
        <w:t>Measures to improve pupil behaviour, including schools' approaches to suspension and exclusion</w:t>
      </w:r>
    </w:p>
    <w:p w:rsidR="00AD2C80" w:rsidRPr="00252622" w:rsidP="007F1F89">
      <w:pPr>
        <w:pStyle w:val="ListParagraph"/>
        <w:numPr>
          <w:ilvl w:val="0"/>
          <w:numId w:val="26"/>
        </w:numPr>
        <w:spacing w:line="240" w:lineRule="auto"/>
        <w:jc w:val="both"/>
      </w:pPr>
      <w:r w:rsidRPr="00B20713">
        <w:t>Our research is currently exploring the various and complex links between pupil school mobility, suspensions and exclusions. This includes examining the role of managed moves</w:t>
      </w:r>
      <w:r>
        <w:t xml:space="preserve"> and ‘off-rolling’</w:t>
      </w:r>
      <w:r w:rsidRPr="00B20713">
        <w:t xml:space="preserve">. </w:t>
      </w:r>
      <w:r>
        <w:t xml:space="preserve">Our preliminary longitudinal analysis suggests that there has been a reduction in </w:t>
      </w:r>
      <w:r>
        <w:t>off rolling</w:t>
      </w:r>
      <w:r>
        <w:t xml:space="preserve"> in advance of the KS4 examinations </w:t>
      </w:r>
      <w:r>
        <w:t>compared to estimates from our earlier work</w:t>
      </w:r>
      <w:r>
        <w:rPr>
          <w:rStyle w:val="FootnoteReference"/>
        </w:rPr>
        <w:footnoteReference w:id="3"/>
      </w:r>
      <w:r>
        <w:t xml:space="preserve">, something we hope to publish results on shortly once confirmed. </w:t>
      </w:r>
      <w:r w:rsidRPr="00B20713">
        <w:t>The White Paper proposes to strengthen scrutiny of pupil movement, including addressing off-rolling, through a new internal dashboard showing school-level trends in how children move through the system, alongside an annual review explaining why children leave their school (p. 75). While we welcome this attention to pupil movement, suspensions and exclusions, we find it important to emphasise that the reasons why children move school may sometimes be quite complex, and that different actors may have differen</w:t>
      </w:r>
      <w:r w:rsidRPr="00B20713">
        <w:t xml:space="preserve">t perspectives on these reasons. Our own analysis illustrates why this matters: local variation in school organisation, for example the presence of separate infant, junior and middle schools in some areas but not others, means that a transition affecting all pupils in one local authority can look identical, in raw movement data, to a non-structural move affecting only a minority </w:t>
      </w:r>
      <w:r w:rsidRPr="00B20713">
        <w:t xml:space="preserve">of pupils elsewhere. We found that comparing a pupil's move against the behaviour of their peer group, rather than relying on the timing of the move alone, gives a materially more accurate picture of which moves are genuinely structural. We would encourage the Government to adopt a similar, peer-referenced approach in developing the proposed dashboard, </w:t>
      </w:r>
      <w:r>
        <w:t xml:space="preserve">and </w:t>
      </w:r>
      <w:r>
        <w:t xml:space="preserve">make distinctions between move types and surrounding circumstances </w:t>
      </w:r>
      <w:r w:rsidRPr="00B20713">
        <w:t>to ensure the diversity of move types is properly recognised and that schools are not penalised, or off-rolling concealed, simply because of how local transition points happen to be organised.</w:t>
      </w:r>
    </w:p>
    <w:p w:rsidR="00AD2C80" w:rsidRPr="00252622" w:rsidP="00252622">
      <w:pPr>
        <w:pStyle w:val="Heading1"/>
      </w:pPr>
      <w:r w:rsidRPr="00252622">
        <w:t>School admissions</w:t>
      </w:r>
    </w:p>
    <w:p w:rsidR="00AD2C80" w:rsidP="0045265A">
      <w:pPr>
        <w:pStyle w:val="Displayedquotation"/>
        <w:spacing w:line="240" w:lineRule="auto"/>
      </w:pPr>
      <w:r w:rsidRPr="005A1D6A">
        <w:t>The handling of in-year admissions and whether families are adequately supported and informed.</w:t>
      </w:r>
    </w:p>
    <w:p w:rsidR="00AD2C80" w:rsidP="0045265A">
      <w:pPr>
        <w:pStyle w:val="ListParagraph"/>
        <w:numPr>
          <w:ilvl w:val="0"/>
          <w:numId w:val="26"/>
        </w:numPr>
        <w:spacing w:line="240" w:lineRule="auto"/>
        <w:jc w:val="both"/>
      </w:pPr>
      <w:r w:rsidRPr="000473B3">
        <w:t>Our research shows that in-year admissions affect a substantial number of families: around a quarter of pupils</w:t>
      </w:r>
      <w:r w:rsidRPr="000473B3">
        <w:t xml:space="preserve"> experience at least one within-year school move during their compulsory education. Despite this, the extent and detail of information provided to parents about in-year admissions varies substantially across different school and local authority websites. The current system, in which parents sometimes need to apply directly to schools and sometimes through the local authority, can be confusing and may potentially result in delays to a child being allocated a school place.</w:t>
      </w:r>
    </w:p>
    <w:p w:rsidR="00AD2C80" w:rsidP="0045265A">
      <w:pPr>
        <w:pStyle w:val="ListParagraph"/>
        <w:numPr>
          <w:ilvl w:val="0"/>
          <w:numId w:val="26"/>
        </w:numPr>
        <w:spacing w:line="240" w:lineRule="auto"/>
        <w:jc w:val="both"/>
      </w:pPr>
      <w:r w:rsidRPr="000473B3">
        <w:t>We welcome the White Paper's proposals to require schools to give parents more information about decisions on in-year admissions, to strengthen fair access protocols managed by local authorities, and to clarify how banding arrangements operate in practice (p. 47). Based on our research, we would argue that any new information requirements should set a consistent minimum standard across schools and local authorities, given the substantial variation we have found in current practice. As part of our project, w</w:t>
      </w:r>
      <w:r w:rsidRPr="000473B3">
        <w:t>e are currently developing a resource to provide improved support and information for families about in-year admissions, which could directly support schools and local authorities in meeting these proposed new expectations. If relevant, we would welcome the opportunity to share this resource with the select committee once it is ready.</w:t>
      </w:r>
    </w:p>
    <w:p w:rsidR="00AD2C80" w:rsidRPr="00252622" w:rsidP="00252622">
      <w:pPr>
        <w:pStyle w:val="Heading1"/>
      </w:pPr>
      <w:r w:rsidRPr="00252622">
        <w:t>Conclusion</w:t>
      </w:r>
    </w:p>
    <w:p w:rsidR="00AD2C80" w:rsidP="00570CF8">
      <w:pPr>
        <w:pStyle w:val="ListParagraph"/>
        <w:numPr>
          <w:ilvl w:val="0"/>
          <w:numId w:val="26"/>
        </w:numPr>
        <w:spacing w:line="240" w:lineRule="auto"/>
        <w:jc w:val="both"/>
      </w:pPr>
      <w:r w:rsidRPr="00252622">
        <w:t>This submission draws on emerging findings from our Nuffield Foundation-funded research (2024–2027) into pupil school mobility. Our estimates, subgroup analyses and qualitative findings are still being finalised and refined as the project continues, and we are developing practical guidance and resources for schools, local authorities and families to support children experiencing school moves.</w:t>
      </w:r>
      <w:r>
        <w:t xml:space="preserve"> </w:t>
      </w:r>
      <w:r w:rsidRPr="00252622">
        <w:t>We hope this evidence is useful to the Committee's inquiry, and would be glad to share further findings, data and resources with the Committee as they become available, and to discuss any aspect of our research further on request.</w:t>
      </w:r>
    </w:p>
    <w:p w:rsidR="00465340" w:rsidP="00465340">
      <w:pPr>
        <w:spacing w:line="240" w:lineRule="auto"/>
        <w:jc w:val="both"/>
      </w:pPr>
    </w:p>
    <w:p w:rsidR="00465340" w:rsidRPr="00465340" w:rsidP="00465340">
      <w:pPr>
        <w:spacing w:line="240" w:lineRule="auto"/>
        <w:jc w:val="both"/>
        <w:rPr>
          <w:i/>
          <w:iCs/>
        </w:rPr>
      </w:pPr>
      <w:r w:rsidRPr="00465340">
        <w:rPr>
          <w:i/>
          <w:iCs/>
        </w:rPr>
        <w:t>September 2026</w:t>
      </w:r>
    </w:p>
    <w:sectPr>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2679723"/>
      <w:docPartObj>
        <w:docPartGallery w:val="Page Numbers (Bottom of Page)"/>
        <w:docPartUnique/>
      </w:docPartObj>
    </w:sdtPr>
    <w:sdtEndPr>
      <w:rPr>
        <w:noProof/>
      </w:rPr>
    </w:sdtEndPr>
    <w:sdtContent>
      <w:p w:rsidR="00AD2C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D2C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D2C80" w:rsidP="009F70A8">
      <w:pPr>
        <w:spacing w:line="240" w:lineRule="auto"/>
      </w:pPr>
      <w:r>
        <w:separator/>
      </w:r>
    </w:p>
  </w:footnote>
  <w:footnote w:type="continuationSeparator" w:id="1">
    <w:p w:rsidR="00AD2C80" w:rsidP="009F70A8">
      <w:pPr>
        <w:spacing w:line="240" w:lineRule="auto"/>
      </w:pPr>
      <w:r>
        <w:continuationSeparator/>
      </w:r>
    </w:p>
  </w:footnote>
  <w:footnote w:id="2">
    <w:p w:rsidR="00AD2C80" w:rsidP="008536D1">
      <w:pPr>
        <w:pStyle w:val="FootnoteText"/>
      </w:pPr>
      <w:r>
        <w:rPr>
          <w:rStyle w:val="FootnoteReference"/>
        </w:rPr>
        <w:footnoteRef/>
      </w:r>
      <w:r>
        <w:t xml:space="preserve"> </w:t>
      </w:r>
      <w:r>
        <w:fldChar w:fldCharType="begin"/>
      </w:r>
      <w:r>
        <w:instrText xml:space="preserve"> HYPERLINK "https://www.gov.uk/government/publications/pre-16-schools-funding-local-authority-guidance-for-2026-to-2027/schools-operational-guide-2026-to-2027" </w:instrText>
      </w:r>
      <w:r>
        <w:fldChar w:fldCharType="separate"/>
      </w:r>
      <w:r w:rsidRPr="007F76EE">
        <w:rPr>
          <w:rStyle w:val="Hyperlink"/>
        </w:rPr>
        <w:t>https://www.gov.uk/government/publications/pre-16-schools-funding-local-authority-guidance-for-2026-to-2027/schools-operational-guide-2026-to-2027</w:t>
      </w:r>
      <w:r>
        <w:fldChar w:fldCharType="end"/>
      </w:r>
    </w:p>
  </w:footnote>
  <w:footnote w:id="3">
    <w:p w:rsidR="00AD2C80">
      <w:pPr>
        <w:pStyle w:val="FootnoteText"/>
      </w:pPr>
      <w:r>
        <w:rPr>
          <w:rStyle w:val="FootnoteReference"/>
        </w:rPr>
        <w:footnoteRef/>
      </w:r>
      <w:r>
        <w:t xml:space="preserve"> </w:t>
      </w:r>
      <w:r w:rsidRPr="00D94B81">
        <w:t>Jørgensen, C. R., &amp; Perry, T. (2021). Understanding school mobility and mobile pupils in England. </w:t>
      </w:r>
      <w:r w:rsidRPr="00D94B81">
        <w:rPr>
          <w:i/>
          <w:iCs/>
        </w:rPr>
        <w:t>British Educational Research Journal</w:t>
      </w:r>
      <w:r w:rsidRPr="00D94B81">
        <w:t>, </w:t>
      </w:r>
      <w:r w:rsidRPr="00D94B81">
        <w:rPr>
          <w:i/>
          <w:iCs/>
        </w:rPr>
        <w:t>47</w:t>
      </w:r>
      <w:r w:rsidRPr="00D94B81">
        <w:t>(5), 1139-1157.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690791"/>
    <w:multiLevelType w:val="hybridMultilevel"/>
    <w:tmpl w:val="CE008132"/>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
    <w:nsid w:val="0BB424FA"/>
    <w:multiLevelType w:val="hybridMultilevel"/>
    <w:tmpl w:val="6E62FF6A"/>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2">
    <w:nsid w:val="0C4B98D7"/>
    <w:multiLevelType w:val="hybridMultilevel"/>
    <w:tmpl w:val="31DC3E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18C03891"/>
    <w:multiLevelType w:val="multilevel"/>
    <w:tmpl w:val="9760B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0E33DE"/>
    <w:multiLevelType w:val="hybridMultilevel"/>
    <w:tmpl w:val="26EC9A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2605356E"/>
    <w:multiLevelType w:val="hybridMultilevel"/>
    <w:tmpl w:val="E64479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26C630EF"/>
    <w:multiLevelType w:val="multilevel"/>
    <w:tmpl w:val="FA44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D6430E"/>
    <w:multiLevelType w:val="multilevel"/>
    <w:tmpl w:val="5254D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AC5CFD"/>
    <w:multiLevelType w:val="hybridMultilevel"/>
    <w:tmpl w:val="DAB6270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3A1428F6"/>
    <w:multiLevelType w:val="hybridMultilevel"/>
    <w:tmpl w:val="4232DF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3C5D0C07"/>
    <w:multiLevelType w:val="hybridMultilevel"/>
    <w:tmpl w:val="546056E8"/>
    <w:lvl w:ilvl="0">
      <w:start w:val="1"/>
      <w:numFmt w:val="decimal"/>
      <w:pStyle w:val="Numberedlist"/>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2DA41AD"/>
    <w:multiLevelType w:val="hybridMultilevel"/>
    <w:tmpl w:val="2F706B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54E94381"/>
    <w:multiLevelType w:val="multilevel"/>
    <w:tmpl w:val="D040B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D96BF8"/>
    <w:multiLevelType w:val="hybridMultilevel"/>
    <w:tmpl w:val="09101A06"/>
    <w:lvl w:ilvl="0">
      <w:start w:val="1"/>
      <w:numFmt w:val="bullet"/>
      <w:pStyle w:val="Bulletedlis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Aria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Arial"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Arial" w:hint="default"/>
      </w:rPr>
    </w:lvl>
    <w:lvl w:ilvl="8" w:tentative="1">
      <w:start w:val="1"/>
      <w:numFmt w:val="bullet"/>
      <w:lvlText w:val=""/>
      <w:lvlJc w:val="left"/>
      <w:pPr>
        <w:ind w:left="6480" w:hanging="360"/>
      </w:pPr>
      <w:rPr>
        <w:rFonts w:ascii="Wingdings" w:hAnsi="Wingdings" w:hint="default"/>
      </w:rPr>
    </w:lvl>
  </w:abstractNum>
  <w:abstractNum w:abstractNumId="14">
    <w:nsid w:val="5FB32417"/>
    <w:multiLevelType w:val="multilevel"/>
    <w:tmpl w:val="76F87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092F3E"/>
    <w:multiLevelType w:val="multilevel"/>
    <w:tmpl w:val="4448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E78CBD0"/>
    <w:multiLevelType w:val="hybridMultilevel"/>
    <w:tmpl w:val="1EBA45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6ECF47D2"/>
    <w:multiLevelType w:val="hybridMultilevel"/>
    <w:tmpl w:val="2F424C26"/>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8">
    <w:nsid w:val="6F944FFE"/>
    <w:multiLevelType w:val="multilevel"/>
    <w:tmpl w:val="FD506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105228E"/>
    <w:multiLevelType w:val="hybridMultilevel"/>
    <w:tmpl w:val="BCD6061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nsid w:val="718426D7"/>
    <w:multiLevelType w:val="hybridMultilevel"/>
    <w:tmpl w:val="91945872"/>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21">
    <w:nsid w:val="75A45259"/>
    <w:multiLevelType w:val="hybridMultilevel"/>
    <w:tmpl w:val="336AE9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5EA5BBC"/>
    <w:multiLevelType w:val="hybridMultilevel"/>
    <w:tmpl w:val="EE2A7508"/>
    <w:lvl w:ilvl="0">
      <w:start w:val="1"/>
      <w:numFmt w:val="bullet"/>
      <w:lvlText w:val=""/>
      <w:lvlJc w:val="left"/>
      <w:pPr>
        <w:ind w:left="1440" w:hanging="360"/>
      </w:pPr>
      <w:rPr>
        <w:rFonts w:ascii="Symbol" w:hAnsi="Symbol"/>
      </w:rPr>
    </w:lvl>
    <w:lvl w:ilvl="1">
      <w:start w:val="1"/>
      <w:numFmt w:val="bullet"/>
      <w:lvlText w:val=""/>
      <w:lvlJc w:val="left"/>
      <w:pPr>
        <w:ind w:left="216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23">
    <w:nsid w:val="7A560E6E"/>
    <w:multiLevelType w:val="multilevel"/>
    <w:tmpl w:val="8470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D8E3C4E"/>
    <w:multiLevelType w:val="hybridMultilevel"/>
    <w:tmpl w:val="ED8A74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5"/>
  </w:num>
  <w:num w:numId="4">
    <w:abstractNumId w:val="21"/>
  </w:num>
  <w:num w:numId="5">
    <w:abstractNumId w:val="24"/>
  </w:num>
  <w:num w:numId="6">
    <w:abstractNumId w:val="11"/>
  </w:num>
  <w:num w:numId="7">
    <w:abstractNumId w:val="9"/>
  </w:num>
  <w:num w:numId="8">
    <w:abstractNumId w:val="2"/>
  </w:num>
  <w:num w:numId="9">
    <w:abstractNumId w:val="23"/>
  </w:num>
  <w:num w:numId="10">
    <w:abstractNumId w:val="15"/>
  </w:num>
  <w:num w:numId="11">
    <w:abstractNumId w:val="14"/>
  </w:num>
  <w:num w:numId="12">
    <w:abstractNumId w:val="7"/>
  </w:num>
  <w:num w:numId="13">
    <w:abstractNumId w:val="18"/>
  </w:num>
  <w:num w:numId="14">
    <w:abstractNumId w:val="6"/>
  </w:num>
  <w:num w:numId="15">
    <w:abstractNumId w:val="3"/>
  </w:num>
  <w:num w:numId="16">
    <w:abstractNumId w:val="12"/>
  </w:num>
  <w:num w:numId="17">
    <w:abstractNumId w:val="20"/>
  </w:num>
  <w:num w:numId="18">
    <w:abstractNumId w:val="0"/>
  </w:num>
  <w:num w:numId="19">
    <w:abstractNumId w:val="17"/>
  </w:num>
  <w:num w:numId="20">
    <w:abstractNumId w:val="22"/>
  </w:num>
  <w:num w:numId="21">
    <w:abstractNumId w:val="1"/>
  </w:num>
  <w:num w:numId="22">
    <w:abstractNumId w:val="10"/>
  </w:num>
  <w:num w:numId="23">
    <w:abstractNumId w:val="13"/>
  </w:num>
  <w:num w:numId="24">
    <w:abstractNumId w:val="10"/>
  </w:num>
  <w:num w:numId="25">
    <w:abstractNumId w:val="13"/>
  </w:num>
  <w:num w:numId="26">
    <w:abstractNumId w:val="8"/>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atentStyles>
  <w:style w:type="paragraph" w:default="1" w:styleId="Normal">
    <w:name w:val="Normal"/>
    <w:qFormat/>
    <w:rsid w:val="003F5A4F"/>
    <w:pPr>
      <w:spacing w:line="480" w:lineRule="auto"/>
    </w:pPr>
    <w:rPr>
      <w:sz w:val="24"/>
      <w:szCs w:val="24"/>
    </w:rPr>
  </w:style>
  <w:style w:type="paragraph" w:styleId="Heading1">
    <w:name w:val="heading 1"/>
    <w:basedOn w:val="Normal"/>
    <w:next w:val="Paragraph"/>
    <w:link w:val="Heading1Char"/>
    <w:qFormat/>
    <w:rsid w:val="00252622"/>
    <w:pPr>
      <w:keepNext/>
      <w:spacing w:before="360" w:after="60" w:line="360" w:lineRule="auto"/>
      <w:ind w:right="567"/>
      <w:contextualSpacing/>
      <w:outlineLvl w:val="0"/>
    </w:pPr>
    <w:rPr>
      <w:rFonts w:eastAsiaTheme="majorEastAsia" w:cs="Arial"/>
      <w:b/>
      <w:bCs/>
      <w:kern w:val="32"/>
      <w:sz w:val="28"/>
      <w:szCs w:val="36"/>
    </w:rPr>
  </w:style>
  <w:style w:type="paragraph" w:styleId="Heading2">
    <w:name w:val="heading 2"/>
    <w:basedOn w:val="Normal"/>
    <w:next w:val="Paragraph"/>
    <w:link w:val="Heading2Char"/>
    <w:qFormat/>
    <w:rsid w:val="00B20713"/>
    <w:pPr>
      <w:keepNext/>
      <w:spacing w:before="360" w:after="120" w:line="276" w:lineRule="auto"/>
      <w:ind w:right="567"/>
      <w:contextualSpacing/>
      <w:outlineLvl w:val="1"/>
    </w:pPr>
    <w:rPr>
      <w:rFonts w:eastAsiaTheme="majorEastAsia" w:cs="Arial"/>
      <w:b/>
      <w:bCs/>
      <w:i/>
      <w:iCs/>
      <w:szCs w:val="28"/>
    </w:rPr>
  </w:style>
  <w:style w:type="paragraph" w:styleId="Heading3">
    <w:name w:val="heading 3"/>
    <w:basedOn w:val="Normal"/>
    <w:next w:val="Paragraph"/>
    <w:link w:val="Heading3Char"/>
    <w:qFormat/>
    <w:rsid w:val="003F5A4F"/>
    <w:pPr>
      <w:keepNext/>
      <w:spacing w:before="360" w:after="60" w:line="360" w:lineRule="auto"/>
      <w:ind w:right="567"/>
      <w:contextualSpacing/>
      <w:outlineLvl w:val="2"/>
    </w:pPr>
    <w:rPr>
      <w:rFonts w:eastAsiaTheme="majorEastAsia" w:cs="Arial"/>
      <w:bCs/>
      <w:i/>
      <w:szCs w:val="26"/>
    </w:rPr>
  </w:style>
  <w:style w:type="paragraph" w:styleId="Heading4">
    <w:name w:val="heading 4"/>
    <w:basedOn w:val="Normal"/>
    <w:next w:val="Normal"/>
    <w:link w:val="Heading4Char"/>
    <w:uiPriority w:val="9"/>
    <w:semiHidden/>
    <w:unhideWhenUsed/>
    <w:rsid w:val="008B19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8B19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rsid w:val="008B19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rsid w:val="008B19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rsid w:val="008B19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rsid w:val="008B19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2622"/>
    <w:rPr>
      <w:rFonts w:eastAsiaTheme="majorEastAsia" w:cs="Arial"/>
      <w:b/>
      <w:bCs/>
      <w:kern w:val="32"/>
      <w:sz w:val="28"/>
      <w:szCs w:val="36"/>
    </w:rPr>
  </w:style>
  <w:style w:type="character" w:customStyle="1" w:styleId="Heading2Char">
    <w:name w:val="Heading 2 Char"/>
    <w:basedOn w:val="DefaultParagraphFont"/>
    <w:link w:val="Heading2"/>
    <w:rsid w:val="00B20713"/>
    <w:rPr>
      <w:rFonts w:eastAsiaTheme="majorEastAsia" w:cs="Arial"/>
      <w:b/>
      <w:bCs/>
      <w:i/>
      <w:iCs/>
      <w:sz w:val="24"/>
      <w:szCs w:val="28"/>
    </w:rPr>
  </w:style>
  <w:style w:type="character" w:customStyle="1" w:styleId="Heading3Char">
    <w:name w:val="Heading 3 Char"/>
    <w:basedOn w:val="DefaultParagraphFont"/>
    <w:link w:val="Heading3"/>
    <w:rsid w:val="003F5A4F"/>
    <w:rPr>
      <w:rFonts w:eastAsiaTheme="majorEastAsia" w:cs="Arial"/>
      <w:bCs/>
      <w:i/>
      <w:sz w:val="24"/>
      <w:szCs w:val="26"/>
    </w:rPr>
  </w:style>
  <w:style w:type="character" w:customStyle="1" w:styleId="Heading4Char">
    <w:name w:val="Heading 4 Char"/>
    <w:basedOn w:val="DefaultParagraphFont"/>
    <w:link w:val="Heading4"/>
    <w:uiPriority w:val="9"/>
    <w:semiHidden/>
    <w:rsid w:val="008B19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19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9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9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9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947"/>
    <w:rPr>
      <w:rFonts w:eastAsiaTheme="majorEastAsia" w:cstheme="majorBidi"/>
      <w:color w:val="272727" w:themeColor="text1" w:themeTint="D8"/>
    </w:rPr>
  </w:style>
  <w:style w:type="paragraph" w:styleId="Title">
    <w:name w:val="Title"/>
    <w:basedOn w:val="Normal"/>
    <w:next w:val="Normal"/>
    <w:link w:val="TitleChar"/>
    <w:uiPriority w:val="10"/>
    <w:rsid w:val="008B19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9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8B19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9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8B1947"/>
    <w:pPr>
      <w:spacing w:before="160"/>
      <w:jc w:val="center"/>
    </w:pPr>
    <w:rPr>
      <w:i/>
      <w:iCs/>
      <w:color w:val="404040" w:themeColor="text1" w:themeTint="BF"/>
    </w:rPr>
  </w:style>
  <w:style w:type="character" w:customStyle="1" w:styleId="QuoteChar">
    <w:name w:val="Quote Char"/>
    <w:basedOn w:val="DefaultParagraphFont"/>
    <w:link w:val="Quote"/>
    <w:uiPriority w:val="29"/>
    <w:rsid w:val="008B1947"/>
    <w:rPr>
      <w:i/>
      <w:iCs/>
      <w:color w:val="404040" w:themeColor="text1" w:themeTint="BF"/>
    </w:rPr>
  </w:style>
  <w:style w:type="paragraph" w:styleId="ListParagraph">
    <w:name w:val="List Paragraph"/>
    <w:basedOn w:val="Normal"/>
    <w:uiPriority w:val="34"/>
    <w:rsid w:val="008B1947"/>
    <w:pPr>
      <w:ind w:left="720"/>
      <w:contextualSpacing/>
    </w:pPr>
  </w:style>
  <w:style w:type="character" w:styleId="IntenseEmphasis">
    <w:name w:val="Intense Emphasis"/>
    <w:basedOn w:val="DefaultParagraphFont"/>
    <w:uiPriority w:val="21"/>
    <w:rsid w:val="008B1947"/>
    <w:rPr>
      <w:i/>
      <w:iCs/>
      <w:color w:val="0F4761" w:themeColor="accent1" w:themeShade="BF"/>
    </w:rPr>
  </w:style>
  <w:style w:type="paragraph" w:styleId="IntenseQuote">
    <w:name w:val="Intense Quote"/>
    <w:basedOn w:val="Normal"/>
    <w:next w:val="Normal"/>
    <w:link w:val="IntenseQuoteChar"/>
    <w:uiPriority w:val="30"/>
    <w:rsid w:val="008B19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947"/>
    <w:rPr>
      <w:i/>
      <w:iCs/>
      <w:color w:val="0F4761" w:themeColor="accent1" w:themeShade="BF"/>
    </w:rPr>
  </w:style>
  <w:style w:type="character" w:styleId="IntenseReference">
    <w:name w:val="Intense Reference"/>
    <w:basedOn w:val="DefaultParagraphFont"/>
    <w:uiPriority w:val="32"/>
    <w:rsid w:val="008B1947"/>
    <w:rPr>
      <w:b/>
      <w:bCs/>
      <w:smallCaps/>
      <w:color w:val="0F4761" w:themeColor="accent1" w:themeShade="BF"/>
      <w:spacing w:val="5"/>
    </w:rPr>
  </w:style>
  <w:style w:type="paragraph" w:styleId="Header">
    <w:name w:val="header"/>
    <w:basedOn w:val="Normal"/>
    <w:link w:val="HeaderChar"/>
    <w:uiPriority w:val="99"/>
    <w:unhideWhenUsed/>
    <w:rsid w:val="009F70A8"/>
    <w:pPr>
      <w:tabs>
        <w:tab w:val="center" w:pos="4513"/>
        <w:tab w:val="right" w:pos="9026"/>
      </w:tabs>
      <w:spacing w:line="240" w:lineRule="auto"/>
    </w:pPr>
  </w:style>
  <w:style w:type="character" w:customStyle="1" w:styleId="HeaderChar">
    <w:name w:val="Header Char"/>
    <w:basedOn w:val="DefaultParagraphFont"/>
    <w:link w:val="Header"/>
    <w:uiPriority w:val="99"/>
    <w:rsid w:val="009F70A8"/>
  </w:style>
  <w:style w:type="paragraph" w:styleId="Footer">
    <w:name w:val="footer"/>
    <w:basedOn w:val="Normal"/>
    <w:link w:val="FooterChar"/>
    <w:uiPriority w:val="99"/>
    <w:unhideWhenUsed/>
    <w:rsid w:val="009F70A8"/>
    <w:pPr>
      <w:tabs>
        <w:tab w:val="center" w:pos="4513"/>
        <w:tab w:val="right" w:pos="9026"/>
      </w:tabs>
      <w:spacing w:line="240" w:lineRule="auto"/>
    </w:pPr>
  </w:style>
  <w:style w:type="character" w:customStyle="1" w:styleId="FooterChar">
    <w:name w:val="Footer Char"/>
    <w:basedOn w:val="DefaultParagraphFont"/>
    <w:link w:val="Footer"/>
    <w:uiPriority w:val="99"/>
    <w:rsid w:val="009F70A8"/>
  </w:style>
  <w:style w:type="character" w:styleId="CommentReference">
    <w:name w:val="annotation reference"/>
    <w:basedOn w:val="DefaultParagraphFont"/>
    <w:uiPriority w:val="99"/>
    <w:semiHidden/>
    <w:unhideWhenUsed/>
    <w:rsid w:val="00A96EAD"/>
    <w:rPr>
      <w:sz w:val="16"/>
      <w:szCs w:val="16"/>
    </w:rPr>
  </w:style>
  <w:style w:type="paragraph" w:styleId="CommentText">
    <w:name w:val="annotation text"/>
    <w:basedOn w:val="Normal"/>
    <w:link w:val="CommentTextChar"/>
    <w:uiPriority w:val="99"/>
    <w:unhideWhenUsed/>
    <w:rsid w:val="00A96EAD"/>
    <w:pPr>
      <w:spacing w:line="240" w:lineRule="auto"/>
    </w:pPr>
    <w:rPr>
      <w:sz w:val="20"/>
      <w:szCs w:val="20"/>
    </w:rPr>
  </w:style>
  <w:style w:type="character" w:customStyle="1" w:styleId="CommentTextChar">
    <w:name w:val="Comment Text Char"/>
    <w:basedOn w:val="DefaultParagraphFont"/>
    <w:link w:val="CommentText"/>
    <w:uiPriority w:val="99"/>
    <w:rsid w:val="00A96EAD"/>
    <w:rPr>
      <w:sz w:val="20"/>
      <w:szCs w:val="20"/>
    </w:rPr>
  </w:style>
  <w:style w:type="paragraph" w:styleId="CommentSubject">
    <w:name w:val="annotation subject"/>
    <w:basedOn w:val="CommentText"/>
    <w:next w:val="CommentText"/>
    <w:link w:val="CommentSubjectChar"/>
    <w:uiPriority w:val="99"/>
    <w:semiHidden/>
    <w:unhideWhenUsed/>
    <w:rsid w:val="00A96EAD"/>
    <w:rPr>
      <w:b/>
      <w:bCs/>
    </w:rPr>
  </w:style>
  <w:style w:type="character" w:customStyle="1" w:styleId="CommentSubjectChar">
    <w:name w:val="Comment Subject Char"/>
    <w:basedOn w:val="CommentTextChar"/>
    <w:link w:val="CommentSubject"/>
    <w:uiPriority w:val="99"/>
    <w:semiHidden/>
    <w:rsid w:val="00A96EAD"/>
    <w:rPr>
      <w:b/>
      <w:bCs/>
      <w:sz w:val="20"/>
      <w:szCs w:val="20"/>
    </w:rPr>
  </w:style>
  <w:style w:type="character" w:styleId="Hyperlink">
    <w:name w:val="Hyperlink"/>
    <w:basedOn w:val="DefaultParagraphFont"/>
    <w:uiPriority w:val="99"/>
    <w:unhideWhenUsed/>
    <w:rsid w:val="00E02684"/>
    <w:rPr>
      <w:color w:val="467886" w:themeColor="hyperlink"/>
      <w:u w:val="single"/>
    </w:rPr>
  </w:style>
  <w:style w:type="character" w:customStyle="1" w:styleId="UnresolvedMention1">
    <w:name w:val="Unresolved Mention1"/>
    <w:basedOn w:val="DefaultParagraphFont"/>
    <w:uiPriority w:val="99"/>
    <w:semiHidden/>
    <w:unhideWhenUsed/>
    <w:rsid w:val="00E02684"/>
    <w:rPr>
      <w:color w:val="605E5C"/>
      <w:shd w:val="clear" w:color="auto" w:fill="E1DFDD"/>
    </w:rPr>
  </w:style>
  <w:style w:type="paragraph" w:styleId="Revision">
    <w:name w:val="Revision"/>
    <w:hidden/>
    <w:uiPriority w:val="99"/>
    <w:semiHidden/>
    <w:rsid w:val="00102A61"/>
  </w:style>
  <w:style w:type="paragraph" w:styleId="Date">
    <w:name w:val="Date"/>
    <w:basedOn w:val="Normal"/>
    <w:next w:val="Normal"/>
    <w:link w:val="DateChar"/>
    <w:uiPriority w:val="99"/>
    <w:semiHidden/>
    <w:unhideWhenUsed/>
    <w:rsid w:val="003F5A4F"/>
  </w:style>
  <w:style w:type="character" w:customStyle="1" w:styleId="DateChar">
    <w:name w:val="Date Char"/>
    <w:basedOn w:val="DefaultParagraphFont"/>
    <w:link w:val="Date"/>
    <w:uiPriority w:val="99"/>
    <w:semiHidden/>
    <w:rsid w:val="003F5A4F"/>
  </w:style>
  <w:style w:type="paragraph" w:customStyle="1" w:styleId="Articletitle">
    <w:name w:val="Article title"/>
    <w:basedOn w:val="Normal"/>
    <w:next w:val="Normal"/>
    <w:qFormat/>
    <w:rsid w:val="003F5A4F"/>
    <w:pPr>
      <w:spacing w:after="120" w:line="360" w:lineRule="auto"/>
    </w:pPr>
    <w:rPr>
      <w:b/>
      <w:sz w:val="28"/>
    </w:rPr>
  </w:style>
  <w:style w:type="paragraph" w:customStyle="1" w:styleId="Authornames">
    <w:name w:val="Author names"/>
    <w:basedOn w:val="Normal"/>
    <w:next w:val="Normal"/>
    <w:qFormat/>
    <w:rsid w:val="003F5A4F"/>
    <w:pPr>
      <w:spacing w:before="240" w:line="360" w:lineRule="auto"/>
    </w:pPr>
    <w:rPr>
      <w:sz w:val="28"/>
    </w:rPr>
  </w:style>
  <w:style w:type="paragraph" w:customStyle="1" w:styleId="Affiliation">
    <w:name w:val="Affiliation"/>
    <w:basedOn w:val="Normal"/>
    <w:qFormat/>
    <w:rsid w:val="003F5A4F"/>
    <w:pPr>
      <w:spacing w:before="240" w:line="360" w:lineRule="auto"/>
    </w:pPr>
    <w:rPr>
      <w:i/>
    </w:rPr>
  </w:style>
  <w:style w:type="paragraph" w:customStyle="1" w:styleId="Receiveddates">
    <w:name w:val="Received dates"/>
    <w:basedOn w:val="Affiliation"/>
    <w:next w:val="Normal"/>
    <w:qFormat/>
    <w:rsid w:val="003F5A4F"/>
  </w:style>
  <w:style w:type="paragraph" w:customStyle="1" w:styleId="Abstract">
    <w:name w:val="Abstract"/>
    <w:basedOn w:val="Normal"/>
    <w:next w:val="Keywords"/>
    <w:qFormat/>
    <w:rsid w:val="003F5A4F"/>
    <w:pPr>
      <w:spacing w:before="360" w:after="300" w:line="360" w:lineRule="auto"/>
      <w:ind w:left="720" w:right="567"/>
    </w:pPr>
    <w:rPr>
      <w:sz w:val="22"/>
    </w:rPr>
  </w:style>
  <w:style w:type="paragraph" w:customStyle="1" w:styleId="Keywords">
    <w:name w:val="Keywords"/>
    <w:basedOn w:val="Normal"/>
    <w:next w:val="Paragraph"/>
    <w:qFormat/>
    <w:rsid w:val="003F5A4F"/>
    <w:pPr>
      <w:spacing w:before="240" w:after="240" w:line="360" w:lineRule="auto"/>
      <w:ind w:left="720" w:right="567"/>
    </w:pPr>
    <w:rPr>
      <w:sz w:val="22"/>
    </w:rPr>
  </w:style>
  <w:style w:type="paragraph" w:customStyle="1" w:styleId="Correspondencedetails">
    <w:name w:val="Correspondence details"/>
    <w:basedOn w:val="Normal"/>
    <w:qFormat/>
    <w:rsid w:val="003F5A4F"/>
    <w:pPr>
      <w:spacing w:before="240" w:line="360" w:lineRule="auto"/>
    </w:pPr>
  </w:style>
  <w:style w:type="paragraph" w:customStyle="1" w:styleId="Displayedquotation">
    <w:name w:val="Displayed quotation"/>
    <w:basedOn w:val="Normal"/>
    <w:qFormat/>
    <w:rsid w:val="0045265A"/>
    <w:pPr>
      <w:tabs>
        <w:tab w:val="left" w:pos="1077"/>
        <w:tab w:val="left" w:pos="1440"/>
        <w:tab w:val="left" w:pos="1797"/>
        <w:tab w:val="left" w:pos="2155"/>
        <w:tab w:val="left" w:pos="2512"/>
      </w:tabs>
      <w:spacing w:before="120" w:after="120" w:line="276" w:lineRule="auto"/>
      <w:ind w:left="709" w:right="425"/>
      <w:contextualSpacing/>
    </w:pPr>
    <w:rPr>
      <w:i/>
      <w:iCs/>
      <w:szCs w:val="28"/>
    </w:rPr>
  </w:style>
  <w:style w:type="paragraph" w:customStyle="1" w:styleId="Numberedlist">
    <w:name w:val="Numbered list"/>
    <w:basedOn w:val="Paragraph"/>
    <w:next w:val="Paragraph"/>
    <w:qFormat/>
    <w:rsid w:val="003F5A4F"/>
    <w:pPr>
      <w:widowControl/>
      <w:numPr>
        <w:numId w:val="24"/>
      </w:numPr>
      <w:spacing w:after="240"/>
      <w:contextualSpacing/>
    </w:pPr>
  </w:style>
  <w:style w:type="paragraph" w:customStyle="1" w:styleId="Displayedequation">
    <w:name w:val="Displayed equation"/>
    <w:basedOn w:val="Normal"/>
    <w:next w:val="Paragraph"/>
    <w:qFormat/>
    <w:rsid w:val="003F5A4F"/>
    <w:pPr>
      <w:tabs>
        <w:tab w:val="center" w:pos="4253"/>
        <w:tab w:val="right" w:pos="8222"/>
      </w:tabs>
      <w:spacing w:before="240" w:after="240"/>
      <w:jc w:val="center"/>
    </w:pPr>
  </w:style>
  <w:style w:type="paragraph" w:customStyle="1" w:styleId="Acknowledgements">
    <w:name w:val="Acknowledgements"/>
    <w:basedOn w:val="Normal"/>
    <w:next w:val="Normal"/>
    <w:qFormat/>
    <w:rsid w:val="003F5A4F"/>
    <w:pPr>
      <w:spacing w:before="120" w:line="360" w:lineRule="auto"/>
    </w:pPr>
    <w:rPr>
      <w:sz w:val="22"/>
    </w:rPr>
  </w:style>
  <w:style w:type="paragraph" w:customStyle="1" w:styleId="Tabletitle">
    <w:name w:val="Table title"/>
    <w:basedOn w:val="Normal"/>
    <w:next w:val="Normal"/>
    <w:qFormat/>
    <w:rsid w:val="003F5A4F"/>
    <w:pPr>
      <w:spacing w:before="240" w:line="360" w:lineRule="auto"/>
    </w:pPr>
  </w:style>
  <w:style w:type="paragraph" w:customStyle="1" w:styleId="Figurecaption">
    <w:name w:val="Figure caption"/>
    <w:basedOn w:val="Normal"/>
    <w:next w:val="Normal"/>
    <w:qFormat/>
    <w:rsid w:val="003F5A4F"/>
    <w:pPr>
      <w:spacing w:before="240" w:line="360" w:lineRule="auto"/>
    </w:pPr>
  </w:style>
  <w:style w:type="paragraph" w:customStyle="1" w:styleId="Footnotes">
    <w:name w:val="Footnotes"/>
    <w:basedOn w:val="Normal"/>
    <w:qFormat/>
    <w:rsid w:val="003F5A4F"/>
    <w:pPr>
      <w:spacing w:before="120" w:line="360" w:lineRule="auto"/>
      <w:ind w:left="482" w:hanging="482"/>
      <w:contextualSpacing/>
    </w:pPr>
    <w:rPr>
      <w:sz w:val="22"/>
    </w:rPr>
  </w:style>
  <w:style w:type="paragraph" w:customStyle="1" w:styleId="Notesoncontributors">
    <w:name w:val="Notes on contributors"/>
    <w:basedOn w:val="Normal"/>
    <w:qFormat/>
    <w:rsid w:val="003F5A4F"/>
    <w:pPr>
      <w:spacing w:before="240" w:line="360" w:lineRule="auto"/>
    </w:pPr>
    <w:rPr>
      <w:sz w:val="22"/>
    </w:rPr>
  </w:style>
  <w:style w:type="paragraph" w:customStyle="1" w:styleId="Paragraph">
    <w:name w:val="Paragraph"/>
    <w:basedOn w:val="Normal"/>
    <w:next w:val="Newparagraph"/>
    <w:qFormat/>
    <w:rsid w:val="003F5A4F"/>
    <w:pPr>
      <w:widowControl w:val="0"/>
      <w:spacing w:before="240"/>
    </w:pPr>
  </w:style>
  <w:style w:type="paragraph" w:customStyle="1" w:styleId="Newparagraph">
    <w:name w:val="New paragraph"/>
    <w:basedOn w:val="Normal"/>
    <w:qFormat/>
    <w:rsid w:val="003F5A4F"/>
    <w:pPr>
      <w:ind w:firstLine="720"/>
    </w:pPr>
  </w:style>
  <w:style w:type="paragraph" w:customStyle="1" w:styleId="References">
    <w:name w:val="References"/>
    <w:basedOn w:val="Normal"/>
    <w:qFormat/>
    <w:rsid w:val="003F5A4F"/>
    <w:pPr>
      <w:spacing w:before="120" w:line="360" w:lineRule="auto"/>
      <w:ind w:left="720" w:hanging="720"/>
      <w:contextualSpacing/>
    </w:pPr>
  </w:style>
  <w:style w:type="paragraph" w:customStyle="1" w:styleId="Subjectcodes">
    <w:name w:val="Subject codes"/>
    <w:basedOn w:val="Keywords"/>
    <w:next w:val="Paragraph"/>
    <w:qFormat/>
    <w:rsid w:val="003F5A4F"/>
  </w:style>
  <w:style w:type="paragraph" w:customStyle="1" w:styleId="Bulletedlist">
    <w:name w:val="Bulleted list"/>
    <w:basedOn w:val="Paragraph"/>
    <w:next w:val="Paragraph"/>
    <w:qFormat/>
    <w:rsid w:val="003F5A4F"/>
    <w:pPr>
      <w:widowControl/>
      <w:numPr>
        <w:numId w:val="25"/>
      </w:numPr>
      <w:spacing w:after="240"/>
      <w:contextualSpacing/>
    </w:pPr>
  </w:style>
  <w:style w:type="paragraph" w:customStyle="1" w:styleId="Heading4Paragraph">
    <w:name w:val="Heading 4 + Paragraph"/>
    <w:basedOn w:val="Paragraph"/>
    <w:next w:val="Newparagraph"/>
    <w:qFormat/>
    <w:rsid w:val="003F5A4F"/>
    <w:pPr>
      <w:widowControl/>
      <w:spacing w:before="360"/>
    </w:pPr>
  </w:style>
  <w:style w:type="paragraph" w:styleId="FootnoteText">
    <w:name w:val="footnote text"/>
    <w:basedOn w:val="Normal"/>
    <w:link w:val="FootnoteTextChar"/>
    <w:uiPriority w:val="99"/>
    <w:semiHidden/>
    <w:unhideWhenUsed/>
    <w:rsid w:val="00EA5715"/>
    <w:pPr>
      <w:spacing w:line="240" w:lineRule="auto"/>
    </w:pPr>
    <w:rPr>
      <w:sz w:val="20"/>
      <w:szCs w:val="20"/>
    </w:rPr>
  </w:style>
  <w:style w:type="character" w:customStyle="1" w:styleId="FootnoteTextChar">
    <w:name w:val="Footnote Text Char"/>
    <w:basedOn w:val="DefaultParagraphFont"/>
    <w:link w:val="FootnoteText"/>
    <w:uiPriority w:val="99"/>
    <w:semiHidden/>
    <w:rsid w:val="00EA5715"/>
  </w:style>
  <w:style w:type="character" w:styleId="FootnoteReference">
    <w:name w:val="footnote reference"/>
    <w:basedOn w:val="DefaultParagraphFont"/>
    <w:uiPriority w:val="99"/>
    <w:semiHidden/>
    <w:unhideWhenUsed/>
    <w:rsid w:val="00EA57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ECB70CC43F01459B48CBD8CEBE2B21" ma:contentTypeVersion="13" ma:contentTypeDescription="Create a new document." ma:contentTypeScope="" ma:versionID="799915184fda0110051a71c8db9ef710">
  <xsd:schema xmlns:xsd="http://www.w3.org/2001/XMLSchema" xmlns:xs="http://www.w3.org/2001/XMLSchema" xmlns:p="http://schemas.microsoft.com/office/2006/metadata/properties" xmlns:ns2="108fd7b8-13c3-43cd-9378-7b94a2a2e8c4" xmlns:ns3="0fccce1d-0f8b-4d0e-9a80-870efd945d4b" targetNamespace="http://schemas.microsoft.com/office/2006/metadata/properties" ma:root="true" ma:fieldsID="b744b592085ecc7ad58a4fe1254c70f0" ns2:_="" ns3:_="">
    <xsd:import namespace="108fd7b8-13c3-43cd-9378-7b94a2a2e8c4"/>
    <xsd:import namespace="0fccce1d-0f8b-4d0e-9a80-870efd945d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Usefulforadboardnov24"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fd7b8-13c3-43cd-9378-7b94a2a2e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Usefulforadboardnov24" ma:index="12" nillable="true" ma:displayName="Useful for adboard nov24" ma:format="Dropdown" ma:internalName="Usefulforadboardnov24">
      <xsd:simpleType>
        <xsd:union memberTypes="dms:Text">
          <xsd:simpleType>
            <xsd:restriction base="dms:Choice">
              <xsd:enumeration value="LR"/>
              <xsd:enumeration value="Comms"/>
              <xsd:enumeration value="NPD"/>
            </xsd:restriction>
          </xsd:simpleType>
        </xsd:un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ccce1d-0f8b-4d0e-9a80-870efd945d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50cab75-4eea-48e7-9923-3d24478331e8}" ma:internalName="TaxCatchAll" ma:showField="CatchAllData" ma:web="0fccce1d-0f8b-4d0e-9a80-870efd945d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ccce1d-0f8b-4d0e-9a80-870efd945d4b" xsi:nil="true"/>
    <Usefulforadboardnov24 xmlns="108fd7b8-13c3-43cd-9378-7b94a2a2e8c4" xsi:nil="true"/>
    <lcf76f155ced4ddcb4097134ff3c332f xmlns="108fd7b8-13c3-43cd-9378-7b94a2a2e8c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0CAA9-DD73-4055-A551-711336FAE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fd7b8-13c3-43cd-9378-7b94a2a2e8c4"/>
    <ds:schemaRef ds:uri="0fccce1d-0f8b-4d0e-9a80-870efd945d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927A9C-2934-41F2-B189-6036C6C2BBB9}">
  <ds:schemaRefs>
    <ds:schemaRef ds:uri="http://schemas.microsoft.com/sharepoint/v3/contenttype/forms"/>
  </ds:schemaRefs>
</ds:datastoreItem>
</file>

<file path=customXml/itemProps3.xml><?xml version="1.0" encoding="utf-8"?>
<ds:datastoreItem xmlns:ds="http://schemas.openxmlformats.org/officeDocument/2006/customXml" ds:itemID="{37F2A4B4-D9D1-45A9-B5E0-87FA303B7358}">
  <ds:schemaRefs>
    <ds:schemaRef ds:uri="http://schemas.microsoft.com/office/2006/metadata/properties"/>
    <ds:schemaRef ds:uri="http://schemas.microsoft.com/office/infopath/2007/PartnerControls"/>
    <ds:schemaRef ds:uri="0fccce1d-0f8b-4d0e-9a80-870efd945d4b"/>
    <ds:schemaRef ds:uri="108fd7b8-13c3-43cd-9378-7b94a2a2e8c4"/>
  </ds:schemaRefs>
</ds:datastoreItem>
</file>

<file path=customXml/itemProps4.xml><?xml version="1.0" encoding="utf-8"?>
<ds:datastoreItem xmlns:ds="http://schemas.openxmlformats.org/officeDocument/2006/customXml" ds:itemID="{220D5B63-E0BD-44F2-8AD6-E5E1E0422B5E}">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ECA0156</dc:title>
  <cp:revision>0</cp:revision>
</cp:coreProperties>
</file>