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1122" w:rsidP="00554DD4">
      <w:pPr>
        <w:jc w:val="center"/>
        <w:rPr>
          <w:b/>
          <w:bCs/>
        </w:rPr>
      </w:pPr>
      <w:r w:rsidRPr="00554DD4">
        <w:rPr>
          <w:b/>
          <w:bCs/>
        </w:rPr>
        <w:t xml:space="preserve">Written evidence by </w:t>
      </w:r>
      <w:r w:rsidRPr="00554DD4">
        <w:rPr>
          <w:b/>
          <w:bCs/>
        </w:rPr>
        <w:t>New Visions for Education Group</w:t>
      </w:r>
      <w:r w:rsidRPr="00554DD4">
        <w:rPr>
          <w:b/>
          <w:bCs/>
        </w:rPr>
        <w:t xml:space="preserve"> (ECA0149)</w:t>
      </w:r>
    </w:p>
    <w:p w:rsidR="00554DD4" w:rsidRPr="00554DD4" w:rsidP="00554DD4">
      <w:pPr>
        <w:jc w:val="center"/>
        <w:rPr>
          <w:b/>
          <w:bCs/>
        </w:rPr>
      </w:pPr>
    </w:p>
    <w:p w:rsidR="00E41122" w:rsidP="00AB3829">
      <w:pPr>
        <w:pStyle w:val="Heading2"/>
      </w:pPr>
      <w:r>
        <w:t>Inquiry into the ‘Every Child Achieving and Thriving’ White Paper</w:t>
      </w:r>
    </w:p>
    <w:p w:rsidR="00E41122" w:rsidP="00437B69">
      <w:r>
        <w:t xml:space="preserve">Please find </w:t>
      </w:r>
      <w:r>
        <w:t>the</w:t>
      </w:r>
      <w:r>
        <w:t xml:space="preserve"> submission from the New Visions for Education Group (NVEG)</w:t>
      </w:r>
      <w:r>
        <w:t xml:space="preserve"> into the inquiry by the Commons Education Committee into the ‘Every Child Achieving and Thriving’ White Paper</w:t>
      </w:r>
      <w:r>
        <w:t xml:space="preserve">. The NVEG is an education policy advocacy group made up of leading educationalists, practitioners, academics and lifelong commentators. Our principal objective </w:t>
      </w:r>
      <w:r>
        <w:t>i</w:t>
      </w:r>
      <w:r>
        <w:t xml:space="preserve">s the promotion of a collaborative, inclusive and equitable public education service that aims to provide a high-quality education for all, ranks practical learning as highly as academic learning, and values the personal development and well-being of the individual as highly as their and society’s economic and occupational needs. The Group is independent without party political affiliation. Further information about the NVEG can be found on our website: </w:t>
      </w:r>
      <w:r>
        <w:fldChar w:fldCharType="begin"/>
      </w:r>
      <w:r>
        <w:instrText xml:space="preserve"> HYPERLINK "https://newvisionsforeducation.org.uk/" </w:instrText>
      </w:r>
      <w:r>
        <w:fldChar w:fldCharType="separate"/>
      </w:r>
      <w:r w:rsidRPr="00F57BD5">
        <w:rPr>
          <w:rStyle w:val="Hyperlink"/>
        </w:rPr>
        <w:t>https://newvisionsforeducation.org.uk/</w:t>
      </w:r>
      <w:r>
        <w:fldChar w:fldCharType="end"/>
      </w:r>
    </w:p>
    <w:p w:rsidR="00E41122" w:rsidP="00437B69">
      <w:r>
        <w:t>The Schools White Paper was published on 23 February 2026. A new administration was formed on 20 July 2026. Statements by the new Prime Minister and Secretary of State for Education call into question some of the thinking behind the White Paper particularly on the Curriculum and Assessment Review and the role of place the development of educational administration. Our evidence below reflects the current period before the new administration confirms its policy direction. The view of the NVEG is that the Scho</w:t>
      </w:r>
      <w:r>
        <w:t>ols White Paper should be withdrawn and a new one developed that takes account of the wide depth of opinion about the future of the education system in England and the formation of our country’s children and young people.</w:t>
      </w:r>
    </w:p>
    <w:p w:rsidR="00E41122" w:rsidP="00437B69">
      <w:r>
        <w:t>We would be pleased to give oral evidence to the Committee</w:t>
      </w:r>
    </w:p>
    <w:p w:rsidR="00E41122" w:rsidP="00437B69">
      <w:r>
        <w:t>Sir Alasdair Macdonald</w:t>
      </w:r>
    </w:p>
    <w:p w:rsidR="00E41122" w:rsidP="00437B69">
      <w:r>
        <w:t>Chair</w:t>
      </w:r>
    </w:p>
    <w:p w:rsidR="00E41122" w:rsidP="00437B69">
      <w:r>
        <w:t>New Visions for Education Group</w:t>
      </w:r>
    </w:p>
    <w:p w:rsidR="00E41122" w:rsidRPr="009D01BD" w:rsidP="009D01BD">
      <w:pPr>
        <w:pStyle w:val="Heading2"/>
      </w:pPr>
      <w:r w:rsidRPr="009D01BD">
        <w:t>Introduction</w:t>
      </w:r>
    </w:p>
    <w:p w:rsidR="00E41122" w:rsidRPr="00EA6296" w:rsidP="00EA6296">
      <w:r w:rsidRPr="00EA6296">
        <w:t>The education system needs to be approached as a functioning</w:t>
      </w:r>
      <w:r w:rsidRPr="00EA6296">
        <w:t xml:space="preserve"> </w:t>
      </w:r>
      <w:r w:rsidRPr="00EA6296">
        <w:t>ecosystem. We badly need a review that focuses on the purpose of our schools and that recognises the interconnected nature of the system. There is of course a need</w:t>
      </w:r>
      <w:r w:rsidRPr="00EA6296">
        <w:t xml:space="preserve"> </w:t>
      </w:r>
      <w:r w:rsidRPr="00EA6296">
        <w:t>to break down the components - early years, curriculum, assessment, accountability, teacher education, structure and governance, SEND - but we also need a vision that holds the various aspects together and recognises how they impact on each other.</w:t>
      </w:r>
    </w:p>
    <w:p w:rsidR="00E41122" w:rsidRPr="00EA6296" w:rsidP="00EA6296">
      <w:r w:rsidRPr="00EA6296">
        <w:t xml:space="preserve">We have responded to the White Paper as suggested under the eight </w:t>
      </w:r>
      <w:r w:rsidRPr="00EA6296">
        <w:t>headings,</w:t>
      </w:r>
      <w:r w:rsidRPr="00EA6296">
        <w:t xml:space="preserve"> but we would want to emphasise this need for coherence.</w:t>
      </w:r>
      <w:r w:rsidRPr="00EA6296">
        <w:t xml:space="preserve"> But before doing so, we feel it is </w:t>
      </w:r>
      <w:r w:rsidRPr="00EA6296">
        <w:t>important to set out the compelling evidence that the current system is failing to meet the needs of many young people despite the many assertions that schools policy since 2010 has been a success.</w:t>
      </w:r>
    </w:p>
    <w:p w:rsidR="00E41122" w:rsidRPr="00EA6296" w:rsidP="00EA6296">
      <w:pPr>
        <w:rPr>
          <w:rFonts w:ascii="Calibri" w:hAnsi="Calibri" w:cs="Calibri"/>
        </w:rPr>
      </w:pPr>
      <w:r w:rsidRPr="00EA6296">
        <w:rPr>
          <w:rFonts w:ascii="Calibri" w:hAnsi="Calibri" w:cs="Calibri"/>
        </w:rPr>
        <w:t>The White Paper itself reminds us that:</w:t>
      </w:r>
    </w:p>
    <w:p w:rsidR="00E41122" w:rsidRPr="00EA6296" w:rsidP="00EA6296">
      <w:pPr>
        <w:pStyle w:val="ListParagraph"/>
        <w:numPr>
          <w:ilvl w:val="0"/>
          <w:numId w:val="10"/>
        </w:numPr>
        <w:rPr>
          <w:rFonts w:ascii="Calibri" w:hAnsi="Calibri" w:cs="Calibri"/>
        </w:rPr>
      </w:pPr>
      <w:r w:rsidRPr="00EA6296">
        <w:rPr>
          <w:rFonts w:ascii="Calibri" w:hAnsi="Calibri" w:cs="Calibri"/>
        </w:rPr>
        <w:t>Out of 27 European countries, the UK is last in how happy 15-year-olds are with their life.</w:t>
      </w:r>
    </w:p>
    <w:p w:rsidR="00E41122" w:rsidRPr="00EA6296" w:rsidP="00EA6296">
      <w:pPr>
        <w:pStyle w:val="ListParagraph"/>
        <w:numPr>
          <w:ilvl w:val="0"/>
          <w:numId w:val="10"/>
        </w:numPr>
        <w:rPr>
          <w:rFonts w:ascii="Calibri" w:hAnsi="Calibri" w:cs="Calibri"/>
        </w:rPr>
      </w:pPr>
      <w:r w:rsidRPr="00EA6296">
        <w:rPr>
          <w:rFonts w:ascii="Calibri" w:hAnsi="Calibri" w:cs="Calibri"/>
        </w:rPr>
        <w:t>Around one in five children are missing a day of school every fortnight. The number of children saying they belong at school has declined.</w:t>
      </w:r>
    </w:p>
    <w:p w:rsidR="00E41122" w:rsidRPr="00EA6296" w:rsidP="00EA6296">
      <w:pPr>
        <w:pStyle w:val="ListParagraph"/>
        <w:numPr>
          <w:ilvl w:val="0"/>
          <w:numId w:val="10"/>
        </w:numPr>
        <w:rPr>
          <w:rFonts w:ascii="Calibri" w:hAnsi="Calibri" w:cs="Calibri"/>
        </w:rPr>
      </w:pPr>
      <w:r w:rsidRPr="00EA6296">
        <w:rPr>
          <w:rFonts w:ascii="Calibri" w:hAnsi="Calibri" w:cs="Calibri"/>
        </w:rPr>
        <w:t>Council spending on early intervention services, including children’s centres and family support, fell by 42% between 2010/11 and 2023/24, with the most deprived areas hit hardest.</w:t>
      </w:r>
      <w:r>
        <w:fldChar w:fldCharType="begin"/>
      </w:r>
      <w:r>
        <w:instrText xml:space="preserve"> HYPERLINK "C:\\Users\\jebol\\Documents\\John's Documents\\Education general\\Every child achieving and thriving (HTML version) - GOV.UK.htm" \l "fn:23" </w:instrText>
      </w:r>
      <w:r>
        <w:fldChar w:fldCharType="separate"/>
      </w:r>
      <w:r w:rsidRPr="00EA6296">
        <w:rPr>
          <w:rStyle w:val="Hyperlink"/>
          <w:rFonts w:ascii="Calibri" w:hAnsi="Calibri" w:cs="Calibri"/>
          <w:color w:val="auto"/>
          <w:vertAlign w:val="superscript"/>
        </w:rPr>
        <w:t>[</w:t>
      </w:r>
      <w:r>
        <w:fldChar w:fldCharType="end"/>
      </w:r>
    </w:p>
    <w:p w:rsidR="00E41122" w:rsidRPr="00EA6296" w:rsidP="00EA6296">
      <w:pPr>
        <w:pStyle w:val="ListParagraph"/>
        <w:numPr>
          <w:ilvl w:val="0"/>
          <w:numId w:val="10"/>
        </w:numPr>
        <w:rPr>
          <w:rFonts w:ascii="Calibri" w:hAnsi="Calibri" w:cs="Calibri"/>
        </w:rPr>
      </w:pPr>
      <w:r w:rsidRPr="00EA6296">
        <w:rPr>
          <w:rFonts w:ascii="Calibri" w:hAnsi="Calibri" w:cs="Calibri"/>
        </w:rPr>
        <w:t>In a typical classroom of 30 children, there are around 10 growing up in poverty.</w:t>
      </w:r>
    </w:p>
    <w:p w:rsidR="00E41122" w:rsidRPr="00EA6296" w:rsidP="00EA6296">
      <w:pPr>
        <w:pStyle w:val="ListParagraph"/>
        <w:numPr>
          <w:ilvl w:val="0"/>
          <w:numId w:val="10"/>
        </w:numPr>
        <w:rPr>
          <w:rFonts w:ascii="Calibri" w:hAnsi="Calibri" w:cs="Calibri"/>
        </w:rPr>
      </w:pPr>
      <w:r w:rsidRPr="00EA6296">
        <w:rPr>
          <w:rFonts w:ascii="Calibri" w:hAnsi="Calibri" w:cs="Calibri"/>
        </w:rPr>
        <w:t>Disadvantaged children are not succeeding as they should</w:t>
      </w:r>
      <w:r w:rsidRPr="00EA6296">
        <w:rPr>
          <w:rFonts w:ascii="Calibri" w:hAnsi="Calibri" w:cs="Calibri"/>
        </w:rPr>
        <w:t>.</w:t>
      </w:r>
    </w:p>
    <w:p w:rsidR="00E41122" w:rsidRPr="00EA6296" w:rsidP="00EA6296">
      <w:pPr>
        <w:pStyle w:val="ListParagraph"/>
        <w:numPr>
          <w:ilvl w:val="0"/>
          <w:numId w:val="10"/>
        </w:numPr>
        <w:rPr>
          <w:rFonts w:ascii="Calibri" w:hAnsi="Calibri" w:cs="Calibri"/>
        </w:rPr>
      </w:pPr>
      <w:r w:rsidRPr="00EA6296">
        <w:rPr>
          <w:rFonts w:ascii="Calibri" w:hAnsi="Calibri" w:cs="Calibri"/>
        </w:rPr>
        <w:t>Children’s outcomes are still – too often and too much – determined by background or circumstances</w:t>
      </w:r>
      <w:r w:rsidRPr="00EA6296">
        <w:rPr>
          <w:rFonts w:ascii="Calibri" w:hAnsi="Calibri" w:cs="Calibri"/>
        </w:rPr>
        <w:t>.</w:t>
      </w:r>
    </w:p>
    <w:p w:rsidR="00E41122" w:rsidRPr="00EA6296" w:rsidP="00EA6296">
      <w:pPr>
        <w:pStyle w:val="ListParagraph"/>
        <w:numPr>
          <w:ilvl w:val="0"/>
          <w:numId w:val="10"/>
        </w:numPr>
        <w:rPr>
          <w:rFonts w:ascii="Calibri" w:hAnsi="Calibri" w:cs="Calibri"/>
        </w:rPr>
      </w:pPr>
      <w:r w:rsidRPr="00EA6296">
        <w:rPr>
          <w:rFonts w:ascii="Calibri" w:hAnsi="Calibri" w:cs="Calibri"/>
        </w:rPr>
        <w:t>Between 2010 and 2023, more than 1,000 youth centres closed. More than a third of secondary-school pupils say they do not participate in any enrichment activities in school, and a similar proportion say they do not participate in any activities outside school.</w:t>
      </w:r>
    </w:p>
    <w:p w:rsidR="00E41122" w:rsidRPr="00EA6296" w:rsidP="00EA6296">
      <w:pPr>
        <w:pStyle w:val="ListParagraph"/>
        <w:numPr>
          <w:ilvl w:val="0"/>
          <w:numId w:val="10"/>
        </w:numPr>
        <w:rPr>
          <w:rFonts w:ascii="Calibri" w:hAnsi="Calibri" w:cs="Calibri"/>
        </w:rPr>
      </w:pPr>
      <w:r w:rsidRPr="00EA6296">
        <w:rPr>
          <w:rFonts w:ascii="Calibri" w:hAnsi="Calibri" w:cs="Calibri"/>
        </w:rPr>
        <w:t>The system has not consistently supported a broad curriculum, and in some cases disincentivised inclusive practice.</w:t>
      </w:r>
    </w:p>
    <w:p w:rsidR="00E41122" w:rsidRPr="00EA6296" w:rsidP="00EA6296">
      <w:pPr>
        <w:pStyle w:val="ListParagraph"/>
        <w:numPr>
          <w:ilvl w:val="0"/>
          <w:numId w:val="10"/>
        </w:numPr>
        <w:rPr>
          <w:rFonts w:ascii="Calibri" w:hAnsi="Calibri" w:cs="Calibri"/>
        </w:rPr>
      </w:pPr>
      <w:r w:rsidRPr="00EA6296">
        <w:rPr>
          <w:rFonts w:ascii="Calibri" w:hAnsi="Calibri" w:cs="Calibri"/>
        </w:rPr>
        <w:t>Our current system is fragmented which leaves some schools missing out on opportunities for improvement and sharing best practice.</w:t>
      </w:r>
    </w:p>
    <w:p w:rsidR="00E41122" w:rsidRPr="00EA6296" w:rsidP="00EA6296">
      <w:pPr>
        <w:rPr>
          <w:rFonts w:ascii="Calibri" w:hAnsi="Calibri" w:cs="Calibri"/>
        </w:rPr>
      </w:pPr>
      <w:r w:rsidRPr="00EA6296">
        <w:rPr>
          <w:rFonts w:ascii="Calibri" w:hAnsi="Calibri" w:cs="Calibri"/>
        </w:rPr>
        <w:t>The Milburn Review found that issues relating to schools were:</w:t>
      </w:r>
    </w:p>
    <w:p w:rsidR="00E41122" w:rsidRPr="00EA6296" w:rsidP="00EA6296">
      <w:pPr>
        <w:pStyle w:val="ListParagraph"/>
        <w:numPr>
          <w:ilvl w:val="0"/>
          <w:numId w:val="11"/>
        </w:numPr>
        <w:rPr>
          <w:rFonts w:ascii="Calibri" w:hAnsi="Calibri" w:cs="Calibri"/>
        </w:rPr>
      </w:pPr>
      <w:r w:rsidRPr="00EA6296">
        <w:rPr>
          <w:rStyle w:val="Strong"/>
          <w:rFonts w:ascii="Calibri" w:hAnsi="Calibri" w:cs="Calibri"/>
          <w:b w:val="0"/>
          <w:bCs w:val="0"/>
        </w:rPr>
        <w:t>Exam Obsession</w:t>
      </w:r>
      <w:r w:rsidRPr="00EA6296">
        <w:rPr>
          <w:rStyle w:val="Strong"/>
          <w:rFonts w:ascii="Calibri" w:hAnsi="Calibri" w:cs="Calibri"/>
        </w:rPr>
        <w:t>:</w:t>
      </w:r>
      <w:r w:rsidRPr="00EA6296">
        <w:rPr>
          <w:rStyle w:val="t286pc"/>
          <w:rFonts w:ascii="Calibri" w:hAnsi="Calibri" w:cs="Calibri"/>
        </w:rPr>
        <w:t xml:space="preserve"> The curriculum is heavily skewed toward passing exams, with roughly three-quarters of teachers agreeing it lacks adequate focus on teaching workplace "soft skills".</w:t>
      </w:r>
      <w:r w:rsidRPr="00EA6296">
        <w:rPr>
          <w:rFonts w:ascii="Calibri" w:hAnsi="Calibri" w:cs="Calibri"/>
        </w:rPr>
        <w:t xml:space="preserve"> </w:t>
      </w:r>
    </w:p>
    <w:p w:rsidR="00E41122" w:rsidRPr="00EA6296" w:rsidP="00EA6296">
      <w:pPr>
        <w:pStyle w:val="ListParagraph"/>
        <w:numPr>
          <w:ilvl w:val="0"/>
          <w:numId w:val="11"/>
        </w:numPr>
        <w:rPr>
          <w:rFonts w:ascii="Calibri" w:hAnsi="Calibri" w:cs="Calibri"/>
        </w:rPr>
      </w:pPr>
      <w:r w:rsidRPr="00EA6296">
        <w:rPr>
          <w:rStyle w:val="Strong"/>
          <w:rFonts w:ascii="Calibri" w:hAnsi="Calibri" w:cs="Calibri"/>
          <w:b w:val="0"/>
          <w:bCs w:val="0"/>
        </w:rPr>
        <w:t>University Bias:</w:t>
      </w:r>
      <w:r w:rsidRPr="00EA6296">
        <w:rPr>
          <w:rStyle w:val="t286pc"/>
          <w:rFonts w:ascii="Calibri" w:hAnsi="Calibri" w:cs="Calibri"/>
        </w:rPr>
        <w:t xml:space="preserve"> Further education (FE) colleges play "second fiddle" to higher education. Pushing university as the default path leaves many young people ill-equipped for the labour market.</w:t>
      </w:r>
      <w:r w:rsidRPr="00EA6296">
        <w:rPr>
          <w:rFonts w:ascii="Calibri" w:hAnsi="Calibri" w:cs="Calibri"/>
        </w:rPr>
        <w:t xml:space="preserve"> </w:t>
      </w:r>
    </w:p>
    <w:p w:rsidR="00E41122" w:rsidRPr="00EA6296" w:rsidP="00EA6296">
      <w:pPr>
        <w:pStyle w:val="ListParagraph"/>
        <w:numPr>
          <w:ilvl w:val="0"/>
          <w:numId w:val="11"/>
        </w:numPr>
        <w:rPr>
          <w:rFonts w:ascii="Calibri" w:hAnsi="Calibri" w:cs="Calibri"/>
        </w:rPr>
      </w:pPr>
      <w:r w:rsidRPr="00EA6296">
        <w:rPr>
          <w:rStyle w:val="Strong"/>
          <w:rFonts w:ascii="Calibri" w:hAnsi="Calibri" w:cs="Calibri"/>
          <w:b w:val="0"/>
          <w:bCs w:val="0"/>
        </w:rPr>
        <w:t>Systemic Failure:</w:t>
      </w:r>
      <w:r w:rsidRPr="00EA6296">
        <w:rPr>
          <w:rStyle w:val="t286pc"/>
          <w:rFonts w:ascii="Calibri" w:hAnsi="Calibri" w:cs="Calibri"/>
        </w:rPr>
        <w:t xml:space="preserve"> The system is evaluated on academic results rather than whether pupils successfully transition into sustained employment.</w:t>
      </w:r>
      <w:r w:rsidRPr="00EA6296">
        <w:rPr>
          <w:rFonts w:ascii="Calibri" w:hAnsi="Calibri" w:cs="Calibri"/>
        </w:rPr>
        <w:t xml:space="preserve"> </w:t>
      </w:r>
    </w:p>
    <w:p w:rsidR="00E41122" w:rsidRPr="00EA6296" w:rsidP="00EA6296">
      <w:pPr>
        <w:pStyle w:val="ListParagraph"/>
        <w:numPr>
          <w:ilvl w:val="0"/>
          <w:numId w:val="11"/>
        </w:numPr>
        <w:rPr>
          <w:rFonts w:ascii="Calibri" w:hAnsi="Calibri" w:cs="Calibri"/>
        </w:rPr>
      </w:pPr>
      <w:r w:rsidRPr="00EA6296">
        <w:rPr>
          <w:rStyle w:val="Strong"/>
          <w:rFonts w:ascii="Calibri" w:hAnsi="Calibri" w:cs="Calibri"/>
          <w:b w:val="0"/>
          <w:bCs w:val="0"/>
        </w:rPr>
        <w:t>Worsening Outcomes</w:t>
      </w:r>
      <w:r w:rsidRPr="00EA6296">
        <w:rPr>
          <w:rStyle w:val="Strong"/>
          <w:rFonts w:ascii="Calibri" w:hAnsi="Calibri" w:cs="Calibri"/>
        </w:rPr>
        <w:t>:</w:t>
      </w:r>
      <w:r w:rsidRPr="00EA6296">
        <w:rPr>
          <w:rStyle w:val="t286pc"/>
          <w:rFonts w:ascii="Calibri" w:hAnsi="Calibri" w:cs="Calibri"/>
        </w:rPr>
        <w:t xml:space="preserve"> With over 1 million young people in the UK not in education, employment, or training (NEET), the review warned the nation risks producing a "lost generation".</w:t>
      </w:r>
      <w:r w:rsidRPr="00EA6296">
        <w:rPr>
          <w:rFonts w:ascii="Calibri" w:hAnsi="Calibri" w:cs="Calibri"/>
        </w:rPr>
        <w:t xml:space="preserve"> </w:t>
      </w:r>
    </w:p>
    <w:p w:rsidR="00E41122" w:rsidRPr="00EA6296" w:rsidP="00EA6296">
      <w:pPr>
        <w:rPr>
          <w:rFonts w:ascii="Calibri" w:hAnsi="Calibri" w:cs="Calibri"/>
        </w:rPr>
      </w:pPr>
      <w:r w:rsidRPr="00EA6296">
        <w:rPr>
          <w:rFonts w:ascii="Calibri" w:hAnsi="Calibri" w:cs="Calibri"/>
        </w:rPr>
        <w:t xml:space="preserve">Peter Hyman’s research documenting the views of young people falling into the category of NEETs found that: </w:t>
      </w:r>
    </w:p>
    <w:p w:rsidR="00E41122" w:rsidRPr="00EA6296" w:rsidP="00EA6296">
      <w:pPr>
        <w:pStyle w:val="ListParagraph"/>
        <w:numPr>
          <w:ilvl w:val="0"/>
          <w:numId w:val="12"/>
        </w:numPr>
        <w:rPr>
          <w:rFonts w:ascii="Calibri" w:hAnsi="Calibri" w:cs="Calibri"/>
        </w:rPr>
      </w:pPr>
      <w:r w:rsidRPr="00EA6296">
        <w:rPr>
          <w:rFonts w:ascii="Calibri" w:hAnsi="Calibri" w:cs="Calibri"/>
        </w:rPr>
        <w:t xml:space="preserve">“School has become a NEET pipeline. Young people told </w:t>
      </w:r>
      <w:r w:rsidRPr="00EA6296">
        <w:rPr>
          <w:rFonts w:ascii="Calibri" w:hAnsi="Calibri" w:cs="Calibri"/>
        </w:rPr>
        <w:t>us;</w:t>
      </w:r>
      <w:r w:rsidRPr="00EA6296">
        <w:rPr>
          <w:rFonts w:ascii="Calibri" w:hAnsi="Calibri" w:cs="Calibri"/>
        </w:rPr>
        <w:t xml:space="preserve"> it does not prepare you for</w:t>
      </w:r>
      <w:r w:rsidRPr="00EA6296">
        <w:rPr>
          <w:rFonts w:ascii="Calibri" w:hAnsi="Calibri" w:cs="Calibri"/>
        </w:rPr>
        <w:t xml:space="preserve"> </w:t>
      </w:r>
      <w:r w:rsidRPr="00EA6296">
        <w:rPr>
          <w:rFonts w:ascii="Calibri" w:hAnsi="Calibri" w:cs="Calibri"/>
        </w:rPr>
        <w:t>life or work. Young people spoke out strongly about:</w:t>
      </w:r>
    </w:p>
    <w:p w:rsidR="00E41122" w:rsidRPr="00EA6296" w:rsidP="00EA6296">
      <w:pPr>
        <w:pStyle w:val="ListParagraph"/>
        <w:numPr>
          <w:ilvl w:val="0"/>
          <w:numId w:val="12"/>
        </w:numPr>
        <w:rPr>
          <w:rFonts w:ascii="Calibri" w:hAnsi="Calibri" w:cs="Calibri"/>
        </w:rPr>
      </w:pPr>
      <w:r w:rsidRPr="00EA6296">
        <w:rPr>
          <w:rFonts w:ascii="Calibri" w:hAnsi="Calibri" w:cs="Calibri"/>
        </w:rPr>
        <w:t>The feeling of being branded by peers as a retard for being in the bottom set.</w:t>
      </w:r>
    </w:p>
    <w:p w:rsidR="00E41122" w:rsidRPr="00EA6296" w:rsidP="00EA6296">
      <w:pPr>
        <w:pStyle w:val="ListParagraph"/>
        <w:numPr>
          <w:ilvl w:val="0"/>
          <w:numId w:val="12"/>
        </w:numPr>
        <w:rPr>
          <w:rFonts w:ascii="Calibri" w:hAnsi="Calibri" w:cs="Calibri"/>
        </w:rPr>
      </w:pPr>
      <w:r w:rsidRPr="00EA6296">
        <w:rPr>
          <w:rFonts w:ascii="Calibri" w:hAnsi="Calibri" w:cs="Calibri"/>
        </w:rPr>
        <w:t>Bullying that made school miserable and was not dealt with effectively.</w:t>
      </w:r>
    </w:p>
    <w:p w:rsidR="00E41122" w:rsidRPr="00EA6296" w:rsidP="00EA6296">
      <w:pPr>
        <w:pStyle w:val="ListParagraph"/>
        <w:numPr>
          <w:ilvl w:val="0"/>
          <w:numId w:val="12"/>
        </w:numPr>
        <w:rPr>
          <w:rFonts w:ascii="Calibri" w:hAnsi="Calibri" w:cs="Calibri"/>
        </w:rPr>
      </w:pPr>
      <w:r w:rsidRPr="00EA6296">
        <w:rPr>
          <w:rFonts w:ascii="Calibri" w:hAnsi="Calibri" w:cs="Calibri"/>
        </w:rPr>
        <w:t>Boredom at being talked at all day.</w:t>
      </w:r>
    </w:p>
    <w:p w:rsidR="00E41122" w:rsidRPr="00EA6296" w:rsidP="00EA6296">
      <w:pPr>
        <w:pStyle w:val="ListParagraph"/>
        <w:numPr>
          <w:ilvl w:val="0"/>
          <w:numId w:val="12"/>
        </w:numPr>
        <w:rPr>
          <w:rFonts w:ascii="Calibri" w:hAnsi="Calibri" w:cs="Calibri"/>
        </w:rPr>
      </w:pPr>
      <w:r w:rsidRPr="00EA6296">
        <w:rPr>
          <w:rFonts w:ascii="Calibri" w:hAnsi="Calibri" w:cs="Calibri"/>
        </w:rPr>
        <w:t>A lack of pathways other than university and little guidance of options after school.</w:t>
      </w:r>
    </w:p>
    <w:p w:rsidR="00E41122" w:rsidRPr="00EA6296" w:rsidP="00EA6296">
      <w:pPr>
        <w:pStyle w:val="ListParagraph"/>
        <w:numPr>
          <w:ilvl w:val="0"/>
          <w:numId w:val="12"/>
        </w:numPr>
        <w:rPr>
          <w:rFonts w:ascii="Calibri" w:hAnsi="Calibri" w:cs="Calibri"/>
        </w:rPr>
      </w:pPr>
      <w:r w:rsidRPr="00EA6296">
        <w:rPr>
          <w:rFonts w:ascii="Calibri" w:hAnsi="Calibri" w:cs="Calibri"/>
        </w:rPr>
        <w:t>Exam pressure consuming most of secondary school.</w:t>
      </w:r>
    </w:p>
    <w:p w:rsidR="00E41122" w:rsidRPr="00EA6296" w:rsidP="00EA6296">
      <w:pPr>
        <w:pStyle w:val="ListParagraph"/>
        <w:numPr>
          <w:ilvl w:val="0"/>
          <w:numId w:val="12"/>
        </w:numPr>
        <w:rPr>
          <w:rFonts w:ascii="Calibri" w:hAnsi="Calibri" w:cs="Calibri"/>
        </w:rPr>
      </w:pPr>
      <w:r w:rsidRPr="00EA6296">
        <w:rPr>
          <w:rFonts w:ascii="Calibri" w:hAnsi="Calibri" w:cs="Calibri"/>
        </w:rPr>
        <w:t>Lack of understanding for the needs of those caring for relatives, those in care, those with neurodiversity or mental health issue.”</w:t>
      </w:r>
    </w:p>
    <w:p w:rsidR="00E41122" w:rsidP="009D01BD">
      <w:pPr>
        <w:pStyle w:val="Heading2"/>
      </w:pPr>
      <w:r>
        <w:t>Raising Attainment</w:t>
      </w:r>
    </w:p>
    <w:p w:rsidR="00E41122" w:rsidP="00EA6296">
      <w:r>
        <w:t>Raising attainment in any meaningful way must go beyond the narrow definitions that underpin current approaches to curriculum, pedagogy and assessment. We need to find ways of rebuilding motivation and enthusiasm among both teachers and pupils.</w:t>
      </w:r>
    </w:p>
    <w:p w:rsidR="00E41122" w:rsidRPr="007C2AC4" w:rsidP="00EA6296">
      <w:pPr>
        <w:rPr>
          <w:rFonts w:ascii="Calibri" w:hAnsi="Calibri" w:cs="Calibri"/>
        </w:rPr>
      </w:pPr>
      <w:r w:rsidRPr="007C2AC4">
        <w:rPr>
          <w:rFonts w:ascii="Calibri" w:hAnsi="Calibri" w:cs="Calibri"/>
        </w:rPr>
        <w:t>We endorse the new government’s proposal that all young people are offered a wider range of career related options at Key Stage 4 as well as the purely academic route. The qualifications exist – what is needed is a commitment to promote alternative pathways so that young people understand what is available and where these pathways could lead. It will be important not to expect young people to make irreversible choices at 14 but equally they need to see that all pathways are valued and can lead to positive p</w:t>
      </w:r>
      <w:r w:rsidRPr="007C2AC4">
        <w:rPr>
          <w:rFonts w:ascii="Calibri" w:hAnsi="Calibri" w:cs="Calibri"/>
        </w:rPr>
        <w:t>ost-school destinations.</w:t>
      </w:r>
    </w:p>
    <w:p w:rsidR="00E41122" w:rsidP="00EA6296">
      <w:pPr>
        <w:rPr>
          <w:rFonts w:ascii="Calibri" w:hAnsi="Calibri" w:cs="Calibri"/>
        </w:rPr>
      </w:pPr>
      <w:r w:rsidRPr="007C2AC4">
        <w:rPr>
          <w:rFonts w:ascii="Calibri" w:hAnsi="Calibri" w:cs="Calibri"/>
        </w:rPr>
        <w:t>Additionally, the DfE needs to find ways of ensuring that schools give appropriate priority to the promotion of skills crucially including the 4 C’s - Critical Thinking, Creativity, Collaboration, and Communication. This will require a significant number of schools and trusts to change their approach to pedagogy. Schools where – in the words of the Hyman research – pupils are talked at all day are unlikely to be achieving much of this.</w:t>
      </w:r>
    </w:p>
    <w:p w:rsidR="00E41122" w:rsidP="00EA6296">
      <w:r w:rsidRPr="007C2AC4">
        <w:t>We need to ask w</w:t>
      </w:r>
      <w:r w:rsidRPr="007C2AC4">
        <w:t xml:space="preserve">hy testing </w:t>
      </w:r>
      <w:r w:rsidRPr="007C2AC4">
        <w:t xml:space="preserve">has </w:t>
      </w:r>
      <w:r>
        <w:t>come to dominate our education system and become the only way we judge pupils and schools? The improvement in test scores should not be equated with a rise in attainment. Whether it is SAT levels, GCSE or PISA scores it is not necessarily the same as improving achievement. The retention, for example, of progress 8 as a measure means that students have improved in test scores not attainment. Such measures lead to teaching to the test, be it for accountability measures on the part of the teacher or school, or</w:t>
      </w:r>
      <w:r>
        <w:t xml:space="preserve"> a student’s progress. That is not the same as improving the quality of a student’s education.</w:t>
      </w:r>
    </w:p>
    <w:p w:rsidR="00E41122" w:rsidP="00EA6296">
      <w:r>
        <w:t>Numerous papers support the claim that teaching to the test limits a full knowledge of the curriculum from Matthew Arnold</w:t>
      </w:r>
      <w:r>
        <w:t xml:space="preserve"> HMI</w:t>
      </w:r>
      <w:r>
        <w:t>, ‘All test examinations</w:t>
      </w:r>
      <w:r>
        <w:t xml:space="preserve"> </w:t>
      </w:r>
      <w:r>
        <w:t>... may be said to narrow reading upon a certain given point, and to make it mechanical’ to Alan Milburn</w:t>
      </w:r>
      <w:r>
        <w:t>.</w:t>
      </w:r>
    </w:p>
    <w:p w:rsidR="00E41122" w:rsidP="00EA6296">
      <w:r>
        <w:t xml:space="preserve">The limited range of assessment approaches in Key Stage 4 in England means that some students are effectively set up to fail. Overwhelmingly they come from less </w:t>
      </w:r>
      <w:r>
        <w:t xml:space="preserve">advantaged backgrounds. That is not because they lack ability. It is because the system defines ability in ways that exclude them. </w:t>
      </w:r>
      <w:r w:rsidRPr="009549B0">
        <w:rPr>
          <w:rFonts w:ascii="Calibri" w:hAnsi="Calibri" w:cs="Calibri"/>
        </w:rPr>
        <w:t>Many students find themselves failing tests throughout their schooling whether it’s retaking the phonics test, being graded “not secondary ready” at 11 or being in the one third who don’t achieve Level 2 at 16.</w:t>
      </w:r>
      <w:r>
        <w:rPr>
          <w:rFonts w:ascii="Calibri" w:hAnsi="Calibri" w:cs="Calibri"/>
        </w:rPr>
        <w:t xml:space="preserve"> </w:t>
      </w:r>
      <w:r>
        <w:t>The question is not whether some young people fall short. It is whether the assessment system and the curriculum are designed in ways that make that outcome unavoidable.</w:t>
      </w:r>
    </w:p>
    <w:p w:rsidR="00E41122" w:rsidP="00EA6296">
      <w:r>
        <w:t xml:space="preserve">Any serious look at raising attainment has to go back to why we have schools, to challenge the dominance of our testing system and to be prepared to look elsewhere. The system in Canada, for example, has advantages. It has literacy and numeracy tests at 15, not multiple GCSE type exams. These tests are seen as the responsibility of the whole teaching staff. In </w:t>
      </w:r>
      <w:r>
        <w:t>addition,</w:t>
      </w:r>
      <w:r>
        <w:t xml:space="preserve"> they lack accountability measures such as Progress 8 so that teachers can teach the curriculum rather than the test. Assessment is continuous rather than a final exam.</w:t>
      </w:r>
    </w:p>
    <w:p w:rsidR="00E41122" w:rsidP="009D01BD">
      <w:pPr>
        <w:pStyle w:val="Heading2"/>
      </w:pPr>
      <w:r>
        <w:t>Improving Attendance</w:t>
      </w:r>
    </w:p>
    <w:p w:rsidR="00E41122" w:rsidRPr="001C0C2E" w:rsidP="00E21E23">
      <w:r w:rsidRPr="001C0C2E">
        <w:t>The current proposals to improve attendance are crucially lacking any detailed analysis of why children are not attending. Attendance Hubs will not address the systemic reasons for non-attendance.</w:t>
      </w:r>
      <w:r w:rsidRPr="001C0C2E">
        <w:t xml:space="preserve"> The evidence set out above about what pupils feel about their education should be fundamental to any new approach to attendance.</w:t>
      </w:r>
    </w:p>
    <w:p w:rsidR="00E41122" w:rsidRPr="001C0C2E" w:rsidP="001C0C2E">
      <w:r w:rsidRPr="001C0C2E">
        <w:t>What is frequently overlooked are PISA's own wellbeing findings. Across the UK, only 64 per cent of pupils report feeling that they belong at school, compared with an OECD average of 75 per cent. British pupils also report some of the lowest levels of life satisfaction internationally</w:t>
      </w:r>
    </w:p>
    <w:p w:rsidR="00E41122" w:rsidP="00437B69">
      <w:r>
        <w:t>Perhaps this should surprise no one. Many pupils now attend schools where they are shouted at by teachers, forbidden from talking in corridors, denied permission to use the toilet, and subjected to "reset" or "reflection" rooms—essentially solitary confinement—for the most trivial breaches of school rules. Such practices are unlikely to encourage attendance, and even less likely to promote good mental health.</w:t>
      </w:r>
    </w:p>
    <w:p w:rsidR="00E41122" w:rsidP="00437B69">
      <w:r>
        <w:t>Much of this school culture is rooted in the work of the influential American educator Doug Lemov, whose Teach Like a Champion has become highly influential in many English schools. Its highly authoritarian approach dovetails neatly with the concept of the "knowledge-rich curriculum," heavily influenced by the writings of another American theorist, E. D. Hirsch. Hirsch argues that mastery of a prescribed body of factual knowledge promotes social mobility. Yet this is largely propositional knowledge</w:t>
      </w:r>
      <w:r>
        <w:t xml:space="preserve"> - </w:t>
      </w:r>
      <w:r>
        <w:t>"knowing that" rather than "knowing how"</w:t>
      </w:r>
      <w:r>
        <w:t xml:space="preserve"> - </w:t>
      </w:r>
      <w:r>
        <w:t>selected by individuals far removed from the realities of the classroom.</w:t>
      </w:r>
    </w:p>
    <w:p w:rsidR="00E41122" w:rsidP="00437B69">
      <w:r>
        <w:t xml:space="preserve">Combined with behaviourist models of teaching and rigid behaviour management systems, this approach leaves little room for curiosity, collaboration or independent </w:t>
      </w:r>
      <w:r>
        <w:t>thought. A pupil who asks, "What's this for?" or quietly seeks help from a classmate may find themselves removed from a lesson and placed in isolation for extended periods.</w:t>
      </w:r>
    </w:p>
    <w:p w:rsidR="00E41122" w:rsidP="009D01BD">
      <w:pPr>
        <w:pStyle w:val="Heading2"/>
      </w:pPr>
      <w:r>
        <w:t>Moving to a trust-led school system</w:t>
      </w:r>
    </w:p>
    <w:p w:rsidR="00E41122" w:rsidP="00437B69">
      <w:r>
        <w:t>The Schools White Paper is weakest in Chapter 6 (Collaboration between schools and other partners). It fails to recognise that getting schools to work together and with local partners has been at the heart of education legislation for 130 years. It also invents a new term for a Multi-Academy Trust even though the term “school trust” describes voluntary aided schools and foundation schools which have acquired a foundation. There is no recognition of the law on school trusts which is still on the statute book</w:t>
      </w:r>
      <w:r>
        <w:t xml:space="preserve"> from the Education and Inspection Act 2006. There is no analysis of the two failed attempts at full </w:t>
      </w:r>
      <w:r>
        <w:t>academisation,</w:t>
      </w:r>
      <w:r>
        <w:t xml:space="preserve"> and the perfectly adequate legislative structure devised by the last Labour Government to achieve the objectives in Chapter 6. This structure, through Children’s Trust Boards, has not been repealed.</w:t>
      </w:r>
    </w:p>
    <w:p w:rsidR="00E41122" w:rsidP="009D01BD">
      <w:pPr>
        <w:pStyle w:val="Heading3"/>
      </w:pPr>
      <w:r>
        <w:t>Collaboration</w:t>
      </w:r>
    </w:p>
    <w:p w:rsidR="00E41122" w:rsidRPr="00D056FB" w:rsidP="001C0C2E">
      <w:r w:rsidRPr="00D056FB">
        <w:t xml:space="preserve">There needs to be a much stronger focus on meeting the needs of particular places. This means, for example, looking at the specific skill needs of the area and ensuring that collectively schools meet the needs of all those with SEND. There need to be local structures to ensure that schools meaningfully collaborate from which no one can opt out. This should cover both shared professional development as well as planning provision so that it meets local needs in terms of curriculum, skills and SEND. This will </w:t>
      </w:r>
      <w:r w:rsidRPr="00D056FB">
        <w:t xml:space="preserve">mean that local decision making must trump MAT decision making. One urgent example would be to empower local authorities to plan for falling rolls and not be constrained by schools’ academy status. </w:t>
      </w:r>
    </w:p>
    <w:p w:rsidR="00E41122" w:rsidP="001C0C2E">
      <w:r>
        <w:t>The similarities on the issue of collaboration between the 2026 Schools White Paper and Labour’s last School Schools White Paper before leaving office in 2010 are striking.</w:t>
      </w:r>
    </w:p>
    <w:p w:rsidR="00E41122" w:rsidP="00437B69">
      <w:r>
        <w:t>The 2026 Schools White Paper states</w:t>
      </w:r>
    </w:p>
    <w:p w:rsidR="00E41122" w:rsidP="00437B69">
      <w:pPr>
        <w:pStyle w:val="ListParagraph"/>
        <w:numPr>
          <w:ilvl w:val="0"/>
          <w:numId w:val="1"/>
        </w:numPr>
      </w:pPr>
      <w:r>
        <w:t>We will put collaboration at the heart of the system.</w:t>
      </w:r>
    </w:p>
    <w:p w:rsidR="00E41122" w:rsidP="00437B69">
      <w:pPr>
        <w:pStyle w:val="ListParagraph"/>
        <w:numPr>
          <w:ilvl w:val="0"/>
          <w:numId w:val="1"/>
        </w:numPr>
      </w:pPr>
      <w:r>
        <w:t>Our best school trusts use their scale, governance and high-quality leadership to innovate and drive excellence in standards and inclusion.</w:t>
      </w:r>
    </w:p>
    <w:p w:rsidR="00E41122" w:rsidP="00437B69">
      <w:pPr>
        <w:pStyle w:val="ListParagraph"/>
        <w:numPr>
          <w:ilvl w:val="0"/>
          <w:numId w:val="1"/>
        </w:numPr>
      </w:pPr>
      <w:r>
        <w:t>We will require collaboration between schools and wider public services to work together for children’s outcomes whilst ensuring the freedom for this to be driven locally.</w:t>
      </w:r>
    </w:p>
    <w:p w:rsidR="00E41122" w:rsidP="00437B69">
      <w:r>
        <w:t xml:space="preserve">The 2009 Schools White paper </w:t>
      </w:r>
      <w:r w:rsidRPr="004C515A">
        <w:rPr>
          <w:i/>
          <w:iCs/>
        </w:rPr>
        <w:t>Your child, your schools, our future: building a 21st century schools system</w:t>
      </w:r>
      <w:r>
        <w:t xml:space="preserve"> states</w:t>
      </w:r>
    </w:p>
    <w:p w:rsidR="00E41122" w:rsidP="00437B69">
      <w:pPr>
        <w:pStyle w:val="ListParagraph"/>
        <w:numPr>
          <w:ilvl w:val="0"/>
          <w:numId w:val="2"/>
        </w:numPr>
      </w:pPr>
      <w:r w:rsidRPr="00684262">
        <w:t>Collaboration will become central to the organisation of the school system</w:t>
      </w:r>
      <w:r>
        <w:t>.</w:t>
      </w:r>
    </w:p>
    <w:p w:rsidR="00E41122" w:rsidP="00437B69">
      <w:pPr>
        <w:pStyle w:val="ListParagraph"/>
        <w:numPr>
          <w:ilvl w:val="0"/>
          <w:numId w:val="2"/>
        </w:numPr>
      </w:pPr>
      <w:r w:rsidRPr="001D0ABA">
        <w:t>There are now many examples where federations, Trusts and other multi-school models have tackled problems in schools which have been identified by Ofsted as weak or failing.</w:t>
      </w:r>
    </w:p>
    <w:p w:rsidR="00E41122" w:rsidP="00437B69">
      <w:pPr>
        <w:pStyle w:val="ListParagraph"/>
        <w:numPr>
          <w:ilvl w:val="0"/>
          <w:numId w:val="2"/>
        </w:numPr>
      </w:pPr>
      <w:r>
        <w:t>W</w:t>
      </w:r>
      <w:r w:rsidRPr="00CF59B5">
        <w:t xml:space="preserve">e are currently legislating to require schools to </w:t>
      </w:r>
      <w:r w:rsidRPr="00CF59B5">
        <w:t>collaborate,</w:t>
      </w:r>
      <w:r w:rsidRPr="00CF59B5">
        <w:t xml:space="preserve"> and we will go further to make it clear that schools have responsibilities for children across the area as well as those on their own roll</w:t>
      </w:r>
    </w:p>
    <w:p w:rsidR="00E41122" w:rsidP="009D01BD">
      <w:pPr>
        <w:pStyle w:val="Heading3"/>
      </w:pPr>
      <w:r>
        <w:t>Children’s Trust Board</w:t>
      </w:r>
    </w:p>
    <w:p w:rsidR="00E41122" w:rsidP="00437B69">
      <w:r w:rsidRPr="00D36D5D">
        <w:t>The 2009 White Paper was mindful of the rise of secondary school academies and wanted a local framework to ensure local collaboration.</w:t>
      </w:r>
    </w:p>
    <w:p w:rsidR="00E41122" w:rsidP="00437B69">
      <w:r>
        <w:t xml:space="preserve">The reference above to “currently legislating” is to the </w:t>
      </w:r>
      <w:r w:rsidRPr="00CF59B5">
        <w:t>Apprenticeship</w:t>
      </w:r>
      <w:r>
        <w:t>s</w:t>
      </w:r>
      <w:r w:rsidRPr="00CF59B5">
        <w:t>, Skills, Children and Learning Act 2009</w:t>
      </w:r>
      <w:r>
        <w:t xml:space="preserve"> and amendments to the Children Act 2004 which require all schools to cooperate in an area not only with each other but with relevant partners (including 16-19 education provides) managed through a statutory Children’s Trust Board (CTB). T</w:t>
      </w:r>
      <w:r w:rsidRPr="000C2265">
        <w:t xml:space="preserve">he </w:t>
      </w:r>
      <w:r>
        <w:t>CTB</w:t>
      </w:r>
      <w:r w:rsidRPr="000C2265">
        <w:t xml:space="preserve"> – which local authorities had to convene – </w:t>
      </w:r>
      <w:r>
        <w:t xml:space="preserve">was also charged with planning the full range of </w:t>
      </w:r>
      <w:r w:rsidRPr="000C2265">
        <w:t xml:space="preserve">school </w:t>
      </w:r>
      <w:r>
        <w:t xml:space="preserve">(including academies) </w:t>
      </w:r>
      <w:r w:rsidRPr="000C2265">
        <w:t>and children’s care services provision. The Coalition Government announced in 2010 that it would repeal the legislation and made provision in the Education Bill published in 2011</w:t>
      </w:r>
      <w:r>
        <w:t xml:space="preserve">. The repeal provisions were </w:t>
      </w:r>
      <w:r w:rsidRPr="000C2265">
        <w:t xml:space="preserve">dropped </w:t>
      </w:r>
      <w:r>
        <w:t xml:space="preserve">from the Bill </w:t>
      </w:r>
      <w:r w:rsidRPr="000C2265">
        <w:t xml:space="preserve">at the </w:t>
      </w:r>
      <w:r>
        <w:t xml:space="preserve">Lords Report </w:t>
      </w:r>
      <w:r w:rsidRPr="000C2265">
        <w:t>stage</w:t>
      </w:r>
      <w:r>
        <w:t xml:space="preserve"> (see Lords Hansard, 24 October 2011, cols 633-637).</w:t>
      </w:r>
    </w:p>
    <w:p w:rsidR="00E41122" w:rsidP="00437B69">
      <w:r>
        <w:t xml:space="preserve">Regulations are required to define the membership of the CTB, and the scope of the Children and Young People’s Plan. Arrangements could have been in place by September </w:t>
      </w:r>
      <w:r>
        <w:t>2024,</w:t>
      </w:r>
      <w:r>
        <w:t xml:space="preserve"> and the legislation tested to see whether it was adequate. A</w:t>
      </w:r>
      <w:r w:rsidRPr="00146A12">
        <w:t xml:space="preserve"> two-year trial might have found local authorities were not up to the task, and if not look to remodel local government so it is up to the task. A trial might have found difficulties with large Multi-Academy Trusts where local headteachers were given little discretion on how to relate to schools not in their trust.</w:t>
      </w:r>
      <w:r>
        <w:t xml:space="preserve"> The Committee may wish to ask Ministers why a trial was not commenced </w:t>
      </w:r>
      <w:r>
        <w:t xml:space="preserve">two years ago </w:t>
      </w:r>
      <w:r>
        <w:t>of usable legislation already on the statute book aimed at achieving one of the most important aims of the white paper.</w:t>
      </w:r>
    </w:p>
    <w:p w:rsidR="00E41122" w:rsidP="009D01BD">
      <w:pPr>
        <w:pStyle w:val="Heading3"/>
      </w:pPr>
      <w:r>
        <w:t>The Academy model</w:t>
      </w:r>
    </w:p>
    <w:p w:rsidR="00E41122" w:rsidP="00437B69">
      <w:r>
        <w:t>Another omission of the White Paper is the absence of an examination of the suitability of the academy model for collaboration. The model depends on a private contract using company law between a company and the Secretary of State for Education. The model is not designed to promote collaboration.</w:t>
      </w:r>
    </w:p>
    <w:p w:rsidR="00E41122" w:rsidP="00437B69">
      <w:r w:rsidRPr="00191B7F">
        <w:t xml:space="preserve">In summing up the Second Reading debate </w:t>
      </w:r>
      <w:r>
        <w:t xml:space="preserve">on the bill which became the Academies Act 2010, </w:t>
      </w:r>
      <w:r w:rsidRPr="00191B7F">
        <w:t xml:space="preserve">the then Parliamentary Under Secretary of State Nick Gibb </w:t>
      </w:r>
      <w:r>
        <w:t>said,</w:t>
      </w:r>
      <w:r>
        <w:t xml:space="preserve"> </w:t>
      </w:r>
      <w:r w:rsidRPr="00191B7F">
        <w:t xml:space="preserve">“We want good schools to flourish, with the autonomy and independence that academy status brings” (Hansard, 19 July 2010). </w:t>
      </w:r>
      <w:r>
        <w:t xml:space="preserve">Company law requires </w:t>
      </w:r>
      <w:r>
        <w:t xml:space="preserve">an </w:t>
      </w:r>
      <w:r>
        <w:t>academy school director to “</w:t>
      </w:r>
      <w:r w:rsidRPr="00BE24EE">
        <w:t>act in the way he</w:t>
      </w:r>
      <w:r>
        <w:t>(sic)</w:t>
      </w:r>
      <w:r w:rsidRPr="00BE24EE">
        <w:t xml:space="preserve"> considers, in good faith, would be most likely to promote the success of </w:t>
      </w:r>
      <w:r w:rsidRPr="00BE24EE">
        <w:t>the company for the benefit of its members as a whole..."</w:t>
      </w:r>
      <w:r>
        <w:t xml:space="preserve"> (Companies Act 2006, section 172).</w:t>
      </w:r>
    </w:p>
    <w:p w:rsidR="00E41122" w:rsidP="00437B69">
      <w:r>
        <w:t>The Government from 2010 to 2024 spent much energy trying to find ways to manage the increasing number of academies with ever great</w:t>
      </w:r>
      <w:r>
        <w:t>er</w:t>
      </w:r>
      <w:r>
        <w:t xml:space="preserve"> central control, e.g. the annual </w:t>
      </w:r>
      <w:r w:rsidRPr="00A03420">
        <w:t>Academy Trust Handbook</w:t>
      </w:r>
      <w:r>
        <w:t>.</w:t>
      </w:r>
    </w:p>
    <w:p w:rsidR="00E41122" w:rsidP="00437B69">
      <w:r>
        <w:t>There are many areas of the country where there are schools provided by several Multi-Academy Trusts (MATs). Unless the DfE is going to encourage many mergers and acquisitions exercises, these areas must because of Company Law have the MATs competing with each other. This is increasingly important in areas of falling pupil rolls. The Committee may wish to ask ministers how collaboration will be achieved unless there is an intention to amend Company Law for Academy Trusts.</w:t>
      </w:r>
    </w:p>
    <w:p w:rsidR="00E41122" w:rsidP="009D01BD">
      <w:pPr>
        <w:pStyle w:val="Heading3"/>
      </w:pPr>
      <w:r>
        <w:t>Other issues</w:t>
      </w:r>
    </w:p>
    <w:p w:rsidR="00E41122" w:rsidP="00437B69">
      <w:r>
        <w:t>There are several other issues which are not expanded here as others will comment on them.</w:t>
      </w:r>
    </w:p>
    <w:p w:rsidR="00E41122" w:rsidP="00437B69">
      <w:pPr>
        <w:pStyle w:val="ListParagraph"/>
        <w:numPr>
          <w:ilvl w:val="0"/>
          <w:numId w:val="3"/>
        </w:numPr>
      </w:pPr>
      <w:r>
        <w:t>After 14 years of constant pressure, only about half of schools have decided to academise; presumably the rest are happy with their current governance arrangements</w:t>
      </w:r>
    </w:p>
    <w:p w:rsidR="00E41122" w:rsidP="00437B69">
      <w:pPr>
        <w:pStyle w:val="ListParagraph"/>
        <w:numPr>
          <w:ilvl w:val="0"/>
          <w:numId w:val="3"/>
        </w:numPr>
      </w:pPr>
      <w:r>
        <w:t>The White Paper provides no estimate of the cost of full academ</w:t>
      </w:r>
      <w:r>
        <w:t>isation</w:t>
      </w:r>
      <w:r>
        <w:t xml:space="preserve">. The National Audit Office estimate of the cost from 2010-11 </w:t>
      </w:r>
      <w:r>
        <w:t xml:space="preserve">to 2018 </w:t>
      </w:r>
      <w:r>
        <w:t>in its report</w:t>
      </w:r>
      <w:r w:rsidRPr="004F16E1">
        <w:t xml:space="preserve"> Converting maintained schools to academies</w:t>
      </w:r>
      <w:r>
        <w:t xml:space="preserve"> is </w:t>
      </w:r>
      <w:r w:rsidRPr="00542BC2">
        <w:t>£745 million</w:t>
      </w:r>
    </w:p>
    <w:p w:rsidR="00E41122" w:rsidP="00437B69">
      <w:pPr>
        <w:pStyle w:val="ListParagraph"/>
        <w:numPr>
          <w:ilvl w:val="0"/>
          <w:numId w:val="3"/>
        </w:numPr>
      </w:pPr>
      <w:r>
        <w:t>Local authorities already have powers to establish bodies which could become trusts (the Education Bill 2022 provided LAs with a power to require schools to become a member of a multi-academy trust and for the LA to be a member of the trust providing the company was not local authority influenced). There was not much interest. The LA role would be very different from the current relationship between a local authority and a maintained school.</w:t>
      </w:r>
    </w:p>
    <w:p w:rsidR="00E41122" w:rsidP="00437B69">
      <w:pPr>
        <w:pStyle w:val="ListParagraph"/>
        <w:numPr>
          <w:ilvl w:val="0"/>
          <w:numId w:val="3"/>
        </w:numPr>
      </w:pPr>
      <w:r>
        <w:t>Maintained school headteachers are being pestered by MATs as MATs attempt to devise survival plans, using the argument that schools should jump now (choose which MAT to join) and not wait until they are pushed (where they might end up with a MAT that they do not like etc.</w:t>
      </w:r>
      <w:r>
        <w:t>)</w:t>
      </w:r>
    </w:p>
    <w:p w:rsidR="00E41122" w:rsidP="00437B69">
      <w:pPr>
        <w:pStyle w:val="ListParagraph"/>
        <w:numPr>
          <w:ilvl w:val="0"/>
          <w:numId w:val="3"/>
        </w:numPr>
      </w:pPr>
      <w:r>
        <w:t>Since the Prime Minister has raised the issue of neoliberal</w:t>
      </w:r>
      <w:r>
        <w:t>ism</w:t>
      </w:r>
      <w:r>
        <w:t xml:space="preserve">, it is nonsense to suggest that a local authority </w:t>
      </w:r>
      <w:r>
        <w:t xml:space="preserve">with appropriate safeguards </w:t>
      </w:r>
      <w:r>
        <w:t>cannot be both a commissioner of schools and a provider of schools.</w:t>
      </w:r>
    </w:p>
    <w:p w:rsidR="00E41122" w:rsidP="009D01BD">
      <w:pPr>
        <w:pStyle w:val="Heading3"/>
      </w:pPr>
      <w:r>
        <w:t>Conclusion</w:t>
      </w:r>
    </w:p>
    <w:p w:rsidR="00E41122" w:rsidRPr="00DF37D7" w:rsidP="00437B69">
      <w:r w:rsidRPr="00DF37D7">
        <w:t xml:space="preserve">The current school system is </w:t>
      </w:r>
      <w:r w:rsidRPr="00DF37D7">
        <w:t xml:space="preserve">currently </w:t>
      </w:r>
      <w:r w:rsidRPr="00DF37D7">
        <w:t xml:space="preserve">stable </w:t>
      </w:r>
      <w:r w:rsidRPr="00DF37D7">
        <w:t>although has the potential to become unstable. L</w:t>
      </w:r>
      <w:r w:rsidRPr="00DF37D7">
        <w:t xml:space="preserve">egacy legislation from the last Labour administration can help the Government achieve its aim of greater collaboration between schools and the local </w:t>
      </w:r>
      <w:r w:rsidRPr="00DF37D7">
        <w:t>authority. This is obviously very important for implementing its plans for children with special educational needs and disability.</w:t>
      </w:r>
    </w:p>
    <w:p w:rsidR="00E41122" w:rsidRPr="00DF37D7" w:rsidP="00437B69">
      <w:r w:rsidRPr="00DF37D7">
        <w:t xml:space="preserve">In the longer term, the Government should instigate an independent review of the current school system to see whether the 25-year experiment with academies has been beneficial, look to developing new models of school governance with supporting local area wide arrangements connected to current local government </w:t>
      </w:r>
      <w:r w:rsidRPr="00DF37D7">
        <w:t xml:space="preserve">democratic </w:t>
      </w:r>
      <w:r w:rsidRPr="00DF37D7">
        <w:t>structures or otherwise.</w:t>
      </w:r>
    </w:p>
    <w:p w:rsidR="00E41122" w:rsidP="009D01BD">
      <w:pPr>
        <w:pStyle w:val="Heading2"/>
      </w:pPr>
      <w:r>
        <w:t>Enrichment, belonging and behaviour</w:t>
      </w:r>
    </w:p>
    <w:p w:rsidR="00E41122" w:rsidP="00437B69">
      <w:r w:rsidRPr="008D56B7">
        <w:t>Oracy has been on the curriculum and assessment agenda since the 1960s but has failed to date to achieve the same status as writing and reading. Yet oracy – the ability to both speak and listen – is essential to argumentation in a democracy, self-confidence and tolerance, and as well as being one of the four key skills in language communication: writing, reading, speaking and listening.</w:t>
      </w:r>
    </w:p>
    <w:p w:rsidR="00E41122" w:rsidP="008D56B7">
      <w:r>
        <w:t>Reading must include literature as well as functional texts. There has been a tendency over the years of the Conservative government to see literature as an optional, elitist subject as well as one that is conceived around a narrow version of ‘heritage’. Literature is important for all because of its exploration of possible worlds via the imagination, and because it keys into the creative capabilities of children and young people. It is also enjoyable. A diverse literary curriculum is essential, too, reflec</w:t>
      </w:r>
      <w:r>
        <w:t>ting the contribution of women as well as people from all backgrounds to our literary heritage.</w:t>
      </w:r>
    </w:p>
    <w:p w:rsidR="00E41122" w:rsidP="008D56B7">
      <w:r>
        <w:t>Writing (via handwriting, keyboard and speech recognition software) must be practised as a craft as well as a key mode of communication. Writing takes place in a wide range of genres and is best when it has a specific audience. It is a mirror image of reading: the wider one reads, the more possibilities there are in writing; and vice-versa.</w:t>
      </w:r>
    </w:p>
    <w:p w:rsidR="00E41122" w:rsidP="008D56B7">
      <w:r w:rsidRPr="008D56B7">
        <w:t xml:space="preserve">Since Ken Robinson’s report (1999) </w:t>
      </w:r>
      <w:r w:rsidRPr="00C60BDB">
        <w:rPr>
          <w:i/>
          <w:iCs/>
        </w:rPr>
        <w:t>All our Futures: creativity, culture and education</w:t>
      </w:r>
      <w:r w:rsidRPr="008D56B7">
        <w:t>, there has been little in the way of promotion by successive governments of the arts in schools or of creativity across the curriculum. The principles of the report were: to establish a cross-curricular approach to creativity; to emphasize the importance of teacher training and education in stimulating students’ learning; and to encourage partnerships between schools and the world of cultural activities. The ’new balance’ recommended by the report has not been established.</w:t>
      </w:r>
    </w:p>
    <w:p w:rsidR="00E41122" w:rsidP="008D56B7">
      <w:r>
        <w:t>In an article for The Guardian, Higgins (2024) argues that as central and local authority funding for the arts has collapsed “access to culture has been downgraded in schools [which] blocks pathways for those who could become artists of the future, and for those who could become engaged, enriched audiences, too”. As a result “inequality of access to the arts – and therefore social and educational inequality – is being baked into the structure of Britain”.</w:t>
      </w:r>
    </w:p>
    <w:p w:rsidR="00E41122" w:rsidP="008D56B7">
      <w:r>
        <w:t>One of Higgins’ recommendations is that fixing the arts in schools is fundamental, given that the last fourteen years has seen the promotion of science, technology and mathematics (STEM) at the expense of the arts. Furthermore, the English Baccalaureate (EBacc) subjects - mathematics, English, all the sciences, history, geography and all modern languages – have squeezed time and resources for arts education.</w:t>
      </w:r>
    </w:p>
    <w:p w:rsidR="00E41122" w:rsidP="008D56B7">
      <w:r>
        <w:t>Much of outdoor and environmental education is linked to the school curriculum but takes place away from school or outside the school day. Examples are school trips, work placements, forest schools, drama and musical productions, volunteer work and actions related to climate change. Such activities are enjoyable and enriching. They promote children’s and young people’s wellbeing, health and commitment to teamwork. Leadership skills can be developed more readily in such contexts. Engagement with community is</w:t>
      </w:r>
      <w:r>
        <w:t xml:space="preserve"> another benefit of such activity.</w:t>
      </w:r>
    </w:p>
    <w:p w:rsidR="00E41122" w:rsidP="008D56B7">
      <w:r>
        <w:t>Work placements are particularly important for secondary school students in order to strengthen the connection between school and work and to help to address the problem of NEETs. The Office for National Statistics (May 2026) estimates that 13.5% of all people aged 16-24 in the UK are not in education, employment or training.</w:t>
      </w:r>
    </w:p>
    <w:p w:rsidR="00E41122" w:rsidP="009D01BD">
      <w:pPr>
        <w:pStyle w:val="Heading2"/>
      </w:pPr>
      <w:r>
        <w:t>Reducing Disadvantage Gaps</w:t>
      </w:r>
    </w:p>
    <w:p w:rsidR="00E41122" w:rsidP="00437B69">
      <w:r>
        <w:t>It is 15 years since the introduction of the Pupil Premium and in that period schools have put a huge effort into narrowing the attainment gap supported by this funding and the work of the E</w:t>
      </w:r>
      <w:r>
        <w:t xml:space="preserve">ducation </w:t>
      </w:r>
      <w:r>
        <w:t>E</w:t>
      </w:r>
      <w:r>
        <w:t xml:space="preserve">ndowment </w:t>
      </w:r>
      <w:r>
        <w:t>F</w:t>
      </w:r>
      <w:r>
        <w:t>oundation</w:t>
      </w:r>
      <w:r>
        <w:t>. (</w:t>
      </w:r>
      <w:r>
        <w:t>Schools</w:t>
      </w:r>
      <w:r>
        <w:t xml:space="preserve"> had of course been doing this for many years before but without this specific funding</w:t>
      </w:r>
      <w:r>
        <w:t>.</w:t>
      </w:r>
      <w:r>
        <w:t>)</w:t>
      </w:r>
    </w:p>
    <w:p w:rsidR="00E41122" w:rsidP="00437B69">
      <w:r>
        <w:t xml:space="preserve">The gap has not narrowed. The answer we are told is more of the same. But why has it not narrowed? Schools are being set an impossible task for two main reasons. In the first place they cannot on </w:t>
      </w:r>
      <w:r>
        <w:t>their own</w:t>
      </w:r>
      <w:r>
        <w:t xml:space="preserve"> compensate for the disadvantages that pupils bring to school. It is a political convenience to place this responsibility on schools. If only we could find the ‘silver bullet’.</w:t>
      </w:r>
    </w:p>
    <w:p w:rsidR="00E41122" w:rsidP="00437B69">
      <w:r>
        <w:t>But secondly the attainment gap is measured crudely using GCSE results. These are supposedly criterion based but every year there is a normal distribution that guarantees that 30%+ of our young people ‘fail’ - after 11 years of education! Even if some narrowing were to take place it would still be a zero-sum game - some less disadvantaged pupils would have to replace the succeeding disadvantaged ones.</w:t>
      </w:r>
    </w:p>
    <w:p w:rsidR="00E41122" w:rsidP="00437B69">
      <w:r>
        <w:t>It is futile and dishonest not to recognise this. We urgently need to acknowledge this and start planning for ways to reduce the impact of poverty (Sure Start) and at the same time undertake a major review of our curriculum and assessment system, not the ‘evolution’ proposed in the recent Curriculum and Assessment Review.</w:t>
      </w:r>
    </w:p>
    <w:p w:rsidR="00E41122" w:rsidP="009D01BD">
      <w:pPr>
        <w:pStyle w:val="Heading2"/>
      </w:pPr>
      <w:r>
        <w:t>School admissions</w:t>
      </w:r>
    </w:p>
    <w:p w:rsidR="00E41122" w:rsidP="009D01BD">
      <w:r>
        <w:t xml:space="preserve">Only one short section of the White Paper (page 47) refers explicitly to school </w:t>
      </w:r>
      <w:r>
        <w:t>a</w:t>
      </w:r>
      <w:r>
        <w:t>dmissions.</w:t>
      </w:r>
      <w:r>
        <w:t xml:space="preserve"> </w:t>
      </w:r>
      <w:r>
        <w:t>The suggested reforms are unexceptionable and point in the right direction.</w:t>
      </w:r>
      <w:r>
        <w:t xml:space="preserve"> </w:t>
      </w:r>
      <w:r>
        <w:t>However, they underestimate the significance of this question in relation to all its other aspirations, and do not go far enough to make an impact.</w:t>
      </w:r>
      <w:r>
        <w:t xml:space="preserve"> </w:t>
      </w:r>
      <w:r>
        <w:t>As the White Paper itself says (on p</w:t>
      </w:r>
      <w:r>
        <w:t xml:space="preserve">age </w:t>
      </w:r>
      <w:r>
        <w:t xml:space="preserve">9) </w:t>
      </w:r>
      <w:r>
        <w:rPr>
          <w:i/>
          <w:iCs/>
        </w:rPr>
        <w:t>“Simply continuing the approach we have taken in the past will leave us with an education system that fails too many.”</w:t>
      </w:r>
      <w:r>
        <w:t xml:space="preserve"> </w:t>
      </w:r>
      <w:r>
        <w:t>More fundamental change here would be the best and most cost-effective way of advancing the government’s entire agenda.</w:t>
      </w:r>
    </w:p>
    <w:p w:rsidR="00E41122" w:rsidP="009D01BD">
      <w:r>
        <w:t>The reason for this is that whil</w:t>
      </w:r>
      <w:r>
        <w:t>e</w:t>
      </w:r>
      <w:r>
        <w:t xml:space="preserve"> school admission arrangements are supposed to work for the benefit of parents and children the reality is different.</w:t>
      </w:r>
      <w:r>
        <w:t xml:space="preserve"> </w:t>
      </w:r>
      <w:r>
        <w:t>Too many own-admission authority schools manipulate their intake for institutional advantage – either via their formal policy or through control of its application.</w:t>
      </w:r>
      <w:r>
        <w:t xml:space="preserve"> </w:t>
      </w:r>
      <w:r>
        <w:t>The proliferation of different admission authorities and inconsistencies between them causes complexity and potential confusion for parents.</w:t>
      </w:r>
      <w:r>
        <w:t xml:space="preserve"> </w:t>
      </w:r>
      <w:r>
        <w:t>Even with a stronger Admissions Code accountability systems are too weak to achieve the desired outcomes.</w:t>
      </w:r>
    </w:p>
    <w:p w:rsidR="00E41122" w:rsidP="009D01BD">
      <w:r>
        <w:t xml:space="preserve">A radical change that </w:t>
      </w:r>
      <w:r>
        <w:rPr>
          <w:u w:val="single"/>
        </w:rPr>
        <w:t>would</w:t>
      </w:r>
      <w:r>
        <w:t xml:space="preserve"> make a difference is removing control of admissions from schools altogether.</w:t>
      </w:r>
      <w:r>
        <w:t xml:space="preserve"> </w:t>
      </w:r>
      <w:r>
        <w:t>Instead, Local Authorities should be obliged to manage the entire system - from setting arrangements for all schools to managing the processes of application and placement</w:t>
      </w:r>
      <w:r>
        <w:t>. Local authorities should be</w:t>
      </w:r>
      <w:r>
        <w:t xml:space="preserve"> explicitly tasked to achieve the aspirations articulated in the White Paper.</w:t>
      </w:r>
      <w:r>
        <w:t xml:space="preserve"> </w:t>
      </w:r>
      <w:r>
        <w:t xml:space="preserve">Because </w:t>
      </w:r>
      <w:r>
        <w:t>LAs</w:t>
      </w:r>
      <w:r>
        <w:t xml:space="preserve"> do this for some (and some aspects for all) schools, most of the necessary legislation and practical capacity is in place.</w:t>
      </w:r>
      <w:r>
        <w:t xml:space="preserve"> </w:t>
      </w:r>
      <w:r>
        <w:t>It would be desirable to build in checks and balances allowing schools to have a proper input to the process and ensure that LAs undertake this role ‘cooperatively’. Again, the existing Admissions Code and Office of the Schools Adjudicator, provide appropriate mechanisms.</w:t>
      </w:r>
    </w:p>
    <w:p w:rsidR="00E41122" w:rsidP="009D01BD">
      <w:r>
        <w:t>NVEG have experts in this field who can expand further on exactly how this would work.</w:t>
      </w:r>
    </w:p>
    <w:p w:rsidR="00E41122" w:rsidP="00B91196">
      <w:pPr>
        <w:pStyle w:val="Heading2"/>
      </w:pPr>
      <w:r>
        <w:t>Workforce reforms</w:t>
      </w:r>
    </w:p>
    <w:p w:rsidR="00E41122" w:rsidP="00440F89">
      <w:r w:rsidRPr="00B91196">
        <w:t xml:space="preserve">The NVEG welcomes the aspiration to recruit 6,500 additional </w:t>
      </w:r>
      <w:r w:rsidRPr="00B91196">
        <w:t>teachers but</w:t>
      </w:r>
      <w:r w:rsidRPr="00B91196">
        <w:t xml:space="preserve"> encourages the Government to look much deeper into the problems of teacher recruitment and retention. For many potential recruits into the profession, teaching jobs are unattractive. Too many teachers have left the profession for more satisfying roles. It is time to recognise that excessive regulation of the curriculum and of pedagogic practice now seriously threatens the successes to which successive governments have laid claim. It is time to renew confidence in the professional judgment of teachers, to l</w:t>
      </w:r>
      <w:r w:rsidRPr="00B91196">
        <w:t>iberate their professionalism across all subjects and promote their enthusiastic participation in securing for every child and young person an education suited to ability and potential.</w:t>
      </w:r>
    </w:p>
    <w:p w:rsidR="00E41122" w:rsidP="00B91196">
      <w:pPr>
        <w:pStyle w:val="Heading2"/>
      </w:pPr>
      <w:r>
        <w:t>Wider Government policy</w:t>
      </w:r>
    </w:p>
    <w:p w:rsidR="00E41122" w:rsidP="00437B69">
      <w:r>
        <w:t xml:space="preserve">All Government departments have </w:t>
      </w:r>
      <w:r>
        <w:t xml:space="preserve">some </w:t>
      </w:r>
      <w:r>
        <w:t>responsibility for children</w:t>
      </w:r>
      <w:r>
        <w:t xml:space="preserve"> and</w:t>
      </w:r>
      <w:r>
        <w:t xml:space="preserve"> young people and their welfare</w:t>
      </w:r>
      <w:r>
        <w:t xml:space="preserve">. And to a reasonable </w:t>
      </w:r>
      <w:r>
        <w:t xml:space="preserve">extent the interests of children are considered in the decision-making by </w:t>
      </w:r>
      <w:r>
        <w:t>all</w:t>
      </w:r>
      <w:r>
        <w:t xml:space="preserve"> government </w:t>
      </w:r>
      <w:r>
        <w:t>departments</w:t>
      </w:r>
      <w:r>
        <w:t xml:space="preserve">. A requirement that all Government policies should state that the interests of children and young people have been considered is long overdue, perhaps by stating </w:t>
      </w:r>
      <w:r>
        <w:t>that</w:t>
      </w:r>
      <w:r>
        <w:t xml:space="preserve"> </w:t>
      </w:r>
      <w:r>
        <w:t>a decision</w:t>
      </w:r>
      <w:r>
        <w:t xml:space="preserve"> is compliant with the United Nations </w:t>
      </w:r>
      <w:r>
        <w:t xml:space="preserve">Convention on the </w:t>
      </w:r>
      <w:r>
        <w:t xml:space="preserve">Rights of the </w:t>
      </w:r>
      <w:r>
        <w:t>Child</w:t>
      </w:r>
      <w:r>
        <w:t>.</w:t>
      </w:r>
    </w:p>
    <w:p w:rsidR="00E41122" w:rsidP="00437B69">
      <w:r>
        <w:t>Th</w:t>
      </w:r>
      <w:r>
        <w:t>re</w:t>
      </w:r>
      <w:r>
        <w:t>e issues:</w:t>
      </w:r>
    </w:p>
    <w:p w:rsidR="00E41122" w:rsidP="00440F89">
      <w:pPr>
        <w:pStyle w:val="ListParagraph"/>
        <w:numPr>
          <w:ilvl w:val="0"/>
          <w:numId w:val="4"/>
        </w:numPr>
      </w:pPr>
      <w:r>
        <w:t>The MHCLG’s programme for Local Government Review will have a serious effect on local government education and children’s services given the number of smaller local authorities which are to be established. The inevitable process of setting up new departments, appointing staff, and making transitional arrangements for children out of school and managing assessments for Education, Health and Care Plans is likely to lead to a temporary reduction in service.</w:t>
      </w:r>
    </w:p>
    <w:p w:rsidR="00E41122" w:rsidP="00440F89">
      <w:pPr>
        <w:pStyle w:val="ListParagraph"/>
        <w:numPr>
          <w:ilvl w:val="0"/>
          <w:numId w:val="4"/>
        </w:numPr>
      </w:pPr>
      <w:r>
        <w:t xml:space="preserve">The local function for the youth services (to establish educational and recreational leisure time activities) is now </w:t>
      </w:r>
      <w:r>
        <w:t xml:space="preserve">with </w:t>
      </w:r>
      <w:r>
        <w:t>DCMS. The value of having these services close to schools should not be lost.</w:t>
      </w:r>
    </w:p>
    <w:p w:rsidR="00E41122" w:rsidP="00440F89">
      <w:pPr>
        <w:pStyle w:val="ListParagraph"/>
        <w:numPr>
          <w:ilvl w:val="0"/>
          <w:numId w:val="4"/>
        </w:numPr>
      </w:pPr>
      <w:r>
        <w:t>The issue of extending voting rights to 16 and 17-year-olds raises the issue of the definition of a child. The Children’s Wellbeing and Schools Act 2006 amended primary legislation containing three different statutory definitions of a child. This needs to be sorted out.</w:t>
      </w:r>
    </w:p>
    <w:p w:rsidR="00E41122" w:rsidRPr="009549B0" w:rsidP="00760580">
      <w:r w:rsidRPr="009549B0">
        <w:t>Conclusion</w:t>
      </w:r>
    </w:p>
    <w:p w:rsidR="00E41122" w:rsidRPr="009549B0" w:rsidP="00760580">
      <w:pPr>
        <w:rPr>
          <w:rFonts w:ascii="Calibri" w:hAnsi="Calibri" w:cs="Calibri"/>
        </w:rPr>
      </w:pPr>
      <w:r w:rsidRPr="009549B0">
        <w:rPr>
          <w:rFonts w:ascii="Calibri" w:hAnsi="Calibri" w:cs="Calibri"/>
        </w:rPr>
        <w:t>There are laudable objectives in the Schools White Paper. For example:</w:t>
      </w:r>
    </w:p>
    <w:p w:rsidR="00E41122" w:rsidRPr="009549B0" w:rsidP="00760580">
      <w:pPr>
        <w:ind w:left="720"/>
        <w:rPr>
          <w:rFonts w:ascii="Calibri" w:hAnsi="Calibri" w:cs="Calibri"/>
        </w:rPr>
      </w:pPr>
      <w:r w:rsidRPr="009549B0">
        <w:rPr>
          <w:rFonts w:ascii="Calibri" w:hAnsi="Calibri" w:cs="Calibri"/>
        </w:rPr>
        <w:t>“This requires coherent planning of services across a community and an understanding of the patterns of children and families lives in order to design around them. This will require schools, trusts, local authorities and health services to work together in ways that have become unfamiliar over the past decade.”</w:t>
      </w:r>
    </w:p>
    <w:p w:rsidR="00E41122" w:rsidP="00760580">
      <w:pPr>
        <w:rPr>
          <w:rFonts w:ascii="Calibri" w:hAnsi="Calibri" w:cs="Calibri"/>
        </w:rPr>
      </w:pPr>
      <w:r w:rsidRPr="009549B0">
        <w:rPr>
          <w:rFonts w:ascii="Calibri" w:hAnsi="Calibri" w:cs="Calibri"/>
        </w:rPr>
        <w:t>Ministers want to make sure that pupils</w:t>
      </w:r>
    </w:p>
    <w:p w:rsidR="00E41122" w:rsidRPr="009549B0" w:rsidP="00760580">
      <w:pPr>
        <w:ind w:left="720"/>
        <w:rPr>
          <w:rFonts w:ascii="Calibri" w:hAnsi="Calibri" w:cs="Calibri"/>
        </w:rPr>
      </w:pPr>
      <w:r w:rsidRPr="009549B0">
        <w:rPr>
          <w:rFonts w:ascii="Calibri" w:hAnsi="Calibri" w:cs="Calibri"/>
        </w:rPr>
        <w:t>“have strong foundations of knowledge and that they are active participants in their learning – debating, questioning, challenging and pursuing their own inquiry – set up for a lifetime of learning, not passive recipients of information”.</w:t>
      </w:r>
    </w:p>
    <w:p w:rsidR="00E41122" w:rsidRPr="009549B0" w:rsidP="00760580">
      <w:pPr>
        <w:rPr>
          <w:rFonts w:ascii="Calibri" w:hAnsi="Calibri" w:cs="Calibri"/>
        </w:rPr>
      </w:pPr>
      <w:r w:rsidRPr="009549B0">
        <w:rPr>
          <w:rFonts w:ascii="Calibri" w:hAnsi="Calibri" w:cs="Calibri"/>
        </w:rPr>
        <w:t xml:space="preserve">The question is whether the White Paper identifies how ambitions such as these can be successfully achieved. We would argue that the levers are not there in what remains a massively over-centralised system. Ministers should not rely on a multi-academy trust </w:t>
      </w:r>
      <w:r w:rsidRPr="009549B0">
        <w:rPr>
          <w:rFonts w:ascii="Calibri" w:hAnsi="Calibri" w:cs="Calibri"/>
        </w:rPr>
        <w:t xml:space="preserve">system that is geographically </w:t>
      </w:r>
      <w:r w:rsidRPr="009549B0">
        <w:rPr>
          <w:rFonts w:ascii="Calibri" w:hAnsi="Calibri" w:cs="Calibri"/>
        </w:rPr>
        <w:t>incoherent,</w:t>
      </w:r>
      <w:r w:rsidRPr="009549B0">
        <w:rPr>
          <w:rFonts w:ascii="Calibri" w:hAnsi="Calibri" w:cs="Calibri"/>
        </w:rPr>
        <w:t xml:space="preserve"> and which too often militates against schools working collectively and against engagement with parents and local communities.</w:t>
      </w:r>
    </w:p>
    <w:p w:rsidR="00E41122" w:rsidRPr="009549B0" w:rsidP="00760580">
      <w:pPr>
        <w:rPr>
          <w:rFonts w:ascii="Calibri" w:hAnsi="Calibri" w:cs="Calibri"/>
        </w:rPr>
      </w:pPr>
      <w:r w:rsidRPr="009549B0">
        <w:rPr>
          <w:rFonts w:ascii="Calibri" w:hAnsi="Calibri" w:cs="Calibri"/>
        </w:rPr>
        <w:t>If they’re serious about long term systemic change ministers will need to:</w:t>
      </w:r>
    </w:p>
    <w:p w:rsidR="00E41122" w:rsidRPr="00760580" w:rsidP="00760580">
      <w:pPr>
        <w:pStyle w:val="ListParagraph"/>
        <w:numPr>
          <w:ilvl w:val="0"/>
          <w:numId w:val="13"/>
        </w:numPr>
        <w:rPr>
          <w:rFonts w:ascii="Calibri" w:hAnsi="Calibri" w:cs="Calibri"/>
        </w:rPr>
      </w:pPr>
      <w:r w:rsidRPr="00760580">
        <w:rPr>
          <w:rFonts w:ascii="Calibri" w:hAnsi="Calibri" w:cs="Calibri"/>
        </w:rPr>
        <w:t xml:space="preserve">Engage in a debate and seek to win the argument over the difference between the positive things they want to see in schools and practices and policies that act against them </w:t>
      </w:r>
      <w:r w:rsidRPr="00760580">
        <w:rPr>
          <w:rFonts w:ascii="Calibri" w:hAnsi="Calibri" w:cs="Calibri"/>
        </w:rPr>
        <w:t>-</w:t>
      </w:r>
      <w:r w:rsidRPr="00760580">
        <w:rPr>
          <w:rFonts w:ascii="Calibri" w:hAnsi="Calibri" w:cs="Calibri"/>
        </w:rPr>
        <w:t xml:space="preserve"> this needs to include for example curriculum, pedagogy, behaviour policies and admission arrangements.</w:t>
      </w:r>
    </w:p>
    <w:p w:rsidR="00E41122" w:rsidRPr="00760580" w:rsidP="00760580">
      <w:pPr>
        <w:pStyle w:val="ListParagraph"/>
        <w:numPr>
          <w:ilvl w:val="0"/>
          <w:numId w:val="13"/>
        </w:numPr>
        <w:rPr>
          <w:rFonts w:ascii="Calibri" w:hAnsi="Calibri" w:cs="Calibri"/>
        </w:rPr>
      </w:pPr>
      <w:r w:rsidRPr="00760580">
        <w:rPr>
          <w:rFonts w:ascii="Calibri" w:hAnsi="Calibri" w:cs="Calibri"/>
        </w:rPr>
        <w:t>Make sure that initial teacher education and in-service training work to restore teachers’ individual professionalism so they can deliver the aims the government has for pupils.</w:t>
      </w:r>
    </w:p>
    <w:p w:rsidR="00E41122" w:rsidRPr="00760580" w:rsidP="00760580">
      <w:pPr>
        <w:pStyle w:val="ListParagraph"/>
        <w:numPr>
          <w:ilvl w:val="0"/>
          <w:numId w:val="13"/>
        </w:numPr>
        <w:rPr>
          <w:rFonts w:ascii="Calibri" w:hAnsi="Calibri" w:cs="Calibri"/>
        </w:rPr>
      </w:pPr>
      <w:r w:rsidRPr="00760580">
        <w:rPr>
          <w:rFonts w:ascii="Calibri" w:hAnsi="Calibri" w:cs="Calibri"/>
        </w:rPr>
        <w:t>Make local collaboration a reality – that means empowering local authorities and local partnerships as against MAT central direction.</w:t>
      </w:r>
    </w:p>
    <w:p w:rsidR="00E41122" w:rsidRPr="00554DD4" w:rsidP="00760580">
      <w:pPr>
        <w:pStyle w:val="ListParagraph"/>
        <w:numPr>
          <w:ilvl w:val="0"/>
          <w:numId w:val="13"/>
        </w:numPr>
      </w:pPr>
      <w:r w:rsidRPr="00760580">
        <w:rPr>
          <w:rFonts w:ascii="Calibri" w:hAnsi="Calibri" w:cs="Calibri"/>
        </w:rPr>
        <w:t>Develop a much more detailed, localised and regular system of school accountability based on their aims for the education service. This will require more than centralised data dashboards, part-time RISE advisers and Ofsted for 2 days every 4 years.</w:t>
      </w:r>
    </w:p>
    <w:p w:rsidR="00554DD4" w:rsidP="00554DD4"/>
    <w:p w:rsidR="00554DD4" w:rsidRPr="00554DD4" w:rsidP="00554DD4">
      <w:pPr>
        <w:rPr>
          <w:i/>
          <w:iCs/>
        </w:rPr>
      </w:pPr>
      <w:r w:rsidRPr="00554DD4">
        <w:rPr>
          <w:i/>
          <w:iCs/>
        </w:rPr>
        <w:t>September 2026</w:t>
      </w:r>
    </w:p>
    <w:sectPr>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1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2521283"/>
      <w:docPartObj>
        <w:docPartGallery w:val="Page Numbers (Bottom of Page)"/>
        <w:docPartUnique/>
      </w:docPartObj>
    </w:sdtPr>
    <w:sdtContent>
      <w:p w:rsidR="00E41122">
        <w:pPr>
          <w:pStyle w:val="Footer"/>
        </w:pPr>
        <w:r>
          <w:t xml:space="preserve">Page </w:t>
        </w:r>
        <w:r>
          <w:fldChar w:fldCharType="begin"/>
        </w:r>
        <w:r>
          <w:instrText>PAGE   \* MERGEFORMAT</w:instrText>
        </w:r>
        <w:r>
          <w:fldChar w:fldCharType="separate"/>
        </w:r>
        <w:r>
          <w:t>2</w:t>
        </w:r>
        <w:r>
          <w:fldChar w:fldCharType="end"/>
        </w:r>
      </w:p>
    </w:sdtContent>
  </w:sdt>
  <w:p w:rsidR="00E411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12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1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1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1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0B2180"/>
    <w:multiLevelType w:val="hybridMultilevel"/>
    <w:tmpl w:val="CB38A9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9D02B5D"/>
    <w:multiLevelType w:val="hybridMultilevel"/>
    <w:tmpl w:val="9F5880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E82520E"/>
    <w:multiLevelType w:val="hybridMultilevel"/>
    <w:tmpl w:val="762857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FC1EBB"/>
    <w:multiLevelType w:val="hybridMultilevel"/>
    <w:tmpl w:val="70AE5C1C"/>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Arial" w:hAnsi="Arial" w:eastAsiaTheme="minorHAnsi"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4216E6E"/>
    <w:multiLevelType w:val="hybridMultilevel"/>
    <w:tmpl w:val="CE2C2C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AE62191"/>
    <w:multiLevelType w:val="hybridMultilevel"/>
    <w:tmpl w:val="D0D896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41134F2"/>
    <w:multiLevelType w:val="hybridMultilevel"/>
    <w:tmpl w:val="D46250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82A6E31"/>
    <w:multiLevelType w:val="hybridMultilevel"/>
    <w:tmpl w:val="53BCDA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B155813"/>
    <w:multiLevelType w:val="hybridMultilevel"/>
    <w:tmpl w:val="1D0841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D1D142B"/>
    <w:multiLevelType w:val="hybridMultilevel"/>
    <w:tmpl w:val="AF84CD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AEA0B2B"/>
    <w:multiLevelType w:val="hybridMultilevel"/>
    <w:tmpl w:val="58EE22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F3B2222"/>
    <w:multiLevelType w:val="hybridMultilevel"/>
    <w:tmpl w:val="786AF4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CA11F77"/>
    <w:multiLevelType w:val="hybridMultilevel"/>
    <w:tmpl w:val="BEF43E0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1"/>
  </w:num>
  <w:num w:numId="2">
    <w:abstractNumId w:val="8"/>
  </w:num>
  <w:num w:numId="3">
    <w:abstractNumId w:val="5"/>
  </w:num>
  <w:num w:numId="4">
    <w:abstractNumId w:val="2"/>
  </w:num>
  <w:num w:numId="5">
    <w:abstractNumId w:val="3"/>
  </w:num>
  <w:num w:numId="6">
    <w:abstractNumId w:val="12"/>
  </w:num>
  <w:num w:numId="7">
    <w:abstractNumId w:val="0"/>
  </w:num>
  <w:num w:numId="8">
    <w:abstractNumId w:val="10"/>
  </w:num>
  <w:num w:numId="9">
    <w:abstractNumId w:val="4"/>
  </w:num>
  <w:num w:numId="10">
    <w:abstractNumId w:val="6"/>
  </w:num>
  <w:num w:numId="11">
    <w:abstractNumId w:val="9"/>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37B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7B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37B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7B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7B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7B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B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B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B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B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7B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37B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7B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7B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7B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B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B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B69"/>
    <w:rPr>
      <w:rFonts w:eastAsiaTheme="majorEastAsia" w:cstheme="majorBidi"/>
      <w:color w:val="272727" w:themeColor="text1" w:themeTint="D8"/>
    </w:rPr>
  </w:style>
  <w:style w:type="paragraph" w:styleId="Title">
    <w:name w:val="Title"/>
    <w:basedOn w:val="Normal"/>
    <w:next w:val="Normal"/>
    <w:link w:val="TitleChar"/>
    <w:uiPriority w:val="10"/>
    <w:qFormat/>
    <w:rsid w:val="00437B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7B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B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7B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B69"/>
    <w:pPr>
      <w:spacing w:before="160"/>
      <w:jc w:val="center"/>
    </w:pPr>
    <w:rPr>
      <w:i/>
      <w:iCs/>
      <w:color w:val="404040" w:themeColor="text1" w:themeTint="BF"/>
    </w:rPr>
  </w:style>
  <w:style w:type="character" w:customStyle="1" w:styleId="QuoteChar">
    <w:name w:val="Quote Char"/>
    <w:basedOn w:val="DefaultParagraphFont"/>
    <w:link w:val="Quote"/>
    <w:uiPriority w:val="29"/>
    <w:rsid w:val="00437B69"/>
    <w:rPr>
      <w:i/>
      <w:iCs/>
      <w:color w:val="404040" w:themeColor="text1" w:themeTint="BF"/>
    </w:rPr>
  </w:style>
  <w:style w:type="paragraph" w:styleId="ListParagraph">
    <w:name w:val="List Paragraph"/>
    <w:basedOn w:val="Normal"/>
    <w:uiPriority w:val="34"/>
    <w:qFormat/>
    <w:rsid w:val="00437B69"/>
    <w:pPr>
      <w:ind w:left="720"/>
      <w:contextualSpacing/>
    </w:pPr>
  </w:style>
  <w:style w:type="character" w:styleId="IntenseEmphasis">
    <w:name w:val="Intense Emphasis"/>
    <w:basedOn w:val="DefaultParagraphFont"/>
    <w:uiPriority w:val="21"/>
    <w:qFormat/>
    <w:rsid w:val="00437B69"/>
    <w:rPr>
      <w:i/>
      <w:iCs/>
      <w:color w:val="0F4761" w:themeColor="accent1" w:themeShade="BF"/>
    </w:rPr>
  </w:style>
  <w:style w:type="paragraph" w:styleId="IntenseQuote">
    <w:name w:val="Intense Quote"/>
    <w:basedOn w:val="Normal"/>
    <w:next w:val="Normal"/>
    <w:link w:val="IntenseQuoteChar"/>
    <w:uiPriority w:val="30"/>
    <w:qFormat/>
    <w:rsid w:val="00437B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7B69"/>
    <w:rPr>
      <w:i/>
      <w:iCs/>
      <w:color w:val="0F4761" w:themeColor="accent1" w:themeShade="BF"/>
    </w:rPr>
  </w:style>
  <w:style w:type="character" w:styleId="IntenseReference">
    <w:name w:val="Intense Reference"/>
    <w:basedOn w:val="DefaultParagraphFont"/>
    <w:uiPriority w:val="32"/>
    <w:qFormat/>
    <w:rsid w:val="00437B69"/>
    <w:rPr>
      <w:b/>
      <w:bCs/>
      <w:smallCaps/>
      <w:color w:val="0F4761" w:themeColor="accent1" w:themeShade="BF"/>
      <w:spacing w:val="5"/>
    </w:rPr>
  </w:style>
  <w:style w:type="character" w:styleId="Hyperlink">
    <w:name w:val="Hyperlink"/>
    <w:basedOn w:val="DefaultParagraphFont"/>
    <w:uiPriority w:val="99"/>
    <w:unhideWhenUsed/>
    <w:rsid w:val="00437B69"/>
    <w:rPr>
      <w:color w:val="467886" w:themeColor="hyperlink"/>
      <w:u w:val="single"/>
    </w:rPr>
  </w:style>
  <w:style w:type="character" w:customStyle="1" w:styleId="UnresolvedMention1">
    <w:name w:val="Unresolved Mention1"/>
    <w:basedOn w:val="DefaultParagraphFont"/>
    <w:uiPriority w:val="99"/>
    <w:semiHidden/>
    <w:unhideWhenUsed/>
    <w:rsid w:val="00437B69"/>
    <w:rPr>
      <w:color w:val="605E5C"/>
      <w:shd w:val="clear" w:color="auto" w:fill="E1DFDD"/>
    </w:rPr>
  </w:style>
  <w:style w:type="character" w:customStyle="1" w:styleId="t286pc">
    <w:name w:val="t286pc"/>
    <w:basedOn w:val="DefaultParagraphFont"/>
    <w:rsid w:val="00E21E23"/>
  </w:style>
  <w:style w:type="character" w:styleId="Strong">
    <w:name w:val="Strong"/>
    <w:basedOn w:val="DefaultParagraphFont"/>
    <w:uiPriority w:val="22"/>
    <w:qFormat/>
    <w:rsid w:val="00E21E23"/>
    <w:rPr>
      <w:b/>
      <w:bCs/>
    </w:rPr>
  </w:style>
  <w:style w:type="character" w:styleId="CommentReference">
    <w:name w:val="annotation reference"/>
    <w:basedOn w:val="DefaultParagraphFont"/>
    <w:uiPriority w:val="99"/>
    <w:semiHidden/>
    <w:unhideWhenUsed/>
    <w:rsid w:val="007C2AC4"/>
    <w:rPr>
      <w:sz w:val="16"/>
      <w:szCs w:val="16"/>
    </w:rPr>
  </w:style>
  <w:style w:type="paragraph" w:styleId="CommentText">
    <w:name w:val="annotation text"/>
    <w:basedOn w:val="Normal"/>
    <w:link w:val="CommentTextChar"/>
    <w:uiPriority w:val="99"/>
    <w:unhideWhenUsed/>
    <w:rsid w:val="007C2AC4"/>
    <w:pPr>
      <w:spacing w:line="240" w:lineRule="auto"/>
    </w:pPr>
    <w:rPr>
      <w:sz w:val="20"/>
      <w:szCs w:val="20"/>
    </w:rPr>
  </w:style>
  <w:style w:type="character" w:customStyle="1" w:styleId="CommentTextChar">
    <w:name w:val="Comment Text Char"/>
    <w:basedOn w:val="DefaultParagraphFont"/>
    <w:link w:val="CommentText"/>
    <w:uiPriority w:val="99"/>
    <w:rsid w:val="007C2AC4"/>
    <w:rPr>
      <w:sz w:val="20"/>
      <w:szCs w:val="20"/>
    </w:rPr>
  </w:style>
  <w:style w:type="paragraph" w:styleId="CommentSubject">
    <w:name w:val="annotation subject"/>
    <w:basedOn w:val="CommentText"/>
    <w:next w:val="CommentText"/>
    <w:link w:val="CommentSubjectChar"/>
    <w:uiPriority w:val="99"/>
    <w:semiHidden/>
    <w:unhideWhenUsed/>
    <w:rsid w:val="007C2AC4"/>
    <w:rPr>
      <w:b/>
      <w:bCs/>
    </w:rPr>
  </w:style>
  <w:style w:type="character" w:customStyle="1" w:styleId="CommentSubjectChar">
    <w:name w:val="Comment Subject Char"/>
    <w:basedOn w:val="CommentTextChar"/>
    <w:link w:val="CommentSubject"/>
    <w:uiPriority w:val="99"/>
    <w:semiHidden/>
    <w:rsid w:val="007C2AC4"/>
    <w:rPr>
      <w:b/>
      <w:bCs/>
      <w:sz w:val="20"/>
      <w:szCs w:val="20"/>
    </w:rPr>
  </w:style>
  <w:style w:type="paragraph" w:styleId="Header">
    <w:name w:val="header"/>
    <w:basedOn w:val="Normal"/>
    <w:link w:val="HeaderChar"/>
    <w:uiPriority w:val="99"/>
    <w:unhideWhenUsed/>
    <w:rsid w:val="008806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06BE"/>
  </w:style>
  <w:style w:type="paragraph" w:styleId="Footer">
    <w:name w:val="footer"/>
    <w:basedOn w:val="Normal"/>
    <w:link w:val="FooterChar"/>
    <w:uiPriority w:val="99"/>
    <w:unhideWhenUsed/>
    <w:rsid w:val="008806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ECA0149</dc:title>
  <cp:revision>0</cp:revision>
</cp:coreProperties>
</file>