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4321" w:rsidP="00D04321">
      <w:pPr>
        <w:spacing w:after="80"/>
        <w:jc w:val="center"/>
        <w:rPr>
          <w:rFonts w:ascii="Open Sans" w:eastAsia="Arial" w:hAnsi="Open Sans" w:cs="Open Sans"/>
          <w:b/>
          <w:bCs/>
          <w:sz w:val="28"/>
          <w:szCs w:val="28"/>
        </w:rPr>
      </w:pPr>
      <w:r>
        <w:rPr>
          <w:rFonts w:ascii="Open Sans" w:eastAsia="Arial" w:hAnsi="Open Sans" w:cs="Open Sans"/>
          <w:b/>
          <w:bCs/>
          <w:sz w:val="28"/>
          <w:szCs w:val="28"/>
        </w:rPr>
        <w:t xml:space="preserve">Written evidence by </w:t>
      </w:r>
      <w:r w:rsidRPr="00D04321">
        <w:rPr>
          <w:rFonts w:ascii="Open Sans" w:eastAsia="Arial" w:hAnsi="Open Sans" w:cs="Open Sans"/>
          <w:b/>
          <w:bCs/>
          <w:sz w:val="28"/>
          <w:szCs w:val="28"/>
        </w:rPr>
        <w:t>Money Ready</w:t>
      </w:r>
      <w:r>
        <w:rPr>
          <w:rFonts w:ascii="Open Sans" w:eastAsia="Arial" w:hAnsi="Open Sans" w:cs="Open Sans"/>
          <w:b/>
          <w:bCs/>
          <w:sz w:val="28"/>
          <w:szCs w:val="28"/>
        </w:rPr>
        <w:t xml:space="preserve"> (ECA0148)</w:t>
      </w:r>
    </w:p>
    <w:p w:rsidR="00D04321" w:rsidP="00D04321">
      <w:pPr>
        <w:spacing w:after="80"/>
        <w:jc w:val="center"/>
        <w:rPr>
          <w:rFonts w:ascii="Open Sans" w:eastAsia="Arial" w:hAnsi="Open Sans" w:cs="Open Sans"/>
          <w:b/>
          <w:bCs/>
          <w:sz w:val="28"/>
          <w:szCs w:val="28"/>
        </w:rPr>
      </w:pPr>
    </w:p>
    <w:p w:rsidR="00773163" w:rsidRPr="00B66FFF">
      <w:pPr>
        <w:spacing w:after="80"/>
        <w:rPr>
          <w:rFonts w:ascii="Open Sans" w:hAnsi="Open Sans" w:cs="Open Sans"/>
        </w:rPr>
      </w:pPr>
      <w:r w:rsidRPr="6D30601C">
        <w:rPr>
          <w:rFonts w:ascii="Open Sans" w:eastAsia="Arial" w:hAnsi="Open Sans" w:cs="Open Sans"/>
          <w:b/>
          <w:bCs/>
          <w:sz w:val="28"/>
          <w:szCs w:val="28"/>
        </w:rPr>
        <w:t>Education Committee inquiry: 'Every Child Achieving and Thriving' White Paper</w:t>
      </w:r>
      <w:r>
        <w:rPr>
          <w:rFonts w:ascii="Open Sans" w:eastAsia="Arial" w:hAnsi="Open Sans" w:cs="Open Sans"/>
          <w:b/>
          <w:bCs/>
          <w:sz w:val="28"/>
          <w:szCs w:val="28"/>
        </w:rPr>
        <w:t xml:space="preserve"> – July 2026</w:t>
      </w:r>
    </w:p>
    <w:p w:rsidR="00773163" w:rsidRPr="00B66FFF">
      <w:pPr>
        <w:spacing w:after="400"/>
        <w:rPr>
          <w:rFonts w:ascii="Open Sans" w:hAnsi="Open Sans" w:cs="Open Sans"/>
        </w:rPr>
      </w:pPr>
      <w:r w:rsidRPr="00B66FFF">
        <w:rPr>
          <w:rFonts w:ascii="Open Sans" w:eastAsia="Arial" w:hAnsi="Open Sans" w:cs="Open Sans"/>
          <w:b/>
          <w:bCs/>
          <w:color w:val="8F0425"/>
          <w:sz w:val="24"/>
          <w:szCs w:val="24"/>
        </w:rPr>
        <w:t>Written evidence submitted by Money Ready</w:t>
      </w:r>
    </w:p>
    <w:p w:rsidR="00773163" w:rsidRPr="00B66FFF">
      <w:pPr>
        <w:pStyle w:val="Heading1"/>
        <w:spacing w:before="300" w:after="160"/>
        <w:rPr>
          <w:rFonts w:ascii="Open Sans" w:hAnsi="Open Sans" w:cs="Open Sans"/>
        </w:rPr>
      </w:pPr>
      <w:r w:rsidRPr="00B66FFF">
        <w:rPr>
          <w:rFonts w:ascii="Open Sans" w:eastAsia="Arial" w:hAnsi="Open Sans" w:cs="Open Sans"/>
          <w:b/>
          <w:bCs/>
          <w:color w:val="8F0425"/>
          <w:sz w:val="26"/>
          <w:szCs w:val="26"/>
        </w:rPr>
        <w:t>About Money Ready</w:t>
      </w:r>
    </w:p>
    <w:p w:rsidR="00773163" w:rsidRPr="00B66FFF">
      <w:pPr>
        <w:spacing w:after="200" w:line="276" w:lineRule="auto"/>
        <w:rPr>
          <w:rFonts w:ascii="Open Sans" w:hAnsi="Open Sans" w:cs="Open Sans"/>
        </w:rPr>
      </w:pPr>
      <w:r w:rsidRPr="29CED0E1">
        <w:rPr>
          <w:rFonts w:ascii="Open Sans" w:eastAsia="Arial" w:hAnsi="Open Sans" w:cs="Open Sans"/>
          <w:b/>
          <w:bCs/>
          <w:sz w:val="22"/>
          <w:szCs w:val="22"/>
        </w:rPr>
        <w:t xml:space="preserve">1. </w:t>
      </w:r>
      <w:r w:rsidRPr="29CED0E1">
        <w:rPr>
          <w:rFonts w:ascii="Open Sans" w:eastAsia="Arial" w:hAnsi="Open Sans" w:cs="Open Sans"/>
          <w:sz w:val="22"/>
          <w:szCs w:val="22"/>
        </w:rPr>
        <w:t xml:space="preserve">Money Ready (formerly MyBnk) is a charity dedicated to creating a financially fluent population. From pocket money to pensions, we equip people aged 4 to 40 with the skills and knowledge to make informed choices and take control of their financial futures. We have been delivering financial education directly to young people for 20 years, </w:t>
      </w:r>
      <w:r>
        <w:rPr>
          <w:rFonts w:ascii="Open Sans" w:eastAsia="Arial" w:hAnsi="Open Sans" w:cs="Open Sans"/>
          <w:sz w:val="22"/>
          <w:szCs w:val="22"/>
        </w:rPr>
        <w:t xml:space="preserve">now </w:t>
      </w:r>
      <w:r w:rsidRPr="29CED0E1">
        <w:rPr>
          <w:rFonts w:ascii="Open Sans" w:eastAsia="Arial" w:hAnsi="Open Sans" w:cs="Open Sans"/>
          <w:sz w:val="22"/>
          <w:szCs w:val="22"/>
        </w:rPr>
        <w:t>reaching over 50,000 learners per year. In 2024-25, 49% of learners had n</w:t>
      </w:r>
      <w:r w:rsidRPr="29CED0E1">
        <w:rPr>
          <w:rFonts w:ascii="Open Sans" w:eastAsia="Arial" w:hAnsi="Open Sans" w:cs="Open Sans"/>
          <w:sz w:val="22"/>
          <w:szCs w:val="22"/>
        </w:rPr>
        <w:t xml:space="preserve">o memory of </w:t>
      </w:r>
      <w:r w:rsidRPr="29CED0E1">
        <w:rPr>
          <w:rFonts w:ascii="Open Sans" w:eastAsia="Arial" w:hAnsi="Open Sans" w:cs="Open Sans"/>
          <w:sz w:val="22"/>
          <w:szCs w:val="22"/>
        </w:rPr>
        <w:t xml:space="preserve">ever </w:t>
      </w:r>
      <w:r w:rsidRPr="29CED0E1">
        <w:rPr>
          <w:rFonts w:ascii="Open Sans" w:eastAsia="Arial" w:hAnsi="Open Sans" w:cs="Open Sans"/>
          <w:sz w:val="22"/>
          <w:szCs w:val="22"/>
        </w:rPr>
        <w:t xml:space="preserve">having </w:t>
      </w:r>
      <w:r w:rsidRPr="29CED0E1">
        <w:rPr>
          <w:rFonts w:ascii="Open Sans" w:eastAsia="Arial" w:hAnsi="Open Sans" w:cs="Open Sans"/>
          <w:sz w:val="22"/>
          <w:szCs w:val="22"/>
        </w:rPr>
        <w:t xml:space="preserve">received any financial education before, yet 78% of learners improved their financial knowledge after our programmes and 70% had increased confidence in managing their money. </w:t>
      </w:r>
      <w:r w:rsidRPr="29CED0E1">
        <w:rPr>
          <w:rFonts w:ascii="Open Sans" w:eastAsia="Arial" w:hAnsi="Open Sans" w:cs="Open Sans"/>
          <w:sz w:val="22"/>
          <w:szCs w:val="22"/>
        </w:rPr>
        <w:t>We have raised the issue</w:t>
      </w:r>
      <w:r>
        <w:rPr>
          <w:rFonts w:ascii="Open Sans" w:eastAsia="Arial" w:hAnsi="Open Sans" w:cs="Open Sans"/>
          <w:sz w:val="22"/>
          <w:szCs w:val="22"/>
        </w:rPr>
        <w:t>s</w:t>
      </w:r>
      <w:r w:rsidRPr="29CED0E1">
        <w:rPr>
          <w:rFonts w:ascii="Open Sans" w:eastAsia="Arial" w:hAnsi="Open Sans" w:cs="Open Sans"/>
          <w:sz w:val="22"/>
          <w:szCs w:val="22"/>
        </w:rPr>
        <w:t xml:space="preserve"> addressed in this submission before, in formal evidence: </w:t>
      </w:r>
      <w:r w:rsidRPr="008517C0">
        <w:rPr>
          <w:rFonts w:ascii="Open Sans" w:eastAsia="Arial" w:hAnsi="Open Sans" w:cs="Open Sans"/>
          <w:sz w:val="22"/>
          <w:szCs w:val="22"/>
        </w:rPr>
        <w:t>to this Committee's predecessor inquiry into financial education (December 2023, submitted as MyBnk</w:t>
      </w:r>
      <w:r w:rsidRPr="008517C0">
        <w:rPr>
          <w:rFonts w:ascii="Open Sans" w:eastAsia="Arial" w:hAnsi="Open Sans" w:cs="Open Sans"/>
          <w:sz w:val="22"/>
          <w:szCs w:val="22"/>
        </w:rPr>
        <w:t>), to the Department for Education's Curriculum and Assessment Review (November 2024, submitted as MyBnk, covering England), and to the APPG on Financial Education for Young People's Devolved Nations Inquiry (March 2025, submitted as MyBnk, covering Wales, Scotland and Northern Ireland). This submission builds directly on that evidence base and is submitted on behalf of Money Ready as an organisation.</w:t>
      </w:r>
    </w:p>
    <w:p w:rsidR="00773163" w:rsidRPr="00B66FFF" w:rsidP="2971EE76">
      <w:pPr>
        <w:spacing w:after="200" w:line="276" w:lineRule="auto"/>
        <w:rPr>
          <w:rFonts w:ascii="Open Sans" w:hAnsi="Open Sans" w:cs="Open Sans"/>
        </w:rPr>
      </w:pPr>
      <w:r w:rsidRPr="2971EE76">
        <w:rPr>
          <w:rFonts w:ascii="Open Sans" w:eastAsia="Arial" w:hAnsi="Open Sans" w:cs="Open Sans"/>
          <w:b/>
          <w:bCs/>
          <w:sz w:val="22"/>
          <w:szCs w:val="22"/>
        </w:rPr>
        <w:t xml:space="preserve">2.  </w:t>
      </w:r>
      <w:r w:rsidRPr="2971EE76">
        <w:rPr>
          <w:rFonts w:ascii="Open Sans" w:eastAsia="Arial" w:hAnsi="Open Sans" w:cs="Open Sans"/>
          <w:sz w:val="22"/>
          <w:szCs w:val="22"/>
        </w:rPr>
        <w:t xml:space="preserve">This submission addresses two parts of the Committee's </w:t>
      </w:r>
      <w:r w:rsidRPr="2971EE76">
        <w:rPr>
          <w:rFonts w:ascii="Open Sans" w:eastAsia="Arial" w:hAnsi="Open Sans" w:cs="Open Sans"/>
          <w:sz w:val="22"/>
          <w:szCs w:val="22"/>
        </w:rPr>
        <w:t>inquiry</w:t>
      </w:r>
      <w:r w:rsidRPr="2971EE76">
        <w:rPr>
          <w:rFonts w:ascii="Open Sans" w:eastAsia="Arial" w:hAnsi="Open Sans" w:cs="Open Sans"/>
          <w:sz w:val="22"/>
          <w:szCs w:val="22"/>
        </w:rPr>
        <w:t xml:space="preserve">: how essential skills can be integrated into the curriculum to raise attainment and reduce NEET (Raising attainment), and how the White Paper's reforms align with wider government policy, </w:t>
      </w:r>
      <w:r>
        <w:rPr>
          <w:rFonts w:ascii="Open Sans" w:eastAsia="Arial" w:hAnsi="Open Sans" w:cs="Open Sans"/>
          <w:sz w:val="22"/>
          <w:szCs w:val="22"/>
        </w:rPr>
        <w:t xml:space="preserve">in </w:t>
      </w:r>
      <w:r w:rsidRPr="2971EE76">
        <w:rPr>
          <w:rFonts w:ascii="Open Sans" w:eastAsia="Arial" w:hAnsi="Open Sans" w:cs="Open Sans"/>
          <w:sz w:val="22"/>
          <w:szCs w:val="22"/>
        </w:rPr>
        <w:t>particular</w:t>
      </w:r>
      <w:r>
        <w:rPr>
          <w:rFonts w:ascii="Open Sans" w:eastAsia="Arial" w:hAnsi="Open Sans" w:cs="Open Sans"/>
          <w:sz w:val="22"/>
          <w:szCs w:val="22"/>
        </w:rPr>
        <w:t xml:space="preserve"> </w:t>
      </w:r>
      <w:r w:rsidRPr="2971EE76">
        <w:rPr>
          <w:rFonts w:ascii="Open Sans" w:eastAsia="Arial" w:hAnsi="Open Sans" w:cs="Open Sans"/>
          <w:sz w:val="22"/>
          <w:szCs w:val="22"/>
        </w:rPr>
        <w:t xml:space="preserve">the National Youth Strategy (Wider government policy). </w:t>
      </w:r>
    </w:p>
    <w:p w:rsidR="00773163" w:rsidRPr="00B66FFF">
      <w:pPr>
        <w:pStyle w:val="Heading1"/>
        <w:spacing w:before="300" w:after="160"/>
        <w:rPr>
          <w:rFonts w:ascii="Open Sans" w:hAnsi="Open Sans" w:cs="Open Sans"/>
        </w:rPr>
      </w:pPr>
      <w:r w:rsidRPr="00B66FFF">
        <w:rPr>
          <w:rFonts w:ascii="Open Sans" w:eastAsia="Arial" w:hAnsi="Open Sans" w:cs="Open Sans"/>
          <w:b/>
          <w:bCs/>
          <w:color w:val="8F0425"/>
          <w:sz w:val="26"/>
          <w:szCs w:val="26"/>
        </w:rPr>
        <w:t>Summary of recommendations</w:t>
      </w:r>
    </w:p>
    <w:p w:rsidR="00773163" w:rsidRPr="00B66FFF">
      <w:pPr>
        <w:spacing w:after="100"/>
        <w:ind w:left="360"/>
        <w:rPr>
          <w:rFonts w:ascii="Open Sans" w:hAnsi="Open Sans" w:cs="Open Sans"/>
        </w:rPr>
      </w:pPr>
      <w:r w:rsidRPr="00B66FFF">
        <w:rPr>
          <w:rFonts w:ascii="Open Sans" w:eastAsia="Arial" w:hAnsi="Open Sans" w:cs="Open Sans"/>
          <w:sz w:val="22"/>
          <w:szCs w:val="22"/>
        </w:rPr>
        <w:t>•  Seek assurance from the new Education Secretary that the financial literacy commitments already accepted in the Government's response to the Curriculum and Assessment Review are upheld, given her public signal that she is reviewing the wider curriculum and assessment system.</w:t>
      </w:r>
    </w:p>
    <w:p w:rsidR="00773163" w:rsidRPr="00B66FFF" w:rsidP="6CC8D5F2">
      <w:pPr>
        <w:spacing w:after="100"/>
        <w:ind w:left="360"/>
        <w:rPr>
          <w:rFonts w:ascii="Open Sans" w:hAnsi="Open Sans" w:cs="Open Sans"/>
        </w:rPr>
      </w:pPr>
      <w:r w:rsidRPr="2971EE76">
        <w:rPr>
          <w:rFonts w:ascii="Open Sans" w:eastAsia="Arial" w:hAnsi="Open Sans" w:cs="Open Sans"/>
          <w:sz w:val="22"/>
          <w:szCs w:val="22"/>
        </w:rPr>
        <w:t xml:space="preserve">•  </w:t>
      </w:r>
      <w:r w:rsidRPr="0019423E">
        <w:rPr>
          <w:rFonts w:ascii="Open Sans" w:eastAsia="Arial" w:hAnsi="Open Sans" w:cs="Open Sans"/>
          <w:sz w:val="22"/>
          <w:szCs w:val="22"/>
        </w:rPr>
        <w:t xml:space="preserve">Confirm how financial education </w:t>
      </w:r>
      <w:r>
        <w:rPr>
          <w:rFonts w:ascii="Open Sans" w:eastAsia="Arial" w:hAnsi="Open Sans" w:cs="Open Sans"/>
          <w:sz w:val="22"/>
          <w:szCs w:val="22"/>
        </w:rPr>
        <w:t xml:space="preserve">can be </w:t>
      </w:r>
      <w:r w:rsidRPr="0019423E">
        <w:rPr>
          <w:rFonts w:ascii="Open Sans" w:eastAsia="Arial" w:hAnsi="Open Sans" w:cs="Open Sans"/>
          <w:sz w:val="22"/>
          <w:szCs w:val="22"/>
        </w:rPr>
        <w:t xml:space="preserve">built into the Curriculum and Assessment Review's own 16-19 reforms – V-Levels, and the Occupational and Further Study pathways – since its financial literacy recommendation, as far as we can see, is not carried into that area. </w:t>
      </w:r>
    </w:p>
    <w:p w:rsidR="00773163" w:rsidRPr="00B66FFF">
      <w:pPr>
        <w:spacing w:after="100"/>
        <w:ind w:left="360"/>
        <w:rPr>
          <w:rFonts w:ascii="Open Sans" w:hAnsi="Open Sans" w:cs="Open Sans"/>
        </w:rPr>
      </w:pPr>
      <w:r w:rsidRPr="00B66FFF">
        <w:rPr>
          <w:rFonts w:ascii="Open Sans" w:eastAsia="Arial" w:hAnsi="Open Sans" w:cs="Open Sans"/>
          <w:sz w:val="22"/>
          <w:szCs w:val="22"/>
        </w:rPr>
        <w:t xml:space="preserve">•  </w:t>
      </w:r>
      <w:r w:rsidRPr="00A42C2F">
        <w:rPr>
          <w:rFonts w:ascii="Open Sans" w:eastAsia="Arial" w:hAnsi="Open Sans" w:cs="Open Sans"/>
          <w:sz w:val="22"/>
          <w:szCs w:val="22"/>
        </w:rPr>
        <w:t xml:space="preserve">Confirm, alongside the refreshed curriculum, how financial education will be </w:t>
      </w:r>
      <w:r>
        <w:rPr>
          <w:rFonts w:ascii="Open Sans" w:eastAsia="Arial" w:hAnsi="Open Sans" w:cs="Open Sans"/>
          <w:sz w:val="22"/>
          <w:szCs w:val="22"/>
        </w:rPr>
        <w:t>measured</w:t>
      </w:r>
      <w:r w:rsidRPr="00A42C2F">
        <w:rPr>
          <w:rFonts w:ascii="Open Sans" w:eastAsia="Arial" w:hAnsi="Open Sans" w:cs="Open Sans"/>
          <w:sz w:val="22"/>
          <w:szCs w:val="22"/>
        </w:rPr>
        <w:t>. Curriculum inclusion alone has not moved the dial in any UK nation.</w:t>
      </w:r>
    </w:p>
    <w:p w:rsidR="00773163" w:rsidRPr="00B66FFF">
      <w:pPr>
        <w:spacing w:after="100"/>
        <w:ind w:left="360"/>
        <w:rPr>
          <w:rFonts w:ascii="Open Sans" w:hAnsi="Open Sans" w:cs="Open Sans"/>
        </w:rPr>
      </w:pPr>
      <w:r w:rsidRPr="00B66FFF">
        <w:rPr>
          <w:rFonts w:ascii="Open Sans" w:eastAsia="Arial" w:hAnsi="Open Sans" w:cs="Open Sans"/>
          <w:sz w:val="22"/>
          <w:szCs w:val="22"/>
        </w:rPr>
        <w:t>•  Revisit this Committee's own 2024 recommendation that the UK apply to take part in the OECD's PISA financial literacy assessment in 2029.</w:t>
      </w:r>
    </w:p>
    <w:p w:rsidR="00773163">
      <w:pPr>
        <w:spacing w:after="100"/>
        <w:ind w:left="360"/>
        <w:rPr>
          <w:rFonts w:ascii="Open Sans" w:hAnsi="Open Sans"/>
          <w:sz w:val="22"/>
        </w:rPr>
      </w:pPr>
      <w:r w:rsidRPr="29CED0E1">
        <w:rPr>
          <w:rFonts w:ascii="Open Sans" w:eastAsia="Arial" w:hAnsi="Open Sans" w:cs="Open Sans"/>
          <w:sz w:val="22"/>
          <w:szCs w:val="22"/>
        </w:rPr>
        <w:t xml:space="preserve">•  </w:t>
      </w:r>
      <w:r>
        <w:rPr>
          <w:rFonts w:ascii="Open Sans" w:hAnsi="Open Sans"/>
          <w:sz w:val="22"/>
        </w:rPr>
        <w:t>Review Functional Skills Maths, GCSE Maths and A-level Maths so pupils are taught practical financial literacy – payslips, credit, digital banking safety – not just the arithmetic, or in A-level's case nothing at all.</w:t>
      </w:r>
    </w:p>
    <w:p w:rsidR="00773163" w:rsidRPr="00B66FFF" w:rsidP="00B7472F">
      <w:pPr>
        <w:spacing w:after="100"/>
        <w:ind w:left="360"/>
        <w:rPr>
          <w:rFonts w:ascii="Open Sans" w:hAnsi="Open Sans" w:cs="Open Sans"/>
        </w:rPr>
      </w:pPr>
      <w:r>
        <w:rPr>
          <w:rFonts w:ascii="Open Sans" w:hAnsi="Open Sans"/>
          <w:sz w:val="22"/>
        </w:rPr>
        <w:t>•  Extend the reach of Core Maths and BTEC Business's personal finance content, which already teach genuine financial literacy but remain optional and reach only some students.</w:t>
      </w:r>
    </w:p>
    <w:p w:rsidR="00773163" w:rsidRPr="00B66FFF">
      <w:pPr>
        <w:pStyle w:val="Heading1"/>
        <w:spacing w:before="300" w:after="160"/>
        <w:rPr>
          <w:rFonts w:ascii="Open Sans" w:hAnsi="Open Sans" w:cs="Open Sans"/>
        </w:rPr>
      </w:pPr>
      <w:r w:rsidRPr="00B66FFF">
        <w:rPr>
          <w:rFonts w:ascii="Open Sans" w:eastAsia="Arial" w:hAnsi="Open Sans" w:cs="Open Sans"/>
          <w:b/>
          <w:bCs/>
          <w:color w:val="8F0425"/>
          <w:sz w:val="26"/>
          <w:szCs w:val="26"/>
        </w:rPr>
        <w:t>Raising attainment: embedding essential skills to reduce NEET</w:t>
      </w:r>
    </w:p>
    <w:p w:rsidR="00773163" w:rsidRPr="00B66FFF">
      <w:pPr>
        <w:spacing w:after="200" w:line="276" w:lineRule="auto"/>
        <w:rPr>
          <w:rFonts w:ascii="Open Sans" w:hAnsi="Open Sans" w:cs="Open Sans"/>
        </w:rPr>
      </w:pPr>
      <w:r w:rsidRPr="00B66FFF">
        <w:rPr>
          <w:rFonts w:ascii="Open Sans" w:eastAsia="Arial" w:hAnsi="Open Sans" w:cs="Open Sans"/>
          <w:b/>
          <w:bCs/>
          <w:sz w:val="22"/>
          <w:szCs w:val="22"/>
        </w:rPr>
        <w:t xml:space="preserve">3.  </w:t>
      </w:r>
      <w:r w:rsidRPr="00B66FFF">
        <w:rPr>
          <w:rFonts w:ascii="Open Sans" w:eastAsia="Arial" w:hAnsi="Open Sans" w:cs="Open Sans"/>
          <w:sz w:val="22"/>
          <w:szCs w:val="22"/>
        </w:rPr>
        <w:t xml:space="preserve">We welcome the White Paper's commitment, in taking forward the Curriculum and Assessment Review's recommendations, to “embedding oracy, financial, digital and media literacy in the curriculum” as part of preparing children and young people for life and careers in a changing world. After two decades of campaigning on this issue, we see this as a genuine milestone. </w:t>
      </w:r>
      <w:r w:rsidRPr="0047770B">
        <w:rPr>
          <w:rFonts w:ascii="Open Sans" w:eastAsia="Arial" w:hAnsi="Open Sans" w:cs="Open Sans"/>
          <w:sz w:val="22"/>
          <w:szCs w:val="22"/>
        </w:rPr>
        <w:t xml:space="preserve">But curriculum reference is a start, not an endpoint, </w:t>
      </w:r>
      <w:r>
        <w:rPr>
          <w:rFonts w:ascii="Open Sans" w:eastAsia="Arial" w:hAnsi="Open Sans" w:cs="Open Sans"/>
          <w:sz w:val="22"/>
          <w:szCs w:val="22"/>
        </w:rPr>
        <w:t xml:space="preserve">as we’ve seen from the previous curriculum win in 2014 </w:t>
      </w:r>
      <w:r w:rsidRPr="0047770B">
        <w:rPr>
          <w:rFonts w:ascii="Open Sans" w:eastAsia="Arial" w:hAnsi="Open Sans" w:cs="Open Sans"/>
          <w:sz w:val="22"/>
          <w:szCs w:val="22"/>
        </w:rPr>
        <w:t>and evidence from across the UK's four</w:t>
      </w:r>
      <w:r>
        <w:rPr>
          <w:rFonts w:ascii="Open Sans" w:eastAsia="Arial" w:hAnsi="Open Sans" w:cs="Open Sans"/>
          <w:sz w:val="22"/>
          <w:szCs w:val="22"/>
        </w:rPr>
        <w:t xml:space="preserve"> nations.</w:t>
      </w:r>
    </w:p>
    <w:p w:rsidR="00773163" w:rsidRPr="00B66FFF" w:rsidP="2971EE76">
      <w:pPr>
        <w:spacing w:after="200" w:line="276" w:lineRule="auto"/>
        <w:rPr>
          <w:rFonts w:ascii="Open Sans" w:hAnsi="Open Sans" w:cs="Open Sans"/>
        </w:rPr>
      </w:pPr>
      <w:r w:rsidRPr="2971EE76">
        <w:rPr>
          <w:rFonts w:ascii="Open Sans" w:eastAsia="Arial" w:hAnsi="Open Sans" w:cs="Open Sans"/>
          <w:b/>
          <w:bCs/>
          <w:sz w:val="22"/>
          <w:szCs w:val="22"/>
        </w:rPr>
        <w:t xml:space="preserve">4.  </w:t>
      </w:r>
      <w:r w:rsidRPr="2971EE76">
        <w:rPr>
          <w:rFonts w:ascii="Open Sans" w:eastAsia="Arial" w:hAnsi="Open Sans" w:cs="Open Sans"/>
          <w:sz w:val="22"/>
          <w:szCs w:val="22"/>
        </w:rPr>
        <w:t xml:space="preserve">We raise this submission at a moment of genuine uncertainty for that milestone. Bridget Phillipson, who accepted the Review's recommendations as Education Secretary, has been replaced by Lucy Powell following the recent change of Prime Minister. In her first interview in the role, </w:t>
      </w:r>
      <w:r w:rsidRPr="2971EE76">
        <w:rPr>
          <w:rFonts w:ascii="Open Sans" w:eastAsia="Arial" w:hAnsi="Open Sans" w:cs="Open Sans"/>
          <w:sz w:val="22"/>
          <w:szCs w:val="22"/>
        </w:rPr>
        <w:t>Powell said</w:t>
      </w:r>
      <w:r w:rsidRPr="2971EE76">
        <w:rPr>
          <w:rFonts w:ascii="Open Sans" w:eastAsia="Arial" w:hAnsi="Open Sans" w:cs="Open Sans"/>
          <w:sz w:val="22"/>
          <w:szCs w:val="22"/>
        </w:rPr>
        <w:t xml:space="preserve"> she intends to “look at and take forward </w:t>
      </w:r>
      <w:r w:rsidRPr="2971EE76">
        <w:rPr>
          <w:rFonts w:ascii="Open Sans" w:eastAsia="Arial" w:hAnsi="Open Sans" w:cs="Open Sans"/>
          <w:b/>
          <w:bCs/>
          <w:sz w:val="22"/>
          <w:szCs w:val="22"/>
        </w:rPr>
        <w:t>some</w:t>
      </w:r>
      <w:r w:rsidRPr="2971EE76">
        <w:rPr>
          <w:rFonts w:ascii="Open Sans" w:eastAsia="Arial" w:hAnsi="Open Sans" w:cs="Open Sans"/>
          <w:sz w:val="22"/>
          <w:szCs w:val="22"/>
        </w:rPr>
        <w:t xml:space="preserve"> changes to the curriculum and assessment system”</w:t>
      </w:r>
      <w:r w:rsidRPr="2971EE76">
        <w:rPr>
          <w:rFonts w:ascii="Open Sans" w:eastAsia="Arial" w:hAnsi="Open Sans" w:cs="Open Sans"/>
          <w:sz w:val="22"/>
          <w:szCs w:val="22"/>
        </w:rPr>
        <w:t>. I</w:t>
      </w:r>
      <w:r w:rsidRPr="2971EE76">
        <w:rPr>
          <w:rFonts w:ascii="Open Sans" w:eastAsia="Arial" w:hAnsi="Open Sans" w:cs="Open Sans"/>
          <w:sz w:val="22"/>
          <w:szCs w:val="22"/>
        </w:rPr>
        <w:t>t is not yet clear whether this extends to revisiting commitments already accepted, including those on financial literacy. We ask the Committee to seek assurance that the financial literacy commitments already accepted in the Government's response to the Review – new statutory content at primary and strengthened content at Key Stages 3 and 4 – are upheld and not lost or deprioritised</w:t>
      </w:r>
      <w:r w:rsidRPr="2971EE76">
        <w:rPr>
          <w:rFonts w:ascii="Open Sans" w:eastAsia="Arial" w:hAnsi="Open Sans" w:cs="Open Sans"/>
          <w:sz w:val="22"/>
          <w:szCs w:val="22"/>
        </w:rPr>
        <w:t>.</w:t>
      </w:r>
    </w:p>
    <w:p w:rsidR="00773163" w:rsidRPr="00B66FFF">
      <w:pPr>
        <w:spacing w:after="200" w:line="276" w:lineRule="auto"/>
        <w:rPr>
          <w:rFonts w:ascii="Open Sans" w:hAnsi="Open Sans" w:cs="Open Sans"/>
        </w:rPr>
      </w:pPr>
      <w:r w:rsidRPr="2971EE76">
        <w:rPr>
          <w:rFonts w:ascii="Open Sans" w:eastAsia="Arial" w:hAnsi="Open Sans" w:cs="Open Sans"/>
          <w:b/>
          <w:bCs/>
          <w:sz w:val="22"/>
          <w:szCs w:val="22"/>
        </w:rPr>
        <w:t xml:space="preserve">5.  </w:t>
      </w:r>
      <w:r w:rsidRPr="2971EE76">
        <w:rPr>
          <w:rFonts w:ascii="Open Sans" w:eastAsia="Arial" w:hAnsi="Open Sans" w:cs="Open Sans"/>
          <w:sz w:val="22"/>
          <w:szCs w:val="22"/>
        </w:rPr>
        <w:t xml:space="preserve">Every UK nation references financial education somewhere in its curriculum, yet the Money and Pensions Service's Children and Young People's Financial Wellbeing </w:t>
      </w:r>
      <w:r>
        <w:fldChar w:fldCharType="begin"/>
      </w:r>
      <w:r>
        <w:instrText xml:space="preserve"> HYPERLINK "https://maps.org.uk/en/publications/research/2023/uk-children-and-young-peoples-financial-wellbeing-survey-financial-foundations" </w:instrText>
      </w:r>
      <w:r>
        <w:fldChar w:fldCharType="separate"/>
      </w:r>
      <w:r w:rsidRPr="2971EE76">
        <w:rPr>
          <w:rStyle w:val="Hyperlink"/>
          <w:rFonts w:ascii="Open Sans" w:eastAsia="Arial" w:hAnsi="Open Sans" w:cs="Open Sans"/>
          <w:sz w:val="22"/>
          <w:szCs w:val="22"/>
        </w:rPr>
        <w:t>Survey</w:t>
      </w:r>
      <w:r>
        <w:fldChar w:fldCharType="end"/>
      </w:r>
      <w:r w:rsidRPr="2971EE76">
        <w:rPr>
          <w:rFonts w:ascii="Open Sans" w:eastAsia="Arial" w:hAnsi="Open Sans" w:cs="Open Sans"/>
          <w:sz w:val="22"/>
          <w:szCs w:val="22"/>
        </w:rPr>
        <w:t xml:space="preserve"> (2022) found only 52% of young people in Scotland, 51% in Wales, 46% in England and 43% in Northern Ireland self-report a “meaningful” experience of it. Our own 2023 </w:t>
      </w:r>
      <w:r>
        <w:fldChar w:fldCharType="begin"/>
      </w:r>
      <w:r>
        <w:instrText xml:space="preserve"> HYPERLINK "https://cdn2.comparethemarket.com/market/cms/cms-images/FINALSummarydocumentforevent_14be0ca9-69ae-4ad8-adf2-42b74f1bdf83.pdf?_gl=1*lqd7hr*_ga*NjA0NDI4MzU3LjE3ODQxMjY1Mzk.*_ga_EESV8NPC3W*czE3ODU0MzEyNDMkbzMkZzAkdDE3ODU0MzEyNDMkajYwJGwwJGgw" </w:instrText>
      </w:r>
      <w:r>
        <w:fldChar w:fldCharType="separate"/>
      </w:r>
      <w:r w:rsidRPr="2971EE76">
        <w:rPr>
          <w:rStyle w:val="Hyperlink"/>
          <w:rFonts w:ascii="Open Sans" w:eastAsia="Arial" w:hAnsi="Open Sans" w:cs="Open Sans"/>
          <w:sz w:val="22"/>
          <w:szCs w:val="22"/>
        </w:rPr>
        <w:t>research</w:t>
      </w:r>
      <w:r>
        <w:fldChar w:fldCharType="end"/>
      </w:r>
      <w:r w:rsidRPr="2971EE76">
        <w:rPr>
          <w:rFonts w:ascii="Open Sans" w:eastAsia="Arial" w:hAnsi="Open Sans" w:cs="Open Sans"/>
          <w:sz w:val="22"/>
          <w:szCs w:val="22"/>
        </w:rPr>
        <w:t xml:space="preserve"> with Compare the Market found fewer than four in ten young people recall receiving financial education lessons at school at all. Curriculum presence has not, on its own, closed this gap in any nation, and England should not expect a different outcome without addressing why.</w:t>
      </w:r>
    </w:p>
    <w:p w:rsidR="00773163" w:rsidRPr="00B66FFF">
      <w:pPr>
        <w:spacing w:after="200" w:line="276" w:lineRule="auto"/>
        <w:rPr>
          <w:rFonts w:ascii="Open Sans" w:hAnsi="Open Sans" w:cs="Open Sans"/>
        </w:rPr>
      </w:pPr>
      <w:r w:rsidRPr="2971EE76">
        <w:rPr>
          <w:rFonts w:ascii="Open Sans" w:eastAsia="Arial" w:hAnsi="Open Sans" w:cs="Open Sans"/>
          <w:b/>
          <w:bCs/>
          <w:sz w:val="22"/>
          <w:szCs w:val="22"/>
        </w:rPr>
        <w:t xml:space="preserve">6.  </w:t>
      </w:r>
      <w:r w:rsidRPr="0019423E">
        <w:rPr>
          <w:rFonts w:ascii="Open Sans" w:eastAsia="Arial" w:hAnsi="Open Sans" w:cs="Open Sans"/>
          <w:sz w:val="22"/>
          <w:szCs w:val="22"/>
        </w:rPr>
        <w:t xml:space="preserve">Where financial education does already reach pupils, it tends to stop just before it matters most. Functional Skills Maths and GCSE Maths – including the resits around 175,000 students are required to take each year under the post-16 “condition of funding” policy – both teach financial arithmetic (interest, tax, budgeting), but neither </w:t>
      </w:r>
      <w:r w:rsidRPr="0019423E">
        <w:rPr>
          <w:rFonts w:ascii="Open Sans" w:eastAsia="Arial" w:hAnsi="Open Sans" w:cs="Open Sans"/>
          <w:sz w:val="22"/>
          <w:szCs w:val="22"/>
        </w:rPr>
        <w:t>covers</w:t>
      </w:r>
      <w:r>
        <w:rPr>
          <w:rFonts w:ascii="Open Sans" w:eastAsia="Arial" w:hAnsi="Open Sans" w:cs="Open Sans"/>
          <w:sz w:val="22"/>
          <w:szCs w:val="22"/>
        </w:rPr>
        <w:t xml:space="preserve"> practical implementation like</w:t>
      </w:r>
      <w:r w:rsidRPr="0019423E">
        <w:rPr>
          <w:rFonts w:ascii="Open Sans" w:eastAsia="Arial" w:hAnsi="Open Sans" w:cs="Open Sans"/>
          <w:sz w:val="22"/>
          <w:szCs w:val="22"/>
        </w:rPr>
        <w:t xml:space="preserve"> payslip literacy, credit, debt or digital banking safety. A-level Maths, the single most widely taken Level 3 subject, has no financial </w:t>
      </w:r>
      <w:r w:rsidRPr="0019423E">
        <w:rPr>
          <w:rFonts w:ascii="Open Sans" w:eastAsia="Arial" w:hAnsi="Open Sans" w:cs="Open Sans"/>
          <w:sz w:val="22"/>
          <w:szCs w:val="22"/>
        </w:rPr>
        <w:t>content at all. Core Maths and BTEC Business's personal finance unit</w:t>
      </w:r>
      <w:r>
        <w:rPr>
          <w:rFonts w:ascii="Open Sans" w:eastAsia="Arial" w:hAnsi="Open Sans" w:cs="Open Sans"/>
          <w:sz w:val="22"/>
          <w:szCs w:val="22"/>
        </w:rPr>
        <w:t>s</w:t>
      </w:r>
      <w:r w:rsidRPr="0019423E">
        <w:rPr>
          <w:rFonts w:ascii="Open Sans" w:eastAsia="Arial" w:hAnsi="Open Sans" w:cs="Open Sans"/>
          <w:sz w:val="22"/>
          <w:szCs w:val="22"/>
        </w:rPr>
        <w:t xml:space="preserve"> go further, covering payslip tax, student loans, mortgages and borrowing versus saving – but both are optional and reach only a fraction of students. The T Level in Finance is vocational training for finance careers, not personal financial literacy. This gap sits directly across the transition the White Paper's own post-16 reforms are designed to support.</w:t>
      </w:r>
    </w:p>
    <w:p w:rsidR="00773163" w:rsidRPr="00B66FFF" w:rsidP="2971EE76">
      <w:pPr>
        <w:spacing w:after="200" w:line="276" w:lineRule="auto"/>
        <w:rPr>
          <w:rFonts w:ascii="Open Sans" w:hAnsi="Open Sans" w:cs="Open Sans"/>
        </w:rPr>
      </w:pPr>
      <w:r w:rsidRPr="2971EE76">
        <w:rPr>
          <w:rFonts w:ascii="Open Sans" w:eastAsia="Arial" w:hAnsi="Open Sans" w:cs="Open Sans"/>
          <w:b/>
          <w:bCs/>
          <w:sz w:val="22"/>
          <w:szCs w:val="22"/>
        </w:rPr>
        <w:t xml:space="preserve">7.  </w:t>
      </w:r>
      <w:r>
        <w:rPr>
          <w:rFonts w:ascii="Open Sans" w:hAnsi="Open Sans"/>
          <w:sz w:val="22"/>
        </w:rPr>
        <w:t>This is not only a gap in existing qualifications; it could also be where the Review's own new 16+ reforms fall short. The Curriculum and Assessment Review's remit ran all the way to Key Stage 5, and it has already reshaped 16-19 provision directly: new V-Levels at Level 3, and new Occupational and Further Study pathways at Level 2, confirmed in the Government's March 2026 transition plan and now being rolled out route by route. However, its financial literacy recommendation, as far as we can see, sits spec</w:t>
      </w:r>
      <w:r>
        <w:rPr>
          <w:rFonts w:ascii="Open Sans" w:hAnsi="Open Sans"/>
          <w:sz w:val="22"/>
        </w:rPr>
        <w:t>ifically within primary and Key Stages 3 and 4. We can find no equivalent commitment carrying that content into these new 16-19 qualification reforms. This Committee's predecessor inquiry reached the same conclusion in May 2024, finding that “it is post-16 students who currently miss out on any form of compulsory financial education”. This is a gap we flagged in our evidence to that inquiry in December 2023, and one the Curriculum and Assessment Review has since left unresolved. Several live processes are m</w:t>
      </w:r>
      <w:r>
        <w:rPr>
          <w:rFonts w:ascii="Open Sans" w:hAnsi="Open Sans"/>
          <w:sz w:val="22"/>
        </w:rPr>
        <w:t>oving in parallel right now that all touch this gap – this White Paper, the Review's implementation, Alan Milburn's review of young people and work, and the National Youth Strategy – which is exactly why we think this is the moment to act. Post-16 financial education and literacy must not remain unaddressed or under-prioritised at this critical transition point for young people.</w:t>
      </w:r>
    </w:p>
    <w:p w:rsidR="00773163" w:rsidP="2971EE76">
      <w:pPr>
        <w:spacing w:after="200" w:line="276" w:lineRule="auto"/>
      </w:pPr>
      <w:r w:rsidRPr="2971EE76">
        <w:rPr>
          <w:rFonts w:ascii="Open Sans" w:eastAsia="Arial" w:hAnsi="Open Sans" w:cs="Open Sans"/>
          <w:b/>
          <w:bCs/>
          <w:sz w:val="22"/>
          <w:szCs w:val="22"/>
        </w:rPr>
        <w:t xml:space="preserve">8.  </w:t>
      </w:r>
      <w:r w:rsidRPr="2971EE76">
        <w:rPr>
          <w:rFonts w:ascii="Open Sans" w:eastAsia="Arial" w:hAnsi="Open Sans" w:cs="Open Sans"/>
          <w:sz w:val="22"/>
          <w:szCs w:val="22"/>
        </w:rPr>
        <w:t>Th</w:t>
      </w:r>
      <w:r w:rsidRPr="2971EE76">
        <w:rPr>
          <w:rFonts w:ascii="Open Sans" w:eastAsia="Arial" w:hAnsi="Open Sans" w:cs="Open Sans"/>
          <w:sz w:val="22"/>
          <w:szCs w:val="22"/>
        </w:rPr>
        <w:t>is</w:t>
      </w:r>
      <w:r w:rsidRPr="2971EE76">
        <w:rPr>
          <w:rFonts w:ascii="Open Sans" w:eastAsia="Arial" w:hAnsi="Open Sans" w:cs="Open Sans"/>
          <w:sz w:val="22"/>
          <w:szCs w:val="22"/>
        </w:rPr>
        <w:t xml:space="preserve"> </w:t>
      </w:r>
      <w:r w:rsidRPr="2971EE76">
        <w:rPr>
          <w:rFonts w:ascii="Open Sans" w:eastAsia="Arial" w:hAnsi="Open Sans" w:cs="Open Sans"/>
          <w:sz w:val="22"/>
          <w:szCs w:val="22"/>
        </w:rPr>
        <w:t>transition</w:t>
      </w:r>
      <w:r w:rsidRPr="2971EE76">
        <w:rPr>
          <w:rFonts w:ascii="Open Sans" w:eastAsia="Arial" w:hAnsi="Open Sans" w:cs="Open Sans"/>
          <w:sz w:val="22"/>
          <w:szCs w:val="22"/>
        </w:rPr>
        <w:t xml:space="preserve"> is where we think the Committee's inquiry should focus. The White Paper's post-16 provisions – new ‘V Levels’ alongside A levels and T Levels, </w:t>
      </w:r>
      <w:r>
        <w:rPr>
          <w:rFonts w:ascii="Open Sans" w:eastAsia="Arial" w:hAnsi="Open Sans" w:cs="Open Sans"/>
          <w:sz w:val="22"/>
          <w:szCs w:val="22"/>
        </w:rPr>
        <w:t xml:space="preserve">new </w:t>
      </w:r>
      <w:r>
        <w:rPr>
          <w:rFonts w:ascii="Open Sans" w:hAnsi="Open Sans"/>
          <w:sz w:val="22"/>
        </w:rPr>
        <w:t>Occupational and Further Study pathways at Level 2</w:t>
      </w:r>
      <w:r w:rsidRPr="2971EE76">
        <w:rPr>
          <w:rFonts w:ascii="Open Sans" w:eastAsia="Arial" w:hAnsi="Open Sans" w:cs="Open Sans"/>
          <w:sz w:val="22"/>
          <w:szCs w:val="22"/>
        </w:rPr>
        <w:t>, and automatic post-16 college or FE placement for pupils at risk of NEET – are all measures to help young people into work. They sit alongside the Prime Minister's announcement of new technical education pathways for 14-year-olds, combining skills training, work experience and employer links. Both build on the interim report of the independent review into young people and work, led by Alan Milburn and commissioned jointly by the Departments for Work and Pensions, Education, and Health and Social Care (pub</w:t>
      </w:r>
      <w:r w:rsidRPr="2971EE76">
        <w:rPr>
          <w:rFonts w:ascii="Open Sans" w:eastAsia="Arial" w:hAnsi="Open Sans" w:cs="Open Sans"/>
          <w:sz w:val="22"/>
          <w:szCs w:val="22"/>
        </w:rPr>
        <w:t xml:space="preserve">lished 28 May 2026, most recently updated 13 July 2026). That report </w:t>
      </w:r>
      <w:r w:rsidRPr="2971EE76">
        <w:rPr>
          <w:rFonts w:ascii="Open Sans" w:eastAsia="Open Sans" w:hAnsi="Open Sans" w:cs="Open Sans"/>
          <w:sz w:val="22"/>
          <w:szCs w:val="22"/>
        </w:rPr>
        <w:t>warns Britain risks 'a lost generation'; the latest ONS figures show 1,012,000 young people aged 16 to 24 were NEET in the first quarter of 2026 – the first time that figure has passed one million since 2013, and one the review forecasts could rise to 1.25 million within five years without reform.</w:t>
      </w:r>
      <w:r w:rsidRPr="2971EE76">
        <w:rPr>
          <w:rFonts w:ascii="Open Sans" w:eastAsia="Arial" w:hAnsi="Open Sans" w:cs="Open Sans"/>
          <w:sz w:val="22"/>
          <w:szCs w:val="22"/>
        </w:rPr>
        <w:t xml:space="preserve"> </w:t>
      </w:r>
      <w:r w:rsidRPr="2971EE76">
        <w:rPr>
          <w:rFonts w:ascii="Open Sans" w:eastAsia="Arial" w:hAnsi="Open Sans" w:cs="Open Sans"/>
          <w:sz w:val="22"/>
          <w:szCs w:val="22"/>
        </w:rPr>
        <w:t>W</w:t>
      </w:r>
      <w:r w:rsidRPr="2971EE76">
        <w:rPr>
          <w:rFonts w:ascii="Open Sans" w:eastAsia="Arial" w:hAnsi="Open Sans" w:cs="Open Sans"/>
          <w:sz w:val="22"/>
          <w:szCs w:val="22"/>
        </w:rPr>
        <w:t xml:space="preserve">e think there is a genuine opportunity </w:t>
      </w:r>
      <w:r w:rsidRPr="2971EE76">
        <w:rPr>
          <w:rFonts w:ascii="Open Sans" w:eastAsia="Arial" w:hAnsi="Open Sans" w:cs="Open Sans"/>
          <w:sz w:val="22"/>
          <w:szCs w:val="22"/>
        </w:rPr>
        <w:t>for change now.</w:t>
      </w:r>
    </w:p>
    <w:p w:rsidR="00773163" w:rsidRPr="00B7472F">
      <w:pPr>
        <w:spacing w:after="200" w:line="276" w:lineRule="auto"/>
        <w:rPr>
          <w:rFonts w:ascii="Open Sans" w:eastAsia="Arial" w:hAnsi="Open Sans" w:cs="Open Sans"/>
          <w:sz w:val="22"/>
          <w:szCs w:val="22"/>
        </w:rPr>
      </w:pPr>
      <w:r w:rsidRPr="29CED0E1">
        <w:rPr>
          <w:rFonts w:ascii="Open Sans" w:eastAsia="Arial" w:hAnsi="Open Sans" w:cs="Open Sans"/>
          <w:b/>
          <w:bCs/>
          <w:sz w:val="22"/>
          <w:szCs w:val="22"/>
        </w:rPr>
        <w:t xml:space="preserve">9.  </w:t>
      </w:r>
      <w:r w:rsidRPr="29CED0E1">
        <w:rPr>
          <w:rFonts w:ascii="Open Sans" w:eastAsia="Arial" w:hAnsi="Open Sans" w:cs="Open Sans"/>
          <w:sz w:val="22"/>
          <w:szCs w:val="22"/>
        </w:rPr>
        <w:t xml:space="preserve">The Milburn </w:t>
      </w:r>
      <w:r w:rsidRPr="29CED0E1">
        <w:rPr>
          <w:rFonts w:ascii="Open Sans" w:eastAsia="Arial" w:hAnsi="Open Sans" w:cs="Open Sans"/>
          <w:sz w:val="22"/>
          <w:szCs w:val="22"/>
        </w:rPr>
        <w:t>R</w:t>
      </w:r>
      <w:r w:rsidRPr="29CED0E1">
        <w:rPr>
          <w:rFonts w:ascii="Open Sans" w:eastAsia="Arial" w:hAnsi="Open Sans" w:cs="Open Sans"/>
          <w:sz w:val="22"/>
          <w:szCs w:val="22"/>
        </w:rPr>
        <w:t xml:space="preserve">eview's own evidence supports this. In testimony gathered directly from NEET young people for that review, school leavers said they had not been prepared for practical skills including “budgeting, managing taxes, job searches and interviewing,” and two-thirds (67%) said the curriculum had failed to prepare them for work at all. </w:t>
      </w:r>
      <w:r>
        <w:rPr>
          <w:rFonts w:ascii="Open Sans" w:eastAsia="Arial" w:hAnsi="Open Sans" w:cs="Open Sans"/>
          <w:sz w:val="22"/>
          <w:szCs w:val="22"/>
        </w:rPr>
        <w:t>We also heard from o</w:t>
      </w:r>
      <w:r w:rsidRPr="00B7472F">
        <w:rPr>
          <w:rFonts w:ascii="Open Sans" w:eastAsia="Arial" w:hAnsi="Open Sans" w:cs="Open Sans"/>
          <w:sz w:val="22"/>
          <w:szCs w:val="22"/>
        </w:rPr>
        <w:t xml:space="preserve">ne young person who took part in a </w:t>
      </w:r>
      <w:r>
        <w:rPr>
          <w:rFonts w:ascii="Open Sans" w:eastAsia="Arial" w:hAnsi="Open Sans" w:cs="Open Sans"/>
          <w:sz w:val="22"/>
          <w:szCs w:val="22"/>
        </w:rPr>
        <w:t xml:space="preserve">recent </w:t>
      </w:r>
      <w:r w:rsidRPr="00B7472F">
        <w:rPr>
          <w:rFonts w:ascii="Open Sans" w:eastAsia="Arial" w:hAnsi="Open Sans" w:cs="Open Sans"/>
          <w:sz w:val="22"/>
          <w:szCs w:val="22"/>
        </w:rPr>
        <w:t>Money Ready session</w:t>
      </w:r>
      <w:r>
        <w:rPr>
          <w:rFonts w:ascii="Open Sans" w:eastAsia="Arial" w:hAnsi="Open Sans" w:cs="Open Sans"/>
          <w:sz w:val="22"/>
          <w:szCs w:val="22"/>
        </w:rPr>
        <w:t>, who</w:t>
      </w:r>
      <w:r w:rsidRPr="00B7472F">
        <w:rPr>
          <w:rFonts w:ascii="Open Sans" w:eastAsia="Arial" w:hAnsi="Open Sans" w:cs="Open Sans"/>
          <w:sz w:val="22"/>
          <w:szCs w:val="22"/>
        </w:rPr>
        <w:t xml:space="preserve"> said that “what surprised me most was the salary” – she had never known about minimum wages before the lesson. She said she “didn't know a lot about money” beforehand and found it “very concerning” that school doesn't teach young people how to manage their own finances. </w:t>
      </w:r>
      <w:r w:rsidRPr="29CED0E1">
        <w:rPr>
          <w:rFonts w:ascii="Open Sans" w:eastAsia="Arial" w:hAnsi="Open Sans" w:cs="Open Sans"/>
          <w:sz w:val="22"/>
          <w:szCs w:val="22"/>
        </w:rPr>
        <w:t>This is direct evidence, from young people themselves, that the essential skills gap the Committee is examining under “raising attainment” includes financial skills specifically, not just employability skills in general.</w:t>
      </w:r>
    </w:p>
    <w:p w:rsidR="00773163" w:rsidRPr="00B66FFF" w:rsidP="29CED0E1">
      <w:pPr>
        <w:spacing w:after="200" w:line="276" w:lineRule="auto"/>
        <w:rPr>
          <w:rFonts w:ascii="Open Sans" w:hAnsi="Open Sans" w:cs="Open Sans"/>
        </w:rPr>
      </w:pPr>
      <w:r w:rsidRPr="29CED0E1">
        <w:rPr>
          <w:rFonts w:ascii="Open Sans" w:eastAsia="Arial" w:hAnsi="Open Sans" w:cs="Open Sans"/>
          <w:b/>
          <w:bCs/>
          <w:sz w:val="22"/>
          <w:szCs w:val="22"/>
        </w:rPr>
        <w:t xml:space="preserve">10.  </w:t>
      </w:r>
      <w:r w:rsidRPr="29CED0E1">
        <w:rPr>
          <w:rFonts w:ascii="Open Sans" w:eastAsia="Arial" w:hAnsi="Open Sans" w:cs="Open Sans"/>
          <w:sz w:val="22"/>
          <w:szCs w:val="22"/>
        </w:rPr>
        <w:t xml:space="preserve">A pathway that prepares young people for work without preparing them to </w:t>
      </w:r>
      <w:r w:rsidRPr="29CED0E1">
        <w:rPr>
          <w:rFonts w:ascii="Open Sans" w:eastAsia="Arial" w:hAnsi="Open Sans" w:cs="Open Sans"/>
          <w:sz w:val="22"/>
          <w:szCs w:val="22"/>
        </w:rPr>
        <w:t>ne</w:t>
      </w:r>
      <w:r w:rsidRPr="29CED0E1">
        <w:rPr>
          <w:rFonts w:ascii="Open Sans" w:eastAsia="Arial" w:hAnsi="Open Sans" w:cs="Open Sans"/>
          <w:sz w:val="22"/>
          <w:szCs w:val="22"/>
        </w:rPr>
        <w:t>g</w:t>
      </w:r>
      <w:r w:rsidRPr="29CED0E1">
        <w:rPr>
          <w:rFonts w:ascii="Open Sans" w:eastAsia="Arial" w:hAnsi="Open Sans" w:cs="Open Sans"/>
          <w:sz w:val="22"/>
          <w:szCs w:val="22"/>
        </w:rPr>
        <w:t>otiat</w:t>
      </w:r>
      <w:r w:rsidRPr="29CED0E1">
        <w:rPr>
          <w:rFonts w:ascii="Open Sans" w:eastAsia="Arial" w:hAnsi="Open Sans" w:cs="Open Sans"/>
          <w:sz w:val="22"/>
          <w:szCs w:val="22"/>
        </w:rPr>
        <w:t xml:space="preserve">e the </w:t>
      </w:r>
      <w:r w:rsidRPr="29CED0E1">
        <w:rPr>
          <w:rFonts w:ascii="Open Sans" w:eastAsia="Arial" w:hAnsi="Open Sans" w:cs="Open Sans"/>
          <w:sz w:val="22"/>
          <w:szCs w:val="22"/>
        </w:rPr>
        <w:t>earnings and money</w:t>
      </w:r>
      <w:r w:rsidRPr="29CED0E1">
        <w:rPr>
          <w:rFonts w:ascii="Open Sans" w:eastAsia="Arial" w:hAnsi="Open Sans" w:cs="Open Sans"/>
          <w:sz w:val="22"/>
          <w:szCs w:val="22"/>
        </w:rPr>
        <w:t>-</w:t>
      </w:r>
      <w:r w:rsidRPr="29CED0E1">
        <w:rPr>
          <w:rFonts w:ascii="Open Sans" w:eastAsia="Arial" w:hAnsi="Open Sans" w:cs="Open Sans"/>
          <w:sz w:val="22"/>
          <w:szCs w:val="22"/>
        </w:rPr>
        <w:t>management needs</w:t>
      </w:r>
      <w:r w:rsidRPr="29CED0E1">
        <w:rPr>
          <w:rFonts w:ascii="Open Sans" w:eastAsia="Arial" w:hAnsi="Open Sans" w:cs="Open Sans"/>
          <w:sz w:val="22"/>
          <w:szCs w:val="22"/>
        </w:rPr>
        <w:t xml:space="preserve"> that come with it addresses only half the transition. Young people entering these new technical and vocational routes will encounter payslips, pensions, tax and workplace benefits, and often their first experience of independent budgeting and housing costs</w:t>
      </w:r>
      <w:r w:rsidRPr="29CED0E1">
        <w:rPr>
          <w:rFonts w:ascii="Open Sans" w:eastAsia="Arial" w:hAnsi="Open Sans" w:cs="Open Sans"/>
          <w:sz w:val="22"/>
          <w:szCs w:val="22"/>
        </w:rPr>
        <w:t xml:space="preserve">. </w:t>
      </w:r>
      <w:r w:rsidRPr="29CED0E1">
        <w:rPr>
          <w:rFonts w:ascii="Open Sans" w:eastAsia="Arial" w:hAnsi="Open Sans" w:cs="Open Sans"/>
          <w:sz w:val="22"/>
          <w:szCs w:val="22"/>
        </w:rPr>
        <w:t>We recommend the Committee ask government to confirm that financial education will be built into these new pathways by design, rather than added afterwards.</w:t>
      </w:r>
    </w:p>
    <w:p w:rsidR="00773163" w:rsidRPr="00B66FFF" w:rsidP="2971EE76">
      <w:pPr>
        <w:spacing w:after="200" w:line="276" w:lineRule="auto"/>
        <w:rPr>
          <w:rFonts w:ascii="Open Sans" w:hAnsi="Open Sans" w:cs="Open Sans"/>
        </w:rPr>
      </w:pPr>
      <w:r w:rsidRPr="2971EE76">
        <w:rPr>
          <w:rFonts w:ascii="Open Sans" w:eastAsia="Arial" w:hAnsi="Open Sans" w:cs="Open Sans"/>
          <w:b/>
          <w:bCs/>
          <w:sz w:val="22"/>
          <w:szCs w:val="22"/>
        </w:rPr>
        <w:t xml:space="preserve">11.  </w:t>
      </w:r>
      <w:r w:rsidRPr="2971EE76">
        <w:rPr>
          <w:rFonts w:ascii="Open Sans" w:eastAsia="Arial" w:hAnsi="Open Sans" w:cs="Open Sans"/>
          <w:sz w:val="22"/>
          <w:szCs w:val="22"/>
        </w:rPr>
        <w:t xml:space="preserve">Curriculum content is </w:t>
      </w:r>
      <w:r w:rsidRPr="2971EE76">
        <w:rPr>
          <w:rFonts w:ascii="Open Sans" w:eastAsia="Arial" w:hAnsi="Open Sans" w:cs="Open Sans"/>
          <w:sz w:val="22"/>
          <w:szCs w:val="22"/>
        </w:rPr>
        <w:t xml:space="preserve">also </w:t>
      </w:r>
      <w:r w:rsidRPr="2971EE76">
        <w:rPr>
          <w:rFonts w:ascii="Open Sans" w:eastAsia="Arial" w:hAnsi="Open Sans" w:cs="Open Sans"/>
          <w:sz w:val="22"/>
          <w:szCs w:val="22"/>
        </w:rPr>
        <w:t xml:space="preserve">only half the answer; </w:t>
      </w:r>
      <w:r>
        <w:rPr>
          <w:rFonts w:ascii="Open Sans" w:eastAsia="Arial" w:hAnsi="Open Sans" w:cs="Open Sans"/>
          <w:sz w:val="22"/>
          <w:szCs w:val="22"/>
        </w:rPr>
        <w:t>assessment</w:t>
      </w:r>
      <w:r w:rsidRPr="2971EE76">
        <w:rPr>
          <w:rFonts w:ascii="Open Sans" w:eastAsia="Arial" w:hAnsi="Open Sans" w:cs="Open Sans"/>
          <w:sz w:val="22"/>
          <w:szCs w:val="22"/>
        </w:rPr>
        <w:t xml:space="preserve"> </w:t>
      </w:r>
      <w:r w:rsidRPr="2971EE76">
        <w:rPr>
          <w:rFonts w:ascii="Open Sans" w:eastAsia="Arial" w:hAnsi="Open Sans" w:cs="Open Sans"/>
          <w:sz w:val="22"/>
          <w:szCs w:val="22"/>
        </w:rPr>
        <w:t xml:space="preserve">is the other. The Curriculum and Assessment Review's Final Report is considerably clearer on what financial education should contain than on how it will be </w:t>
      </w:r>
      <w:r w:rsidRPr="2971EE76">
        <w:rPr>
          <w:rFonts w:ascii="Open Sans" w:eastAsia="Arial" w:hAnsi="Open Sans" w:cs="Open Sans"/>
          <w:sz w:val="22"/>
          <w:szCs w:val="22"/>
        </w:rPr>
        <w:t>measured</w:t>
      </w:r>
      <w:r w:rsidRPr="2971EE76">
        <w:rPr>
          <w:rFonts w:ascii="Open Sans" w:eastAsia="Arial" w:hAnsi="Open Sans" w:cs="Open Sans"/>
          <w:sz w:val="22"/>
          <w:szCs w:val="22"/>
        </w:rPr>
        <w:t xml:space="preserve">, and the evidence above shows why that matters: in every nation we have examined, curriculum inclusion without a distinct, trackable assessment measure has coincided with weak reach in practice. We recommend the Committee ask government how it intends to </w:t>
      </w:r>
      <w:r w:rsidRPr="2971EE76">
        <w:rPr>
          <w:rFonts w:ascii="Open Sans" w:eastAsia="Arial" w:hAnsi="Open Sans" w:cs="Open Sans"/>
          <w:sz w:val="22"/>
          <w:szCs w:val="22"/>
        </w:rPr>
        <w:t xml:space="preserve">measure improved </w:t>
      </w:r>
      <w:r w:rsidRPr="2971EE76">
        <w:rPr>
          <w:rFonts w:ascii="Open Sans" w:eastAsia="Arial" w:hAnsi="Open Sans" w:cs="Open Sans"/>
          <w:sz w:val="22"/>
          <w:szCs w:val="22"/>
        </w:rPr>
        <w:t>financial education under the refreshed curriculum</w:t>
      </w:r>
      <w:r w:rsidRPr="2971EE76">
        <w:rPr>
          <w:rFonts w:ascii="Open Sans" w:eastAsia="Arial" w:hAnsi="Open Sans" w:cs="Open Sans"/>
          <w:sz w:val="22"/>
          <w:szCs w:val="22"/>
        </w:rPr>
        <w:t>.</w:t>
      </w:r>
    </w:p>
    <w:p w:rsidR="00773163" w:rsidRPr="00B66FFF">
      <w:pPr>
        <w:spacing w:after="200" w:line="276" w:lineRule="auto"/>
        <w:rPr>
          <w:rFonts w:ascii="Open Sans" w:hAnsi="Open Sans" w:cs="Open Sans"/>
        </w:rPr>
      </w:pPr>
      <w:r w:rsidRPr="2971EE76">
        <w:rPr>
          <w:rFonts w:ascii="Open Sans" w:eastAsia="Arial" w:hAnsi="Open Sans" w:cs="Open Sans"/>
          <w:b/>
          <w:bCs/>
          <w:sz w:val="22"/>
          <w:szCs w:val="22"/>
        </w:rPr>
        <w:t xml:space="preserve">12.  </w:t>
      </w:r>
      <w:r w:rsidRPr="2971EE76">
        <w:rPr>
          <w:rFonts w:ascii="Open Sans" w:eastAsia="Arial" w:hAnsi="Open Sans" w:cs="Open Sans"/>
          <w:sz w:val="22"/>
          <w:szCs w:val="22"/>
        </w:rPr>
        <w:t>We also recommend the Committee revisit its own predecessor's call for the UK to apply to take part in the OECD's PISA financial literacy assessment, made in 2024 and not yet acted on. That report already rejected the government's argument that participation in PISA's maths component is sufficient on its own, since mathematics and financial literacy performance do not always correlate. The next assessment is scheduled for 2029</w:t>
      </w:r>
      <w:r w:rsidRPr="2971EE76">
        <w:rPr>
          <w:rFonts w:ascii="Open Sans" w:eastAsia="Arial" w:hAnsi="Open Sans" w:cs="Open Sans"/>
          <w:sz w:val="22"/>
          <w:szCs w:val="22"/>
        </w:rPr>
        <w:t>.</w:t>
      </w:r>
      <w:r w:rsidRPr="2971EE76">
        <w:rPr>
          <w:rFonts w:ascii="Open Sans" w:eastAsia="Arial" w:hAnsi="Open Sans" w:cs="Open Sans"/>
          <w:sz w:val="22"/>
          <w:szCs w:val="22"/>
        </w:rPr>
        <w:t xml:space="preserve"> International benchmarking would give government, schools and this Committee a consistent measure of whether curriculum reform is actually working.</w:t>
      </w:r>
    </w:p>
    <w:p w:rsidR="00773163" w:rsidRPr="00B66FFF">
      <w:pPr>
        <w:spacing w:after="200" w:line="276" w:lineRule="auto"/>
        <w:rPr>
          <w:rFonts w:ascii="Open Sans" w:hAnsi="Open Sans" w:cs="Open Sans"/>
        </w:rPr>
      </w:pPr>
      <w:r w:rsidRPr="2971EE76">
        <w:rPr>
          <w:rFonts w:ascii="Open Sans" w:eastAsia="Arial" w:hAnsi="Open Sans" w:cs="Open Sans"/>
          <w:b/>
          <w:bCs/>
          <w:sz w:val="22"/>
          <w:szCs w:val="22"/>
        </w:rPr>
        <w:t xml:space="preserve">13.  </w:t>
      </w:r>
      <w:r w:rsidRPr="2971EE76">
        <w:rPr>
          <w:rFonts w:ascii="Open Sans" w:eastAsia="Arial" w:hAnsi="Open Sans" w:cs="Open Sans"/>
          <w:sz w:val="22"/>
          <w:szCs w:val="22"/>
        </w:rPr>
        <w:t xml:space="preserve">The economic case for closing this gap is direct. Our Cost of Not Knowing </w:t>
      </w:r>
      <w:r>
        <w:fldChar w:fldCharType="begin"/>
      </w:r>
      <w:r>
        <w:instrText xml:space="preserve"> HYPERLINK "https://moneyready.org/wp-content/uploads/2025/12/Money-Ready-Cost-of-Not-Knowing-Report-Jan-2026.pdf" </w:instrText>
      </w:r>
      <w:r>
        <w:fldChar w:fldCharType="separate"/>
      </w:r>
      <w:r w:rsidRPr="2971EE76">
        <w:rPr>
          <w:rStyle w:val="Hyperlink"/>
          <w:rFonts w:ascii="Open Sans" w:eastAsia="Arial" w:hAnsi="Open Sans" w:cs="Open Sans"/>
          <w:sz w:val="22"/>
          <w:szCs w:val="22"/>
        </w:rPr>
        <w:t>research</w:t>
      </w:r>
      <w:r>
        <w:fldChar w:fldCharType="end"/>
      </w:r>
      <w:r w:rsidRPr="2971EE76">
        <w:rPr>
          <w:rFonts w:ascii="Open Sans" w:eastAsia="Arial" w:hAnsi="Open Sans" w:cs="Open Sans"/>
          <w:sz w:val="22"/>
          <w:szCs w:val="22"/>
        </w:rPr>
        <w:t xml:space="preserve"> (January 2026, a nationally representative survey of 3,000 UK adults conducted with Censuswide) found the average UK adult lost over £640 in the past year through delayed or mismanaged financial decisions, and that adults report first learning about credit at age 24, mortgages at 26 and investments at 28 – years after leaving school. Seventy-four per cent of adults believe schools should provide more financial education, </w:t>
      </w:r>
      <w:r w:rsidRPr="2971EE76">
        <w:rPr>
          <w:rFonts w:ascii="Open Sans" w:eastAsia="Arial" w:hAnsi="Open Sans" w:cs="Open Sans"/>
          <w:sz w:val="22"/>
          <w:szCs w:val="22"/>
        </w:rPr>
        <w:t xml:space="preserve">and 71% want government to do more. Financial confidence and financial hardship are </w:t>
      </w:r>
      <w:r w:rsidRPr="2971EE76">
        <w:rPr>
          <w:rFonts w:ascii="Open Sans" w:eastAsia="Arial" w:hAnsi="Open Sans" w:cs="Open Sans"/>
          <w:sz w:val="22"/>
          <w:szCs w:val="22"/>
        </w:rPr>
        <w:t>not side issues to the attainment and NEET agenda; they are part of what keeps young people engaged, or disengaged, in the years the White Paper is trying to reach.</w:t>
      </w:r>
    </w:p>
    <w:p w:rsidR="00773163" w:rsidRPr="00B66FFF">
      <w:pPr>
        <w:pStyle w:val="Heading1"/>
        <w:spacing w:before="300" w:after="160"/>
        <w:rPr>
          <w:rFonts w:ascii="Open Sans" w:hAnsi="Open Sans" w:cs="Open Sans"/>
        </w:rPr>
      </w:pPr>
      <w:r w:rsidRPr="00B66FFF">
        <w:rPr>
          <w:rFonts w:ascii="Open Sans" w:eastAsia="Arial" w:hAnsi="Open Sans" w:cs="Open Sans"/>
          <w:b/>
          <w:bCs/>
          <w:color w:val="8F0425"/>
          <w:sz w:val="26"/>
          <w:szCs w:val="26"/>
        </w:rPr>
        <w:t>Wider government policy: alignment with the National Youth Strategy</w:t>
      </w:r>
    </w:p>
    <w:p w:rsidR="00773163" w:rsidRPr="00515E08" w:rsidP="2971EE76">
      <w:pPr>
        <w:spacing w:after="200" w:line="276" w:lineRule="auto"/>
        <w:rPr>
          <w:rFonts w:ascii="Open Sans" w:eastAsia="Arial" w:hAnsi="Open Sans" w:cs="Open Sans"/>
          <w:sz w:val="22"/>
          <w:szCs w:val="22"/>
        </w:rPr>
      </w:pPr>
      <w:r w:rsidRPr="2971EE76">
        <w:rPr>
          <w:rFonts w:ascii="Open Sans" w:eastAsia="Arial" w:hAnsi="Open Sans" w:cs="Open Sans"/>
          <w:b/>
          <w:bCs/>
          <w:sz w:val="22"/>
          <w:szCs w:val="22"/>
        </w:rPr>
        <w:t>1</w:t>
      </w:r>
      <w:r w:rsidRPr="2971EE76">
        <w:rPr>
          <w:rFonts w:ascii="Open Sans" w:eastAsia="Arial" w:hAnsi="Open Sans" w:cs="Open Sans"/>
          <w:b/>
          <w:bCs/>
          <w:sz w:val="22"/>
          <w:szCs w:val="22"/>
        </w:rPr>
        <w:t>4</w:t>
      </w:r>
      <w:r w:rsidRPr="2971EE76">
        <w:rPr>
          <w:rFonts w:ascii="Open Sans" w:eastAsia="Arial" w:hAnsi="Open Sans" w:cs="Open Sans"/>
          <w:b/>
          <w:bCs/>
          <w:sz w:val="22"/>
          <w:szCs w:val="22"/>
        </w:rPr>
        <w:t xml:space="preserve">.  </w:t>
      </w:r>
      <w:r w:rsidRPr="00515E08">
        <w:rPr>
          <w:rFonts w:ascii="Open Sans" w:eastAsia="Arial" w:hAnsi="Open Sans" w:cs="Open Sans"/>
          <w:sz w:val="22"/>
          <w:szCs w:val="22"/>
        </w:rPr>
        <w:t>The National Youth Strategy, published by DCMS in December 2025, found that young people "do not feel prepared for the realities of life outside of education" and want more support to develop practical life skills, including financial literacy. The Strategy's own delivery table shows this is not a separate DCMS commitment: it tracks the same DfE commitment as the White Paper – making citizenship compulsory at key stages 1 and 2 and strengthening secondary citizenship content, so that pupils are introduced t</w:t>
      </w:r>
      <w:r w:rsidRPr="00515E08">
        <w:rPr>
          <w:rFonts w:ascii="Open Sans" w:eastAsia="Arial" w:hAnsi="Open Sans" w:cs="Open Sans"/>
          <w:sz w:val="22"/>
          <w:szCs w:val="22"/>
        </w:rPr>
        <w:t>o financial literacy, media literacy and civic education from an early age – within DCMS's cross-government accountability framework, with DfE listed as the lead department.</w:t>
      </w:r>
    </w:p>
    <w:p w:rsidR="00773163" w:rsidRPr="00B66FFF">
      <w:pPr>
        <w:spacing w:after="200" w:line="276" w:lineRule="auto"/>
        <w:rPr>
          <w:rFonts w:ascii="Open Sans" w:hAnsi="Open Sans" w:cs="Open Sans"/>
        </w:rPr>
      </w:pPr>
      <w:r w:rsidRPr="00B66FFF">
        <w:rPr>
          <w:rFonts w:ascii="Open Sans" w:eastAsia="Arial" w:hAnsi="Open Sans" w:cs="Open Sans"/>
          <w:b/>
          <w:bCs/>
          <w:sz w:val="22"/>
          <w:szCs w:val="22"/>
        </w:rPr>
        <w:t>1</w:t>
      </w:r>
      <w:r>
        <w:rPr>
          <w:rFonts w:ascii="Open Sans" w:eastAsia="Arial" w:hAnsi="Open Sans" w:cs="Open Sans"/>
          <w:b/>
          <w:bCs/>
          <w:sz w:val="22"/>
          <w:szCs w:val="22"/>
        </w:rPr>
        <w:t>5</w:t>
      </w:r>
      <w:r w:rsidRPr="00B66FFF">
        <w:rPr>
          <w:rFonts w:ascii="Open Sans" w:eastAsia="Arial" w:hAnsi="Open Sans" w:cs="Open Sans"/>
          <w:b/>
          <w:bCs/>
          <w:sz w:val="22"/>
          <w:szCs w:val="22"/>
        </w:rPr>
        <w:t xml:space="preserve">.  </w:t>
      </w:r>
      <w:r w:rsidRPr="00B66FFF">
        <w:rPr>
          <w:rFonts w:ascii="Open Sans" w:eastAsia="Arial" w:hAnsi="Open Sans" w:cs="Open Sans"/>
          <w:sz w:val="22"/>
          <w:szCs w:val="22"/>
        </w:rPr>
        <w:t>That still matters for the Committee, though for a different reason than parallel policies converging. It means one commitment is now accountable through two separate mechanisms: DfE's own curriculum timeline, and the National Youth Strategy's youth-led annual hearings and 2027 interim delivery report. Neither visibly owns the post-16 gap this submission raises. We recommend the Committee ask government which mechanism is responsible for tracking financial education delivery past Key Stage 4, and how that w</w:t>
      </w:r>
      <w:r w:rsidRPr="00B66FFF">
        <w:rPr>
          <w:rFonts w:ascii="Open Sans" w:eastAsia="Arial" w:hAnsi="Open Sans" w:cs="Open Sans"/>
          <w:sz w:val="22"/>
          <w:szCs w:val="22"/>
        </w:rPr>
        <w:t>ill be reported to Parliament.</w:t>
      </w:r>
    </w:p>
    <w:p w:rsidR="00773163" w:rsidRPr="00B66FFF">
      <w:pPr>
        <w:spacing w:after="200" w:line="276" w:lineRule="auto"/>
        <w:rPr>
          <w:rFonts w:ascii="Open Sans" w:hAnsi="Open Sans" w:cs="Open Sans"/>
        </w:rPr>
      </w:pPr>
      <w:r w:rsidRPr="00B66FFF">
        <w:rPr>
          <w:rFonts w:ascii="Open Sans" w:eastAsia="Arial" w:hAnsi="Open Sans" w:cs="Open Sans"/>
          <w:b/>
          <w:bCs/>
          <w:sz w:val="22"/>
          <w:szCs w:val="22"/>
        </w:rPr>
        <w:t>1</w:t>
      </w:r>
      <w:r>
        <w:rPr>
          <w:rFonts w:ascii="Open Sans" w:eastAsia="Arial" w:hAnsi="Open Sans" w:cs="Open Sans"/>
          <w:b/>
          <w:bCs/>
          <w:sz w:val="22"/>
          <w:szCs w:val="22"/>
        </w:rPr>
        <w:t>6</w:t>
      </w:r>
      <w:r w:rsidRPr="00B66FFF">
        <w:rPr>
          <w:rFonts w:ascii="Open Sans" w:eastAsia="Arial" w:hAnsi="Open Sans" w:cs="Open Sans"/>
          <w:b/>
          <w:bCs/>
          <w:sz w:val="22"/>
          <w:szCs w:val="22"/>
        </w:rPr>
        <w:t xml:space="preserve">.  </w:t>
      </w:r>
      <w:r w:rsidRPr="00B66FFF">
        <w:rPr>
          <w:rFonts w:ascii="Open Sans" w:eastAsia="Arial" w:hAnsi="Open Sans" w:cs="Open Sans"/>
          <w:sz w:val="22"/>
          <w:szCs w:val="22"/>
        </w:rPr>
        <w:t>The National Youth Strategy also commits to lowering the voting age to 16 for all elections. Earlier civic responsibility strengthens, rather than weakens, the case for earlier and more consistent financial education: young people who can vote, work part-time, or enter apprenticeships and technical pathways from age 14–16 are taking on real financial and civic decisions</w:t>
      </w:r>
      <w:r>
        <w:rPr>
          <w:rFonts w:ascii="Open Sans" w:eastAsia="Arial" w:hAnsi="Open Sans" w:cs="Open Sans"/>
          <w:sz w:val="22"/>
          <w:szCs w:val="22"/>
        </w:rPr>
        <w:t xml:space="preserve">. </w:t>
      </w:r>
      <w:r w:rsidRPr="00B66FFF">
        <w:rPr>
          <w:rFonts w:ascii="Open Sans" w:eastAsia="Arial" w:hAnsi="Open Sans" w:cs="Open Sans"/>
          <w:sz w:val="22"/>
          <w:szCs w:val="22"/>
        </w:rPr>
        <w:t>We think this is a relevant, and under-explored, part of the “wider government policy” question in the Committee's terms of reference.</w:t>
      </w:r>
    </w:p>
    <w:p w:rsidR="00773163" w:rsidRPr="00B66FFF">
      <w:pPr>
        <w:pStyle w:val="Heading1"/>
        <w:spacing w:before="300" w:after="160"/>
        <w:rPr>
          <w:rFonts w:ascii="Open Sans" w:hAnsi="Open Sans" w:cs="Open Sans"/>
        </w:rPr>
      </w:pPr>
      <w:r w:rsidRPr="00B66FFF">
        <w:rPr>
          <w:rFonts w:ascii="Open Sans" w:eastAsia="Arial" w:hAnsi="Open Sans" w:cs="Open Sans"/>
          <w:b/>
          <w:bCs/>
          <w:color w:val="8F0425"/>
          <w:sz w:val="26"/>
          <w:szCs w:val="26"/>
        </w:rPr>
        <w:t>Concluding remarks</w:t>
      </w:r>
    </w:p>
    <w:p w:rsidR="00773163">
      <w:pPr>
        <w:spacing w:after="200" w:line="276" w:lineRule="auto"/>
        <w:rPr>
          <w:rFonts w:ascii="Open Sans" w:eastAsia="Arial" w:hAnsi="Open Sans" w:cs="Open Sans"/>
          <w:sz w:val="22"/>
          <w:szCs w:val="22"/>
        </w:rPr>
      </w:pPr>
      <w:r w:rsidRPr="29CED0E1">
        <w:rPr>
          <w:rFonts w:ascii="Open Sans" w:eastAsia="Arial" w:hAnsi="Open Sans" w:cs="Open Sans"/>
          <w:b/>
          <w:bCs/>
          <w:sz w:val="22"/>
          <w:szCs w:val="22"/>
        </w:rPr>
        <w:t>1</w:t>
      </w:r>
      <w:r w:rsidRPr="29CED0E1">
        <w:rPr>
          <w:rFonts w:ascii="Open Sans" w:eastAsia="Arial" w:hAnsi="Open Sans" w:cs="Open Sans"/>
          <w:b/>
          <w:bCs/>
          <w:sz w:val="22"/>
          <w:szCs w:val="22"/>
        </w:rPr>
        <w:t>7</w:t>
      </w:r>
      <w:r w:rsidRPr="29CED0E1">
        <w:rPr>
          <w:rFonts w:ascii="Open Sans" w:eastAsia="Arial" w:hAnsi="Open Sans" w:cs="Open Sans"/>
          <w:b/>
          <w:bCs/>
          <w:sz w:val="22"/>
          <w:szCs w:val="22"/>
        </w:rPr>
        <w:t xml:space="preserve">.  </w:t>
      </w:r>
      <w:r w:rsidRPr="00C04AAF">
        <w:rPr>
          <w:rFonts w:ascii="Open Sans" w:eastAsia="Arial" w:hAnsi="Open Sans" w:cs="Open Sans"/>
          <w:sz w:val="22"/>
          <w:szCs w:val="22"/>
        </w:rPr>
        <w:t>Financial literacy can and should be a key driver supporting young people into adulthood and the world of work, but this means it cannot stop at 16.</w:t>
      </w:r>
      <w:r>
        <w:rPr>
          <w:rFonts w:ascii="Open Sans" w:eastAsia="Arial" w:hAnsi="Open Sans" w:cs="Open Sans"/>
          <w:sz w:val="22"/>
          <w:szCs w:val="22"/>
        </w:rPr>
        <w:t xml:space="preserve"> </w:t>
      </w:r>
      <w:r w:rsidRPr="29CED0E1">
        <w:rPr>
          <w:rFonts w:ascii="Open Sans" w:eastAsia="Arial" w:hAnsi="Open Sans" w:cs="Open Sans"/>
          <w:sz w:val="22"/>
          <w:szCs w:val="22"/>
        </w:rPr>
        <w:t>Money Ready would welcome the opportunity to give oral evidence to the Committee, and to share further detail from our prior submissions, our Cost of Not Knowing research, or our forthcoming study on financial literacy</w:t>
      </w:r>
      <w:r>
        <w:rPr>
          <w:rFonts w:ascii="Open Sans" w:eastAsia="Arial" w:hAnsi="Open Sans" w:cs="Open Sans"/>
          <w:sz w:val="22"/>
          <w:szCs w:val="22"/>
        </w:rPr>
        <w:t xml:space="preserve"> </w:t>
      </w:r>
      <w:r w:rsidRPr="29CED0E1">
        <w:rPr>
          <w:rFonts w:ascii="Open Sans" w:eastAsia="Arial" w:hAnsi="Open Sans" w:cs="Open Sans"/>
          <w:sz w:val="22"/>
          <w:szCs w:val="22"/>
        </w:rPr>
        <w:t xml:space="preserve">and housing insecurity among young people, which we expect to publish </w:t>
      </w:r>
      <w:r>
        <w:rPr>
          <w:rFonts w:ascii="Open Sans" w:eastAsia="Arial" w:hAnsi="Open Sans" w:cs="Open Sans"/>
          <w:sz w:val="22"/>
          <w:szCs w:val="22"/>
        </w:rPr>
        <w:t xml:space="preserve">in October 2026. </w:t>
      </w:r>
      <w:r w:rsidRPr="29CED0E1">
        <w:rPr>
          <w:rFonts w:ascii="Open Sans" w:eastAsia="Arial" w:hAnsi="Open Sans" w:cs="Open Sans"/>
          <w:sz w:val="22"/>
          <w:szCs w:val="22"/>
        </w:rPr>
        <w:t xml:space="preserve"> </w:t>
      </w:r>
    </w:p>
    <w:p w:rsidR="00D04321" w:rsidRPr="00D04321">
      <w:pPr>
        <w:spacing w:after="200" w:line="276" w:lineRule="auto"/>
        <w:rPr>
          <w:rFonts w:ascii="Open Sans" w:hAnsi="Open Sans" w:cs="Open Sans"/>
          <w:i/>
          <w:iCs/>
        </w:rPr>
      </w:pPr>
      <w:r w:rsidRPr="00D04321">
        <w:rPr>
          <w:rFonts w:ascii="Open Sans" w:eastAsia="Arial" w:hAnsi="Open Sans" w:cs="Open Sans"/>
          <w:i/>
          <w:iCs/>
          <w:sz w:val="22"/>
          <w:szCs w:val="22"/>
        </w:rPr>
        <w:t>September 2026</w:t>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A60D41"/>
    <w:multiLevelType w:val="hybridMultilevel"/>
    <w:tmpl w:val="473E778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A56340B1109D4ABEFD8FCB08D3AC13" ma:contentTypeVersion="28" ma:contentTypeDescription="Create a new document." ma:contentTypeScope="" ma:versionID="5876d4ffaf360fe3e83d03633dcf212d">
  <xsd:schema xmlns:xsd="http://www.w3.org/2001/XMLSchema" xmlns:xs="http://www.w3.org/2001/XMLSchema" xmlns:p="http://schemas.microsoft.com/office/2006/metadata/properties" xmlns:ns1="http://schemas.microsoft.com/sharepoint/v3" xmlns:ns2="9f65441b-ac65-413a-b9ea-951460e3cb54" xmlns:ns3="c710c3e3-7f9d-4a4d-ac51-7fe0e51f0353" targetNamespace="http://schemas.microsoft.com/office/2006/metadata/properties" ma:root="true" ma:fieldsID="9f9366113b5a052ae1916306da9254c9" ns1:_="" ns2:_="" ns3:_="">
    <xsd:import namespace="http://schemas.microsoft.com/sharepoint/v3"/>
    <xsd:import namespace="9f65441b-ac65-413a-b9ea-951460e3cb54"/>
    <xsd:import namespace="c710c3e3-7f9d-4a4d-ac51-7fe0e51f03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Date" minOccurs="0"/>
                <xsd:element ref="ns2:MediaServiceSearchProperties" minOccurs="0"/>
                <xsd:element ref="ns2:Dateandtime" minOccurs="0"/>
                <xsd:element ref="ns2:MediaServiceObjectDetectorVersions" minOccurs="0"/>
                <xsd:element ref="ns2:Documentsadded_x003f_" minOccurs="0"/>
                <xsd:element ref="ns2:MediaServiceBillingMetadata" minOccurs="0"/>
                <xsd:element ref="ns1:_ip_UnifiedCompliancePolicyProperties" minOccurs="0"/>
                <xsd:element ref="ns1:_ip_UnifiedCompliancePolicyUIAction" minOccurs="0"/>
                <xsd:element ref="ns2:Marcommsconsent" minOccurs="0"/>
                <xsd:element ref="ns2:lcf76f155ced4ddcb4097134ff3c332f" minOccurs="0"/>
                <xsd:element ref="ns2:MarcommsConsent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65441b-ac65-413a-b9ea-951460e3cb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Date" ma:index="22" nillable="true" ma:displayName="Date" ma:format="DateOnly" ma:internalName="Dat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default="[today]" ma:format="DateTime" ma:internalName="Dateand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Documentsadded_x003f_" ma:index="26" nillable="true" ma:displayName="Documents added?" ma:default="0" ma:format="Dropdown" ma:internalName="Documentsadded_x003f_">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arcommsconsent" ma:index="30" nillable="true" ma:displayName="Marcomms consent " ma:default="No" ma:description="Does this image have marcomms consent form from all people included" ma:format="Dropdown" ma:internalName="Marcommsconsent">
      <xsd:simpleType>
        <xsd:restriction base="dms:Choice">
          <xsd:enumeration value="Yes"/>
          <xsd:enumeration value="No"/>
          <xsd:enumeration value="Choice 3"/>
        </xsd:restrictio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026f17b2-821c-4a16-b58b-b47168983a4f" ma:termSetId="09814cd3-568e-fe90-9814-8d621ff8fb84" ma:anchorId="fba54fb3-c3e1-fe81-a776-ca4b69148c4d" ma:open="true" ma:isKeyword="false">
      <xsd:complexType>
        <xsd:sequence>
          <xsd:element ref="pc:Terms" minOccurs="0" maxOccurs="1"/>
        </xsd:sequence>
      </xsd:complexType>
    </xsd:element>
    <xsd:element name="MarcommsConsent0" ma:index="33" nillable="true" ma:displayName="Marcomms Consent " ma:format="Dropdown" ma:internalName="MarcommsConsent0">
      <xsd:simpleType>
        <xsd:restriction base="dms:Choice">
          <xsd:enumeration value="Yes"/>
          <xsd:enumeration value="No"/>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c710c3e3-7f9d-4a4d-ac51-7fe0e51f035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b6b1e06-5fc4-48bc-9dac-f33e96684fc7}" ma:internalName="TaxCatchAll" ma:showField="CatchAllData" ma:web="c710c3e3-7f9d-4a4d-ac51-7fe0e51f03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f65441b-ac65-413a-b9ea-951460e3cb54">2026-07-30T11:02:04+00:00</Dateandtime>
    <_ip_UnifiedCompliancePolicyUIAction xmlns="http://schemas.microsoft.com/sharepoint/v3" xsi:nil="true"/>
    <Date xmlns="9f65441b-ac65-413a-b9ea-951460e3cb54" xsi:nil="true"/>
    <lcf76f155ced4ddcb4097134ff3c332f xmlns="9f65441b-ac65-413a-b9ea-951460e3cb54">
      <Terms xmlns="http://schemas.microsoft.com/office/infopath/2007/PartnerControls"/>
    </lcf76f155ced4ddcb4097134ff3c332f>
    <TaxCatchAll xmlns="c710c3e3-7f9d-4a4d-ac51-7fe0e51f0353" xsi:nil="true"/>
    <_ip_UnifiedCompliancePolicyProperties xmlns="http://schemas.microsoft.com/sharepoint/v3" xsi:nil="true"/>
    <Marcommsconsent xmlns="9f65441b-ac65-413a-b9ea-951460e3cb54">No</Marcommsconsent>
    <Documentsadded_x003f_ xmlns="9f65441b-ac65-413a-b9ea-951460e3cb54">false</Documentsadded_x003f_>
    <MarcommsConsent0 xmlns="9f65441b-ac65-413a-b9ea-951460e3cb54" xsi:nil="true"/>
  </documentManagement>
</p:properties>
</file>

<file path=customXml/itemProps1.xml><?xml version="1.0" encoding="utf-8"?>
<ds:datastoreItem xmlns:ds="http://schemas.openxmlformats.org/officeDocument/2006/customXml" ds:itemID="{88FDB203-9CD6-47C4-A5AA-75D66804D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65441b-ac65-413a-b9ea-951460e3cb54"/>
    <ds:schemaRef ds:uri="c710c3e3-7f9d-4a4d-ac51-7fe0e51f03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1204F-104E-4879-8029-C68DC8D58C5B}">
  <ds:schemaRefs>
    <ds:schemaRef ds:uri="http://schemas.microsoft.com/sharepoint/v3/contenttype/forms"/>
  </ds:schemaRefs>
</ds:datastoreItem>
</file>

<file path=customXml/itemProps3.xml><?xml version="1.0" encoding="utf-8"?>
<ds:datastoreItem xmlns:ds="http://schemas.openxmlformats.org/officeDocument/2006/customXml" ds:itemID="{CA9157C0-1C67-4814-A4EB-5D27F01F979A}">
  <ds:schemaRefs>
    <ds:schemaRef ds:uri="http://schemas.microsoft.com/office/2006/metadata/properties"/>
    <ds:schemaRef ds:uri="http://schemas.microsoft.com/office/infopath/2007/PartnerControls"/>
    <ds:schemaRef ds:uri="9f65441b-ac65-413a-b9ea-951460e3cb54"/>
    <ds:schemaRef ds:uri="http://schemas.microsoft.com/sharepoint/v3"/>
    <ds:schemaRef ds:uri="c710c3e3-7f9d-4a4d-ac51-7fe0e51f0353"/>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ECA0148</dc:title>
  <cp:revision>0</cp:revision>
</cp:coreProperties>
</file>