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90BB9" w:rsidP="00C90BB9">
      <w:pPr>
        <w:spacing w:after="0"/>
        <w:jc w:val="center"/>
        <w:rPr>
          <w:rFonts w:ascii="Arial" w:eastAsia="Arial" w:hAnsi="Arial" w:cs="Arial"/>
          <w:b/>
          <w:bCs/>
          <w:color w:val="000000" w:themeColor="text1"/>
          <w:sz w:val="20"/>
          <w:szCs w:val="20"/>
        </w:rPr>
      </w:pPr>
      <w:r>
        <w:rPr>
          <w:rFonts w:ascii="Arial" w:eastAsia="Arial" w:hAnsi="Arial" w:cs="Arial"/>
          <w:b/>
          <w:bCs/>
          <w:color w:val="000000" w:themeColor="text1"/>
          <w:sz w:val="20"/>
          <w:szCs w:val="20"/>
        </w:rPr>
        <w:t xml:space="preserve">Written evidence by </w:t>
      </w:r>
      <w:r w:rsidRPr="00C90BB9">
        <w:rPr>
          <w:rFonts w:ascii="Arial" w:eastAsia="Arial" w:hAnsi="Arial" w:cs="Arial"/>
          <w:b/>
          <w:bCs/>
          <w:color w:val="000000" w:themeColor="text1"/>
          <w:sz w:val="20"/>
          <w:szCs w:val="20"/>
        </w:rPr>
        <w:t>British Association for Neonatal Neurodevelopmental Follow-up (BANNFU)</w:t>
      </w:r>
      <w:r>
        <w:rPr>
          <w:rFonts w:ascii="Arial" w:eastAsia="Arial" w:hAnsi="Arial" w:cs="Arial"/>
          <w:b/>
          <w:bCs/>
          <w:color w:val="000000" w:themeColor="text1"/>
          <w:sz w:val="20"/>
          <w:szCs w:val="20"/>
        </w:rPr>
        <w:t xml:space="preserve"> (ECA0146)</w:t>
      </w:r>
    </w:p>
    <w:p w:rsidR="00C90BB9" w:rsidP="000173C6">
      <w:pPr>
        <w:spacing w:after="0"/>
        <w:rPr>
          <w:rFonts w:ascii="Arial" w:eastAsia="Arial" w:hAnsi="Arial" w:cs="Arial"/>
          <w:b/>
          <w:bCs/>
          <w:color w:val="000000" w:themeColor="text1"/>
          <w:sz w:val="20"/>
          <w:szCs w:val="20"/>
        </w:rPr>
      </w:pPr>
    </w:p>
    <w:p w:rsidR="002A21C9" w:rsidRPr="004A2C9A" w:rsidP="000173C6">
      <w:pPr>
        <w:spacing w:after="0"/>
        <w:rPr>
          <w:rFonts w:ascii="Arial" w:eastAsia="Arial" w:hAnsi="Arial" w:cs="Arial"/>
          <w:color w:val="000000" w:themeColor="text1"/>
          <w:sz w:val="20"/>
          <w:szCs w:val="20"/>
        </w:rPr>
      </w:pPr>
      <w:r w:rsidRPr="004A2C9A">
        <w:rPr>
          <w:rFonts w:ascii="Arial" w:eastAsia="Arial" w:hAnsi="Arial" w:cs="Arial"/>
          <w:b/>
          <w:bCs/>
          <w:color w:val="000000" w:themeColor="text1"/>
          <w:sz w:val="20"/>
          <w:szCs w:val="20"/>
        </w:rPr>
        <w:t>Written evidence submission</w:t>
      </w:r>
      <w:r w:rsidRPr="004A2C9A">
        <w:rPr>
          <w:rFonts w:ascii="Arial" w:eastAsia="Arial" w:hAnsi="Arial" w:cs="Arial"/>
          <w:color w:val="000000" w:themeColor="text1"/>
          <w:sz w:val="20"/>
          <w:szCs w:val="20"/>
        </w:rPr>
        <w:t>: House of Commons Education Committee</w:t>
      </w:r>
    </w:p>
    <w:p w:rsidR="002A21C9" w:rsidRPr="004A2C9A" w:rsidP="000173C6">
      <w:pPr>
        <w:spacing w:after="0"/>
        <w:rPr>
          <w:rFonts w:ascii="Arial" w:eastAsia="Arial" w:hAnsi="Arial" w:cs="Arial"/>
          <w:color w:val="000000" w:themeColor="text1"/>
          <w:sz w:val="20"/>
          <w:szCs w:val="20"/>
        </w:rPr>
      </w:pPr>
      <w:r w:rsidRPr="004A2C9A">
        <w:rPr>
          <w:rFonts w:ascii="Arial" w:eastAsia="Arial" w:hAnsi="Arial" w:cs="Arial"/>
          <w:b/>
          <w:bCs/>
          <w:color w:val="000000" w:themeColor="text1"/>
          <w:sz w:val="20"/>
          <w:szCs w:val="20"/>
        </w:rPr>
        <w:t>Inquiry:</w:t>
      </w:r>
      <w:r w:rsidRPr="004A2C9A">
        <w:rPr>
          <w:rFonts w:ascii="Arial" w:eastAsia="Arial" w:hAnsi="Arial" w:cs="Arial"/>
          <w:color w:val="000000" w:themeColor="text1"/>
          <w:sz w:val="20"/>
          <w:szCs w:val="20"/>
        </w:rPr>
        <w:t xml:space="preserve"> 'Every Child Achieving and Thriving' White Paper</w:t>
      </w:r>
    </w:p>
    <w:p w:rsidR="002A21C9" w:rsidRPr="004A2C9A" w:rsidP="000173C6">
      <w:pPr>
        <w:spacing w:after="0"/>
        <w:rPr>
          <w:rFonts w:ascii="Arial" w:eastAsia="Arial" w:hAnsi="Arial" w:cs="Arial"/>
          <w:color w:val="000000" w:themeColor="text1"/>
          <w:sz w:val="20"/>
          <w:szCs w:val="20"/>
        </w:rPr>
      </w:pPr>
    </w:p>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Submission from the British Association for Neonatal Neurodevelopmental Follow-up (BANNFU)</w:t>
      </w:r>
    </w:p>
    <w:p w:rsidR="002A21C9" w:rsidP="000173C6">
      <w:pPr>
        <w:spacing w:after="0"/>
        <w:rPr>
          <w:rFonts w:ascii="Arial" w:eastAsia="Arial" w:hAnsi="Arial" w:cs="Arial"/>
          <w:color w:val="000000" w:themeColor="text1"/>
          <w:sz w:val="20"/>
          <w:szCs w:val="20"/>
        </w:rPr>
      </w:pPr>
    </w:p>
    <w:p w:rsidR="002A21C9" w:rsidRPr="004A2C9A" w:rsidP="000173C6">
      <w:pPr>
        <w:spacing w:after="0"/>
        <w:rPr>
          <w:rFonts w:ascii="Arial" w:eastAsia="Arial" w:hAnsi="Arial" w:cs="Arial"/>
          <w:color w:val="000000" w:themeColor="text1"/>
          <w:sz w:val="20"/>
          <w:szCs w:val="20"/>
        </w:rPr>
      </w:pPr>
    </w:p>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 xml:space="preserve">1. About BANNFU </w:t>
      </w: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The British Association for Neonatal Neurodevelopmental Follow-up (BANNFU) is a multidisciplinary Special Interest Group of the British Association of Perinatal Medicine. Our membership includes neonatologists, community and neurodisability paediatricians, advanced neonatal nurse practitioners, speech and language therapists, occupational therapists, physiotherapists, dietitians, psychologists, teachers, and parents and carers of children who have had neonatal care</w:t>
      </w:r>
      <w:r w:rsidRPr="004A2C9A">
        <w:rPr>
          <w:rStyle w:val="Hyperlink"/>
          <w:rFonts w:ascii="Arial" w:hAnsi="Arial" w:cs="Arial"/>
          <w:color w:val="000000" w:themeColor="text1"/>
          <w:sz w:val="20"/>
          <w:szCs w:val="20"/>
        </w:rPr>
        <w:t xml:space="preserve">, </w:t>
      </w:r>
      <w:r w:rsidRPr="004A2C9A">
        <w:rPr>
          <w:rStyle w:val="normaltextrun"/>
          <w:rFonts w:ascii="Arial" w:hAnsi="Arial" w:cs="Arial"/>
          <w:color w:val="000000" w:themeColor="text1"/>
          <w:sz w:val="20"/>
          <w:szCs w:val="20"/>
        </w:rPr>
        <w:t>and adults who have received neonatal care as newborns.</w:t>
      </w:r>
      <w:r w:rsidRPr="004A2C9A">
        <w:rPr>
          <w:rFonts w:ascii="Arial" w:eastAsia="Arial" w:hAnsi="Arial" w:cs="Arial"/>
          <w:color w:val="000000" w:themeColor="text1"/>
          <w:sz w:val="20"/>
          <w:szCs w:val="20"/>
        </w:rPr>
        <w:t xml:space="preserve"> Our purpose is to improve the long-term outcomes of babies who have received neonatal care by disseminating best practice, supporting developmental follow-up, and advocating for better connections between health and education services.</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This submission focuses on children born preterm and children who have had neonatal encephalopathy</w:t>
      </w:r>
      <w:r w:rsidRPr="004A2C9A">
        <w:rPr>
          <w:rFonts w:ascii="Arial" w:eastAsia="Arial" w:hAnsi="Arial" w:cs="Arial"/>
          <w:color w:val="000000" w:themeColor="text1"/>
          <w:sz w:val="20"/>
          <w:szCs w:val="20"/>
        </w:rPr>
        <w:t>.</w:t>
      </w:r>
      <w:r w:rsidRPr="004A2C9A">
        <w:rPr>
          <w:rFonts w:ascii="Arial" w:hAnsi="Arial" w:cs="Arial"/>
          <w:color w:val="000000" w:themeColor="text1"/>
          <w:sz w:val="20"/>
          <w:szCs w:val="20"/>
        </w:rPr>
        <w:t xml:space="preserve"> </w:t>
      </w:r>
      <w:r w:rsidRPr="004A2C9A">
        <w:rPr>
          <w:rFonts w:ascii="Arial" w:eastAsia="Arial" w:hAnsi="Arial" w:cs="Arial"/>
          <w:color w:val="000000" w:themeColor="text1"/>
          <w:sz w:val="20"/>
          <w:szCs w:val="20"/>
        </w:rPr>
        <w:t>These clinically identifiable groups are at increased likelihood of poorer educational outcomes, yet many children are not recognised or appropriately supported within education until difficulties have become established. We believe this represents an important opportunity for education and health services to work more proactively together to improve children's educational experiences and outcomes.</w:t>
      </w:r>
    </w:p>
    <w:p w:rsidR="002A21C9" w:rsidRPr="004A2C9A" w:rsidP="000173C6">
      <w:pPr>
        <w:spacing w:after="0" w:line="240" w:lineRule="auto"/>
        <w:rPr>
          <w:rFonts w:ascii="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Our recommendations draw on our recently published best practice guide, “Developmental follow-up, surveillance, and support at the age of four years” (BANNFU, 2026), which we reference throughout.</w:t>
      </w:r>
      <w:r w:rsidRPr="004A2C9A">
        <w:rPr>
          <w:rFonts w:ascii="Arial" w:eastAsia="Arial" w:hAnsi="Arial" w:cs="Arial"/>
          <w:color w:val="000000" w:themeColor="text1"/>
          <w:sz w:val="20"/>
          <w:szCs w:val="20"/>
        </w:rPr>
        <w:t xml:space="preserve"> BANNFU are currently working on best practice guidelines regarding follow-up, surveillance, and early intervention between neonatal unit discharge and two years of age, which will further aim to enable every child to achieve and thrive.</w:t>
      </w:r>
    </w:p>
    <w:p w:rsidR="002A21C9"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2. Summary of recommendations</w:t>
      </w:r>
    </w:p>
    <w:p w:rsidR="002A21C9" w:rsidRPr="004A2C9A" w:rsidP="000173C6">
      <w:pPr>
        <w:pStyle w:val="ListParagraph"/>
        <w:numPr>
          <w:ilvl w:val="0"/>
          <w:numId w:val="1"/>
        </w:numPr>
        <w:spacing w:after="0" w:line="276" w:lineRule="auto"/>
        <w:ind w:left="470" w:hanging="260"/>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Schools should systematically collect data on neonatal risk history (including gestational age at birth and history of neonatal encephalopathy) as children enter school, so that need can be identified proactively rather than reactively. </w:t>
      </w:r>
    </w:p>
    <w:p w:rsidR="002A21C9" w:rsidRPr="004A2C9A" w:rsidP="000173C6">
      <w:pPr>
        <w:pStyle w:val="ListParagraph"/>
        <w:numPr>
          <w:ilvl w:val="0"/>
          <w:numId w:val="1"/>
        </w:numPr>
        <w:spacing w:after="0" w:line="276" w:lineRule="auto"/>
        <w:ind w:left="470" w:hanging="260"/>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Early, proactive conversations between health, families and education settings </w:t>
      </w:r>
      <w:r w:rsidRPr="004A2C9A">
        <w:rPr>
          <w:rFonts w:ascii="Arial" w:eastAsia="Arial" w:hAnsi="Arial" w:cs="Arial"/>
          <w:color w:val="000000" w:themeColor="text1"/>
          <w:sz w:val="20"/>
          <w:szCs w:val="20"/>
        </w:rPr>
        <w:t>-</w:t>
      </w:r>
      <w:r w:rsidRPr="004A2C9A">
        <w:rPr>
          <w:rFonts w:ascii="Arial" w:eastAsia="Arial" w:hAnsi="Arial" w:cs="Arial"/>
          <w:color w:val="000000" w:themeColor="text1"/>
          <w:sz w:val="20"/>
          <w:szCs w:val="20"/>
        </w:rPr>
        <w:t xml:space="preserve"> beginning before or at school entry </w:t>
      </w:r>
      <w:r w:rsidRPr="004A2C9A">
        <w:rPr>
          <w:rFonts w:ascii="Arial" w:eastAsia="Arial" w:hAnsi="Arial" w:cs="Arial"/>
          <w:color w:val="000000" w:themeColor="text1"/>
          <w:sz w:val="20"/>
          <w:szCs w:val="20"/>
        </w:rPr>
        <w:t>-</w:t>
      </w:r>
      <w:r w:rsidRPr="004A2C9A">
        <w:rPr>
          <w:rFonts w:ascii="Arial" w:eastAsia="Arial" w:hAnsi="Arial" w:cs="Arial"/>
          <w:color w:val="000000" w:themeColor="text1"/>
          <w:sz w:val="20"/>
          <w:szCs w:val="20"/>
        </w:rPr>
        <w:t xml:space="preserve"> should be the default, not something that depends on individual parents having the knowledge and confidence to ask for it.</w:t>
      </w:r>
      <w:r w:rsidRPr="004A2C9A">
        <w:rPr>
          <w:rFonts w:ascii="Arial" w:eastAsia="Arial" w:hAnsi="Arial" w:cs="Arial"/>
          <w:color w:val="000000" w:themeColor="text1"/>
          <w:sz w:val="20"/>
          <w:szCs w:val="20"/>
        </w:rPr>
        <w:t xml:space="preserve"> </w:t>
      </w:r>
    </w:p>
    <w:p w:rsidR="002A21C9" w:rsidRPr="00212503" w:rsidP="000173C6">
      <w:pPr>
        <w:pStyle w:val="ListParagraph"/>
        <w:numPr>
          <w:ilvl w:val="0"/>
          <w:numId w:val="1"/>
        </w:numPr>
        <w:spacing w:after="0" w:line="276" w:lineRule="auto"/>
        <w:ind w:left="470" w:hanging="260"/>
        <w:rPr>
          <w:rStyle w:val="normaltextrun"/>
          <w:rFonts w:ascii="Arial" w:eastAsia="Arial" w:hAnsi="Arial" w:cs="Arial"/>
          <w:color w:val="000000" w:themeColor="text1"/>
          <w:sz w:val="20"/>
          <w:szCs w:val="20"/>
        </w:rPr>
      </w:pPr>
      <w:r>
        <w:rPr>
          <w:rStyle w:val="normaltextrun"/>
          <w:rFonts w:ascii="Arial" w:hAnsi="Arial" w:cs="Arial"/>
          <w:sz w:val="20"/>
          <w:szCs w:val="20"/>
        </w:rPr>
        <w:t>Standardised, consent-based</w:t>
      </w:r>
      <w:r w:rsidRPr="004A2C9A">
        <w:rPr>
          <w:rStyle w:val="normaltextrun"/>
          <w:rFonts w:ascii="Arial" w:hAnsi="Arial" w:cs="Arial"/>
          <w:sz w:val="20"/>
          <w:szCs w:val="20"/>
        </w:rPr>
        <w:t xml:space="preserve"> </w:t>
      </w:r>
      <w:r>
        <w:rPr>
          <w:rStyle w:val="normaltextrun"/>
          <w:rFonts w:ascii="Arial" w:hAnsi="Arial" w:cs="Arial"/>
          <w:sz w:val="20"/>
          <w:szCs w:val="20"/>
        </w:rPr>
        <w:t>health-to-education handover should be supported, to share information about children’s strengths and challenges.</w:t>
      </w:r>
    </w:p>
    <w:p w:rsidR="002A21C9" w:rsidRPr="004A2C9A" w:rsidP="000173C6">
      <w:pPr>
        <w:pStyle w:val="ListParagraph"/>
        <w:numPr>
          <w:ilvl w:val="0"/>
          <w:numId w:val="1"/>
        </w:numPr>
        <w:spacing w:after="0" w:line="276" w:lineRule="auto"/>
        <w:ind w:left="470" w:hanging="260"/>
        <w:rPr>
          <w:rFonts w:ascii="Arial" w:eastAsia="Arial" w:hAnsi="Arial" w:cs="Arial"/>
          <w:color w:val="000000" w:themeColor="text1"/>
          <w:sz w:val="20"/>
          <w:szCs w:val="20"/>
        </w:rPr>
      </w:pPr>
      <w:r w:rsidRPr="004A2C9A">
        <w:rPr>
          <w:rStyle w:val="normaltextrun"/>
          <w:rFonts w:ascii="Arial" w:hAnsi="Arial" w:cs="Arial"/>
          <w:sz w:val="20"/>
          <w:szCs w:val="20"/>
        </w:rPr>
        <w:t>Teachers and school staff should be supported to recognise the needs of children born preterm or with neonatal encephalopathy and to adapt teaching and pastoral support for this group, regardless of whether a child is receiving SEN support or has an Education, Health and Care Plan.</w:t>
      </w:r>
      <w:r w:rsidRPr="004A2C9A">
        <w:rPr>
          <w:rStyle w:val="eop"/>
          <w:rFonts w:ascii="Arial" w:hAnsi="Arial" w:cs="Arial"/>
          <w:sz w:val="20"/>
          <w:szCs w:val="20"/>
        </w:rPr>
        <w:t> </w:t>
      </w:r>
    </w:p>
    <w:p w:rsidR="002A21C9" w:rsidRPr="004A2C9A" w:rsidP="000173C6">
      <w:pPr>
        <w:pStyle w:val="ListParagraph"/>
        <w:numPr>
          <w:ilvl w:val="0"/>
          <w:numId w:val="1"/>
        </w:numPr>
        <w:spacing w:after="0" w:line="276" w:lineRule="auto"/>
        <w:ind w:left="470" w:hanging="260"/>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Government should back and promote existing free, evidence-based resources that already do this work at low cost and national scale: PRISM (Preterm Birth Information for Education Professionals) and The Smallest Things' Prem Aware Award. </w:t>
      </w:r>
    </w:p>
    <w:p w:rsidR="002A21C9" w:rsidP="001647B7">
      <w:pPr>
        <w:spacing w:after="0" w:line="276" w:lineRule="auto"/>
        <w:rPr>
          <w:rFonts w:ascii="Arial" w:eastAsia="Arial" w:hAnsi="Arial" w:cs="Arial"/>
          <w:color w:val="000000" w:themeColor="text1"/>
          <w:sz w:val="20"/>
          <w:szCs w:val="20"/>
        </w:rPr>
      </w:pPr>
    </w:p>
    <w:p w:rsidR="002A21C9" w:rsidRPr="001647B7" w:rsidP="001647B7">
      <w:pPr>
        <w:spacing w:after="0" w:line="276" w:lineRule="auto"/>
        <w:rPr>
          <w:rFonts w:ascii="Arial" w:eastAsia="Arial" w:hAnsi="Arial" w:cs="Arial"/>
          <w:color w:val="000000" w:themeColor="text1"/>
          <w:sz w:val="20"/>
          <w:szCs w:val="20"/>
        </w:rPr>
      </w:pPr>
    </w:p>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3. The scale and nature of the problem</w:t>
      </w:r>
      <w:r w:rsidRPr="004A2C9A">
        <w:rPr>
          <w:rFonts w:ascii="Arial" w:eastAsia="Arial" w:hAnsi="Arial" w:cs="Arial"/>
          <w:b/>
          <w:bCs/>
          <w:color w:val="000000" w:themeColor="text1"/>
          <w:sz w:val="20"/>
          <w:szCs w:val="20"/>
        </w:rPr>
        <w:t xml:space="preserve">: </w:t>
      </w:r>
      <w:r w:rsidRPr="004A2C9A">
        <w:rPr>
          <w:rFonts w:ascii="Arial" w:eastAsia="Arial" w:hAnsi="Arial" w:cs="Arial"/>
          <w:b/>
          <w:bCs/>
          <w:color w:val="000000" w:themeColor="text1"/>
          <w:sz w:val="20"/>
          <w:szCs w:val="20"/>
        </w:rPr>
        <w:t>Why this matters for education</w:t>
      </w: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Around 8% of babies born in England and Wales are born preterm (before 37 weeks of pregnancy), and </w:t>
      </w:r>
      <w:r w:rsidRPr="004A2C9A">
        <w:rPr>
          <w:rFonts w:ascii="Arial" w:eastAsia="Arial" w:hAnsi="Arial" w:cs="Arial"/>
          <w:color w:val="000000" w:themeColor="text1"/>
          <w:sz w:val="20"/>
          <w:szCs w:val="20"/>
        </w:rPr>
        <w:t>approximately</w:t>
      </w:r>
      <w:r w:rsidRPr="004A2C9A">
        <w:rPr>
          <w:rFonts w:ascii="Arial" w:eastAsia="Arial" w:hAnsi="Arial" w:cs="Arial"/>
          <w:color w:val="000000" w:themeColor="text1"/>
          <w:sz w:val="20"/>
          <w:szCs w:val="20"/>
        </w:rPr>
        <w:t xml:space="preserve"> 2 per 1,000 live births experience moderate to severe neonatal encephalopathy, </w:t>
      </w:r>
      <w:r w:rsidRPr="004A2C9A">
        <w:rPr>
          <w:rFonts w:ascii="Arial" w:eastAsia="Arial" w:hAnsi="Arial" w:cs="Arial"/>
          <w:color w:val="000000" w:themeColor="text1"/>
          <w:sz w:val="20"/>
          <w:szCs w:val="20"/>
        </w:rPr>
        <w:t>where a lack of oxygen and blood flow in the period around birth can lead to brain injury</w:t>
      </w:r>
      <w:r w:rsidRPr="004A2C9A">
        <w:rPr>
          <w:rFonts w:ascii="Arial" w:eastAsia="Arial" w:hAnsi="Arial" w:cs="Arial"/>
          <w:color w:val="000000" w:themeColor="text1"/>
          <w:sz w:val="20"/>
          <w:szCs w:val="20"/>
        </w:rPr>
        <w:t xml:space="preserve"> (ONS, 2023; NNAP; 2022)</w:t>
      </w:r>
      <w:r w:rsidRPr="004A2C9A">
        <w:rPr>
          <w:rFonts w:ascii="Arial" w:eastAsia="Arial" w:hAnsi="Arial" w:cs="Arial"/>
          <w:color w:val="000000" w:themeColor="text1"/>
          <w:sz w:val="20"/>
          <w:szCs w:val="20"/>
        </w:rPr>
        <w:t xml:space="preserve">. Both groups are at significantly increased </w:t>
      </w:r>
      <w:r w:rsidRPr="004A2C9A">
        <w:rPr>
          <w:rFonts w:ascii="Arial" w:eastAsia="Arial" w:hAnsi="Arial" w:cs="Arial"/>
          <w:color w:val="000000" w:themeColor="text1"/>
          <w:sz w:val="20"/>
          <w:szCs w:val="20"/>
        </w:rPr>
        <w:t xml:space="preserve">likelihood of poorer educational outcomes, even </w:t>
      </w:r>
      <w:r w:rsidRPr="004A2C9A">
        <w:rPr>
          <w:rFonts w:ascii="Arial" w:eastAsia="Arial" w:hAnsi="Arial" w:cs="Arial"/>
          <w:color w:val="000000" w:themeColor="text1"/>
          <w:sz w:val="20"/>
          <w:szCs w:val="20"/>
        </w:rPr>
        <w:t xml:space="preserve">where they do not have a diagnosed condition or require </w:t>
      </w:r>
      <w:r w:rsidRPr="004A2C9A">
        <w:rPr>
          <w:rFonts w:ascii="Arial" w:eastAsia="Arial" w:hAnsi="Arial" w:cs="Arial"/>
          <w:color w:val="000000" w:themeColor="text1"/>
          <w:sz w:val="20"/>
          <w:szCs w:val="20"/>
        </w:rPr>
        <w:t>statutory</w:t>
      </w:r>
      <w:r w:rsidRPr="004A2C9A">
        <w:rPr>
          <w:rFonts w:ascii="Arial" w:eastAsia="Arial" w:hAnsi="Arial" w:cs="Arial"/>
          <w:color w:val="000000" w:themeColor="text1"/>
          <w:sz w:val="20"/>
          <w:szCs w:val="20"/>
        </w:rPr>
        <w:t xml:space="preserve"> educational support</w:t>
      </w:r>
      <w:r w:rsidRPr="004A2C9A">
        <w:rPr>
          <w:rFonts w:ascii="Arial" w:eastAsia="Arial" w:hAnsi="Arial" w:cs="Arial"/>
          <w:color w:val="000000" w:themeColor="text1"/>
          <w:sz w:val="20"/>
          <w:szCs w:val="20"/>
        </w:rPr>
        <w:t xml:space="preserve">. </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Children within these groups may </w:t>
      </w:r>
      <w:r w:rsidRPr="004A2C9A">
        <w:rPr>
          <w:rFonts w:ascii="Arial" w:eastAsia="Arial" w:hAnsi="Arial" w:cs="Arial"/>
          <w:color w:val="000000" w:themeColor="text1"/>
          <w:sz w:val="20"/>
          <w:szCs w:val="20"/>
        </w:rPr>
        <w:t xml:space="preserve">experience subtle developmental differences affecting areas such as attention, executive functioning, processing speed, working memory, emotional regulation and motor coordination. These differences influence how children access learning, participate in the classroom and </w:t>
      </w:r>
      <w:r w:rsidRPr="004A2C9A">
        <w:rPr>
          <w:rFonts w:ascii="Arial" w:eastAsia="Arial" w:hAnsi="Arial" w:cs="Arial"/>
          <w:color w:val="000000" w:themeColor="text1"/>
          <w:sz w:val="20"/>
          <w:szCs w:val="20"/>
        </w:rPr>
        <w:t>respond to increasing academic, social and organisational demands</w:t>
      </w:r>
      <w:r w:rsidRPr="004A2C9A">
        <w:rPr>
          <w:rFonts w:ascii="Arial" w:eastAsia="Arial" w:hAnsi="Arial" w:cs="Arial"/>
          <w:color w:val="000000" w:themeColor="text1"/>
          <w:sz w:val="20"/>
          <w:szCs w:val="20"/>
        </w:rPr>
        <w:t>. Importantly, they are often not fully apparent when children first enter school, with challenges emerging gradually as academic, social and organisational expectations increase.</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Because neonatal history is not routinely recognised within education systems, many children enter school without staff being aware of the </w:t>
      </w:r>
      <w:r w:rsidRPr="004A2C9A">
        <w:rPr>
          <w:rFonts w:ascii="Arial" w:eastAsia="Arial" w:hAnsi="Arial" w:cs="Arial"/>
          <w:color w:val="000000" w:themeColor="text1"/>
          <w:sz w:val="20"/>
          <w:szCs w:val="20"/>
        </w:rPr>
        <w:t>potential implications of their early developmental history</w:t>
      </w:r>
      <w:r w:rsidRPr="004A2C9A">
        <w:rPr>
          <w:rFonts w:ascii="Arial" w:eastAsia="Arial" w:hAnsi="Arial" w:cs="Arial"/>
          <w:color w:val="000000" w:themeColor="text1"/>
          <w:sz w:val="20"/>
          <w:szCs w:val="20"/>
        </w:rPr>
        <w:t xml:space="preserve">. </w:t>
      </w:r>
      <w:r w:rsidRPr="004A2C9A">
        <w:rPr>
          <w:rFonts w:ascii="Arial" w:eastAsia="Arial" w:hAnsi="Arial" w:cs="Arial"/>
          <w:color w:val="000000" w:themeColor="text1"/>
          <w:sz w:val="20"/>
          <w:szCs w:val="20"/>
        </w:rPr>
        <w:t>Opportunities for early recognition, understanding and timely support</w:t>
      </w:r>
      <w:r w:rsidRPr="004A2C9A">
        <w:rPr>
          <w:rFonts w:ascii="Arial" w:eastAsia="Arial" w:hAnsi="Arial" w:cs="Arial"/>
          <w:color w:val="000000" w:themeColor="text1"/>
          <w:sz w:val="20"/>
          <w:szCs w:val="20"/>
        </w:rPr>
        <w:t xml:space="preserve"> may therefore be missed, with difficulties only becoming recognised once they begin to affect educational progress, participation, attendance or wellbeing.</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Unlike many groups at increased likelihood of educational disadvantage, children born preterm and following neonatal encephalopathy are often identifiable before they enter school. This presents a valuable opportunity for education and health services to work proactively together</w:t>
      </w:r>
      <w:r w:rsidRPr="004A2C9A">
        <w:rPr>
          <w:rFonts w:ascii="Arial" w:eastAsia="Arial" w:hAnsi="Arial" w:cs="Arial"/>
          <w:color w:val="000000" w:themeColor="text1"/>
          <w:sz w:val="20"/>
          <w:szCs w:val="20"/>
        </w:rPr>
        <w:t xml:space="preserve"> with children and families</w:t>
      </w:r>
      <w:r w:rsidRPr="004A2C9A">
        <w:rPr>
          <w:rFonts w:ascii="Arial" w:eastAsia="Arial" w:hAnsi="Arial" w:cs="Arial"/>
          <w:color w:val="000000" w:themeColor="text1"/>
          <w:sz w:val="20"/>
          <w:szCs w:val="20"/>
        </w:rPr>
        <w:t>, enabling schools to understand children's developmental profiles before difficulties become established. Earlier recognition, stronger collaboration between health and education, and greater confidence among school staff provide practical, evidence-based opportunities to improve attainment, attendance and participation, strengthen children's sense of belonging, and support more children to achieve and thrive throughout their education.</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For many families, the transition into school represents another significant milestone following neonatal care. </w:t>
      </w:r>
      <w:r w:rsidRPr="004A2C9A">
        <w:rPr>
          <w:rFonts w:ascii="Arial" w:eastAsia="Arial" w:hAnsi="Arial" w:cs="Arial"/>
          <w:color w:val="000000" w:themeColor="text1"/>
          <w:sz w:val="20"/>
          <w:szCs w:val="20"/>
        </w:rPr>
        <w:t>When schools are supported to understand a child's neonatal history from the outset, they are better able to build trusting partnerships with families. This reduces the need for parents to repeatedly explain or advocate for their child's needs and enables them to work alongside education professionals in supporting their child's educational journey.</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Healthcare and wider public-sector costs are considerably higher for children born preterm or with neonatal encephalopathy than for healthy term-born children. These excess costs persist in</w:t>
      </w:r>
      <w:r>
        <w:rPr>
          <w:rFonts w:ascii="Arial" w:eastAsia="Arial" w:hAnsi="Arial" w:cs="Arial"/>
          <w:color w:val="000000" w:themeColor="text1"/>
          <w:sz w:val="20"/>
          <w:szCs w:val="20"/>
        </w:rPr>
        <w:t>t</w:t>
      </w:r>
      <w:r w:rsidRPr="004A2C9A">
        <w:rPr>
          <w:rFonts w:ascii="Arial" w:eastAsia="Arial" w:hAnsi="Arial" w:cs="Arial"/>
          <w:color w:val="000000" w:themeColor="text1"/>
          <w:sz w:val="20"/>
          <w:szCs w:val="20"/>
        </w:rPr>
        <w:t>o childhood and beyond, while early intervention programmes may mitigate such costs by promoting health and neurodevelopment (</w:t>
      </w:r>
      <w:r>
        <w:rPr>
          <w:rFonts w:ascii="Arial" w:eastAsia="Arial" w:hAnsi="Arial" w:cs="Arial"/>
          <w:color w:val="000000" w:themeColor="text1"/>
          <w:sz w:val="20"/>
          <w:szCs w:val="20"/>
        </w:rPr>
        <w:t xml:space="preserve">Petrou et al, 2019; </w:t>
      </w:r>
      <w:r w:rsidRPr="004A2C9A">
        <w:rPr>
          <w:rFonts w:ascii="Arial" w:eastAsia="Arial" w:hAnsi="Arial" w:cs="Arial"/>
          <w:color w:val="000000" w:themeColor="text1"/>
          <w:sz w:val="20"/>
          <w:szCs w:val="20"/>
        </w:rPr>
        <w:t>Puthussery et al, 2018).</w:t>
      </w:r>
    </w:p>
    <w:p w:rsidR="002A21C9"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 xml:space="preserve">4. </w:t>
      </w:r>
      <w:r w:rsidRPr="004A2C9A">
        <w:rPr>
          <w:rFonts w:ascii="Arial" w:eastAsia="Arial" w:hAnsi="Arial" w:cs="Arial"/>
          <w:b/>
          <w:bCs/>
          <w:color w:val="000000" w:themeColor="text1"/>
          <w:sz w:val="20"/>
          <w:szCs w:val="20"/>
        </w:rPr>
        <w:t>Recommendations</w:t>
      </w: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BANNFU recommends that children born preterm and following neonatal encephalopathy are explicitly recognised within national education policy as clinically identifiable groups at increased likelihood of poorer educational outcomes, enabling proactive support rather than waiting for educational difficulties to become established.</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B7321B">
      <w:pPr>
        <w:pStyle w:val="Heading2"/>
        <w:rPr>
          <w:rFonts w:ascii="Arial" w:eastAsia="Arial" w:hAnsi="Arial" w:cs="Arial"/>
          <w:i/>
          <w:iCs/>
          <w:color w:val="000000" w:themeColor="text1"/>
          <w:sz w:val="20"/>
          <w:szCs w:val="20"/>
        </w:rPr>
      </w:pPr>
      <w:r w:rsidRPr="004A2C9A">
        <w:rPr>
          <w:rFonts w:ascii="Arial" w:eastAsia="Arial" w:hAnsi="Arial" w:cs="Arial"/>
          <w:i/>
          <w:iCs/>
          <w:color w:val="000000" w:themeColor="text1"/>
          <w:sz w:val="20"/>
          <w:szCs w:val="20"/>
        </w:rPr>
        <w:t>4.1 Routine recognition of neonatal history</w:t>
      </w: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Schools currently have no consistent way of identifying children born preterm or following neonatal encephalopathy when they enter education. As a result, opportunities to understand children's developmental histories and respond proactively are often missed.</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0173C6">
      <w:pPr>
        <w:pStyle w:val="paragraph"/>
        <w:spacing w:before="0" w:beforeAutospacing="0" w:after="0" w:afterAutospacing="0"/>
        <w:textAlignment w:val="baseline"/>
        <w:rPr>
          <w:rFonts w:ascii="Arial" w:hAnsi="Arial" w:cs="Arial"/>
          <w:color w:val="000000" w:themeColor="text1"/>
          <w:sz w:val="20"/>
          <w:szCs w:val="20"/>
        </w:rPr>
      </w:pPr>
      <w:r w:rsidRPr="004A2C9A">
        <w:rPr>
          <w:rStyle w:val="normaltextrun"/>
          <w:rFonts w:ascii="Arial" w:hAnsi="Arial" w:cs="Arial"/>
          <w:color w:val="000000" w:themeColor="text1"/>
          <w:sz w:val="20"/>
          <w:szCs w:val="20"/>
        </w:rPr>
        <w:t>We recommend that schools routinely collect information about gestational age at birth and any history of neonatal encephalopathy as part of standard admissions and registration processes, in the same way that other basic health and developmental information is gathered. This could also include space for additional neonatal medical challenges to be described, including low birth weight, neonatal stroke, meningitis, major congenital abnormalities, and kernicterus.</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The Smallest Things' “Prem Aware Award” scheme already promotes this practice</w:t>
      </w:r>
      <w:r w:rsidRPr="004A2C9A">
        <w:rPr>
          <w:rFonts w:ascii="Arial" w:eastAsia="Arial" w:hAnsi="Arial" w:cs="Arial"/>
          <w:color w:val="000000" w:themeColor="text1"/>
          <w:sz w:val="20"/>
          <w:szCs w:val="20"/>
        </w:rPr>
        <w:t xml:space="preserve"> for preterm-born children</w:t>
      </w:r>
      <w:r w:rsidRPr="004A2C9A">
        <w:rPr>
          <w:rFonts w:ascii="Arial" w:eastAsia="Arial" w:hAnsi="Arial" w:cs="Arial"/>
          <w:color w:val="000000" w:themeColor="text1"/>
          <w:sz w:val="20"/>
          <w:szCs w:val="20"/>
        </w:rPr>
        <w:t>, asking schools to amend registration forms to capture birth history so that pupils born prematurely can be identified early in their education journey.</w:t>
      </w:r>
      <w:r w:rsidRPr="004A2C9A">
        <w:rPr>
          <w:rFonts w:ascii="Arial" w:eastAsia="Arial" w:hAnsi="Arial" w:cs="Arial"/>
          <w:color w:val="000000" w:themeColor="text1"/>
          <w:sz w:val="20"/>
          <w:szCs w:val="20"/>
        </w:rPr>
        <w:t xml:space="preserve"> </w:t>
      </w:r>
      <w:r w:rsidRPr="004A2C9A">
        <w:rPr>
          <w:rFonts w:ascii="Arial" w:eastAsia="Arial" w:hAnsi="Arial" w:cs="Arial"/>
          <w:color w:val="000000" w:themeColor="text1"/>
          <w:sz w:val="20"/>
          <w:szCs w:val="20"/>
        </w:rPr>
        <w:t xml:space="preserve">Recording neonatal history should not be viewed as a label or predictor of </w:t>
      </w:r>
      <w:r w:rsidRPr="004A2C9A">
        <w:rPr>
          <w:rFonts w:ascii="Arial" w:eastAsia="Arial" w:hAnsi="Arial" w:cs="Arial"/>
          <w:color w:val="000000" w:themeColor="text1"/>
          <w:sz w:val="20"/>
          <w:szCs w:val="20"/>
        </w:rPr>
        <w:t>an individual</w:t>
      </w:r>
      <w:r w:rsidRPr="004A2C9A">
        <w:rPr>
          <w:rFonts w:ascii="Arial" w:eastAsia="Arial" w:hAnsi="Arial" w:cs="Arial"/>
          <w:color w:val="000000" w:themeColor="text1"/>
          <w:sz w:val="20"/>
          <w:szCs w:val="20"/>
        </w:rPr>
        <w:t xml:space="preserve"> child’s </w:t>
      </w:r>
      <w:r w:rsidRPr="004A2C9A">
        <w:rPr>
          <w:rFonts w:ascii="Arial" w:eastAsia="Arial" w:hAnsi="Arial" w:cs="Arial"/>
          <w:color w:val="000000" w:themeColor="text1"/>
          <w:sz w:val="20"/>
          <w:szCs w:val="20"/>
        </w:rPr>
        <w:t>outcome</w:t>
      </w:r>
      <w:r w:rsidRPr="004A2C9A">
        <w:rPr>
          <w:rFonts w:ascii="Arial" w:eastAsia="Arial" w:hAnsi="Arial" w:cs="Arial"/>
          <w:color w:val="000000" w:themeColor="text1"/>
          <w:sz w:val="20"/>
          <w:szCs w:val="20"/>
        </w:rPr>
        <w:t>s</w:t>
      </w:r>
      <w:r w:rsidRPr="004A2C9A">
        <w:rPr>
          <w:rFonts w:ascii="Arial" w:eastAsia="Arial" w:hAnsi="Arial" w:cs="Arial"/>
          <w:color w:val="000000" w:themeColor="text1"/>
          <w:sz w:val="20"/>
          <w:szCs w:val="20"/>
        </w:rPr>
        <w:t xml:space="preserve">. Rather, it provides important </w:t>
      </w:r>
      <w:r w:rsidRPr="004A2C9A">
        <w:rPr>
          <w:rFonts w:ascii="Arial" w:eastAsia="Arial" w:hAnsi="Arial" w:cs="Arial"/>
          <w:color w:val="000000" w:themeColor="text1"/>
          <w:sz w:val="20"/>
          <w:szCs w:val="20"/>
        </w:rPr>
        <w:t xml:space="preserve">contextual information that enables schools to better understand children's development and respond appropriately as educational demands increase. </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This simple, low-cost change requires no new infrastructure but transforms information that is currently invisible within education into practical knowledge that supports earlier recognition, more informed conversations with families and a proactive approach to children's educational development.</w:t>
      </w:r>
    </w:p>
    <w:p w:rsidR="002A21C9" w:rsidRPr="004A2C9A" w:rsidP="000173C6">
      <w:pPr>
        <w:pStyle w:val="ListParagraph"/>
        <w:spacing w:after="0" w:line="240" w:lineRule="auto"/>
        <w:ind w:left="284"/>
        <w:rPr>
          <w:rFonts w:ascii="Arial" w:eastAsia="Arial" w:hAnsi="Arial" w:cs="Arial"/>
          <w:color w:val="000000" w:themeColor="text1"/>
          <w:sz w:val="20"/>
          <w:szCs w:val="20"/>
        </w:rPr>
      </w:pPr>
    </w:p>
    <w:p w:rsidR="002A21C9" w:rsidRPr="004A2C9A" w:rsidP="00B7321B">
      <w:pPr>
        <w:pStyle w:val="Heading2"/>
        <w:rPr>
          <w:rFonts w:ascii="Arial" w:eastAsia="Arial" w:hAnsi="Arial" w:cs="Arial"/>
          <w:i/>
          <w:iCs/>
          <w:color w:val="000000" w:themeColor="text1"/>
          <w:sz w:val="20"/>
          <w:szCs w:val="20"/>
        </w:rPr>
      </w:pPr>
      <w:r w:rsidRPr="004A2C9A">
        <w:rPr>
          <w:rFonts w:ascii="Arial" w:eastAsia="Arial" w:hAnsi="Arial" w:cs="Arial"/>
          <w:i/>
          <w:iCs/>
          <w:color w:val="000000" w:themeColor="text1"/>
          <w:sz w:val="20"/>
          <w:szCs w:val="20"/>
        </w:rPr>
        <w:t xml:space="preserve">4.2 </w:t>
      </w:r>
      <w:r w:rsidRPr="004A2C9A">
        <w:rPr>
          <w:rFonts w:ascii="Arial" w:eastAsia="Arial" w:hAnsi="Arial" w:cs="Arial"/>
          <w:i/>
          <w:iCs/>
          <w:color w:val="000000" w:themeColor="text1"/>
          <w:sz w:val="20"/>
          <w:szCs w:val="20"/>
        </w:rPr>
        <w:t>Strengthen</w:t>
      </w:r>
      <w:r w:rsidRPr="004A2C9A">
        <w:rPr>
          <w:rFonts w:ascii="Arial" w:eastAsia="Arial" w:hAnsi="Arial" w:cs="Arial"/>
          <w:i/>
          <w:iCs/>
          <w:color w:val="000000" w:themeColor="text1"/>
          <w:sz w:val="20"/>
          <w:szCs w:val="20"/>
        </w:rPr>
        <w:t xml:space="preserve"> the transition from health to education</w:t>
      </w: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Relevant developmental information is not routinely transferred from health services into education as children begin school</w:t>
      </w:r>
      <w:r w:rsidRPr="004A2C9A">
        <w:rPr>
          <w:rFonts w:ascii="Arial" w:eastAsia="Arial" w:hAnsi="Arial" w:cs="Arial"/>
          <w:color w:val="000000" w:themeColor="text1"/>
          <w:sz w:val="20"/>
          <w:szCs w:val="20"/>
        </w:rPr>
        <w:t xml:space="preserve">. </w:t>
      </w:r>
      <w:r w:rsidRPr="004A2C9A">
        <w:rPr>
          <w:rFonts w:ascii="Arial" w:eastAsia="Arial" w:hAnsi="Arial" w:cs="Arial"/>
          <w:color w:val="000000" w:themeColor="text1"/>
          <w:sz w:val="20"/>
          <w:szCs w:val="20"/>
        </w:rPr>
        <w:t>S</w:t>
      </w:r>
      <w:r w:rsidRPr="004A2C9A">
        <w:rPr>
          <w:rFonts w:ascii="Arial" w:eastAsia="Arial" w:hAnsi="Arial" w:cs="Arial"/>
          <w:color w:val="000000" w:themeColor="text1"/>
          <w:sz w:val="20"/>
          <w:szCs w:val="20"/>
        </w:rPr>
        <w:t xml:space="preserve">chools </w:t>
      </w:r>
      <w:r w:rsidRPr="004A2C9A">
        <w:rPr>
          <w:rFonts w:ascii="Arial" w:eastAsia="Arial" w:hAnsi="Arial" w:cs="Arial"/>
          <w:color w:val="000000" w:themeColor="text1"/>
          <w:sz w:val="20"/>
          <w:szCs w:val="20"/>
        </w:rPr>
        <w:t>therefore</w:t>
      </w:r>
      <w:r w:rsidRPr="004A2C9A">
        <w:rPr>
          <w:rFonts w:ascii="Arial" w:eastAsia="Arial" w:hAnsi="Arial" w:cs="Arial"/>
          <w:color w:val="000000" w:themeColor="text1"/>
          <w:sz w:val="20"/>
          <w:szCs w:val="20"/>
        </w:rPr>
        <w:t xml:space="preserve"> begin supporting children without access to important information about their developmental strengths, areas for monitoring or recommended strategies. Families are therefore frequently left to bridge this gap themselves.</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We recommend a standardised, consent-based health-to-education handover for </w:t>
      </w:r>
      <w:r w:rsidRPr="004A2C9A">
        <w:rPr>
          <w:rFonts w:ascii="Arial" w:eastAsia="Arial" w:hAnsi="Arial" w:cs="Arial"/>
          <w:color w:val="000000" w:themeColor="text1"/>
          <w:sz w:val="20"/>
          <w:szCs w:val="20"/>
        </w:rPr>
        <w:t>children born preterm, following neonatal encephalopathy, and others at increased likelihood of developmental difficulties</w:t>
      </w:r>
      <w:r w:rsidRPr="004A2C9A">
        <w:rPr>
          <w:rFonts w:ascii="Arial" w:eastAsia="Arial" w:hAnsi="Arial" w:cs="Arial"/>
          <w:color w:val="000000" w:themeColor="text1"/>
          <w:sz w:val="20"/>
          <w:szCs w:val="20"/>
        </w:rPr>
        <w:t>.</w:t>
      </w:r>
      <w:r w:rsidRPr="004A2C9A">
        <w:rPr>
          <w:rFonts w:ascii="Arial" w:eastAsia="Arial" w:hAnsi="Arial" w:cs="Arial"/>
          <w:color w:val="000000" w:themeColor="text1"/>
          <w:sz w:val="20"/>
          <w:szCs w:val="20"/>
        </w:rPr>
        <w:t xml:space="preserve"> </w:t>
      </w:r>
      <w:r w:rsidRPr="004A2C9A">
        <w:rPr>
          <w:rFonts w:ascii="Arial" w:eastAsia="Arial" w:hAnsi="Arial" w:cs="Arial"/>
          <w:color w:val="000000" w:themeColor="text1"/>
          <w:sz w:val="20"/>
          <w:szCs w:val="20"/>
        </w:rPr>
        <w:t>With parental consent, this should be developed in partnership with families and shared with education providers, ensuring that information is meaningful for schools while remaining respectful of families' preferences.</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The BANNFU Best Practice Guide</w:t>
      </w:r>
      <w:r w:rsidRPr="004A2C9A">
        <w:rPr>
          <w:rFonts w:ascii="Arial" w:eastAsia="Arial" w:hAnsi="Arial" w:cs="Arial"/>
          <w:color w:val="000000" w:themeColor="text1"/>
          <w:sz w:val="20"/>
          <w:szCs w:val="20"/>
        </w:rPr>
        <w:t xml:space="preserve"> </w:t>
      </w:r>
      <w:r w:rsidRPr="004A2C9A">
        <w:rPr>
          <w:rFonts w:ascii="Arial" w:eastAsia="Arial" w:hAnsi="Arial" w:cs="Arial"/>
          <w:color w:val="000000" w:themeColor="text1"/>
          <w:sz w:val="20"/>
          <w:szCs w:val="20"/>
        </w:rPr>
        <w:t xml:space="preserve">(BANNFU, 2026), </w:t>
      </w:r>
      <w:r w:rsidRPr="004A2C9A">
        <w:rPr>
          <w:rFonts w:ascii="Arial" w:eastAsia="Arial" w:hAnsi="Arial" w:cs="Arial"/>
          <w:color w:val="000000" w:themeColor="text1"/>
          <w:sz w:val="20"/>
          <w:szCs w:val="20"/>
        </w:rPr>
        <w:t>recommends that, building on developmental surveillance throughout early childhood, children born before 28 weeks' gestation</w:t>
      </w:r>
      <w:r w:rsidRPr="004A2C9A">
        <w:rPr>
          <w:rFonts w:ascii="Arial" w:eastAsia="Arial" w:hAnsi="Arial" w:cs="Arial"/>
          <w:color w:val="000000" w:themeColor="text1"/>
          <w:sz w:val="20"/>
          <w:szCs w:val="20"/>
        </w:rPr>
        <w:t>, those with moderate to severe neonatal encephalopathy and others at increased likelihood of developmental difficulties receive a structured developmental review around four years of age, timed to support their transition into school. Where this is available, it generates a concise summary describing children's strengths, developmental profile and practical recommendations for education, intended to be shared with the receiving school with parental consent.</w:t>
      </w:r>
      <w:r w:rsidRPr="004A2C9A">
        <w:rPr>
          <w:rFonts w:ascii="Arial" w:eastAsia="Arial" w:hAnsi="Arial" w:cs="Arial"/>
          <w:color w:val="000000" w:themeColor="text1"/>
          <w:sz w:val="20"/>
          <w:szCs w:val="20"/>
        </w:rPr>
        <w:t xml:space="preserve"> </w:t>
      </w:r>
      <w:r w:rsidRPr="004A2C9A">
        <w:rPr>
          <w:rFonts w:ascii="Arial" w:eastAsia="Arial" w:hAnsi="Arial" w:cs="Arial"/>
          <w:color w:val="000000" w:themeColor="text1"/>
          <w:sz w:val="20"/>
          <w:szCs w:val="20"/>
        </w:rPr>
        <w:t>The value of this handover lies not simply in transferring information, but in translating developmental understanding into practical educational planning. For this to be effective, the information must be received, understood and acted upon by education professionals to inform children's transition into school, ongoing monitoring and educational support.</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w:t>
      </w:r>
      <w:r w:rsidRPr="004A2C9A">
        <w:rPr>
          <w:rFonts w:ascii="Arial" w:eastAsia="Arial" w:hAnsi="Arial" w:cs="Arial"/>
          <w:color w:val="000000" w:themeColor="text1"/>
          <w:sz w:val="20"/>
          <w:szCs w:val="20"/>
        </w:rPr>
        <w:t xml:space="preserve">his level of developmental follow-up </w:t>
      </w:r>
      <w:r w:rsidRPr="004A2C9A">
        <w:rPr>
          <w:rFonts w:ascii="Arial" w:eastAsia="Arial" w:hAnsi="Arial" w:cs="Arial"/>
          <w:color w:val="000000" w:themeColor="text1"/>
          <w:sz w:val="20"/>
          <w:szCs w:val="20"/>
        </w:rPr>
        <w:t xml:space="preserve">however </w:t>
      </w:r>
      <w:r w:rsidRPr="004A2C9A">
        <w:rPr>
          <w:rFonts w:ascii="Arial" w:eastAsia="Arial" w:hAnsi="Arial" w:cs="Arial"/>
          <w:color w:val="000000" w:themeColor="text1"/>
          <w:sz w:val="20"/>
          <w:szCs w:val="20"/>
        </w:rPr>
        <w:t xml:space="preserve">remains the exception rather than the </w:t>
      </w:r>
      <w:r w:rsidRPr="004A2C9A">
        <w:rPr>
          <w:rFonts w:ascii="Arial" w:eastAsia="Arial" w:hAnsi="Arial" w:cs="Arial"/>
          <w:color w:val="000000" w:themeColor="text1"/>
          <w:sz w:val="20"/>
          <w:szCs w:val="20"/>
        </w:rPr>
        <w:t>norm. Currently</w:t>
      </w:r>
      <w:r w:rsidRPr="004A2C9A">
        <w:rPr>
          <w:rFonts w:ascii="Arial" w:eastAsia="Arial" w:hAnsi="Arial" w:cs="Arial"/>
          <w:color w:val="000000" w:themeColor="text1"/>
          <w:sz w:val="20"/>
          <w:szCs w:val="20"/>
        </w:rPr>
        <w:t>, only 6.8% of UK neonatal units provide developmental follow-up to four years</w:t>
      </w:r>
      <w:r w:rsidRPr="004A2C9A">
        <w:rPr>
          <w:rFonts w:ascii="Arial" w:eastAsia="Arial" w:hAnsi="Arial" w:cs="Arial"/>
          <w:color w:val="000000" w:themeColor="text1"/>
          <w:sz w:val="20"/>
          <w:szCs w:val="20"/>
        </w:rPr>
        <w:t xml:space="preserve"> (Marcroft et al, 2025)</w:t>
      </w:r>
      <w:r w:rsidRPr="004A2C9A">
        <w:rPr>
          <w:rFonts w:ascii="Arial" w:eastAsia="Arial" w:hAnsi="Arial" w:cs="Arial"/>
          <w:color w:val="000000" w:themeColor="text1"/>
          <w:sz w:val="20"/>
          <w:szCs w:val="20"/>
        </w:rPr>
        <w:t>, despite the House of Lords Preterm Birth Committee identifying this as an area requiring urgent improvement</w:t>
      </w:r>
      <w:r w:rsidRPr="004A2C9A">
        <w:rPr>
          <w:rFonts w:ascii="Arial" w:eastAsia="Arial" w:hAnsi="Arial" w:cs="Arial"/>
          <w:color w:val="000000" w:themeColor="text1"/>
          <w:sz w:val="20"/>
          <w:szCs w:val="20"/>
        </w:rPr>
        <w:t xml:space="preserve"> (2024)</w:t>
      </w:r>
      <w:r w:rsidRPr="004A2C9A">
        <w:rPr>
          <w:rFonts w:ascii="Arial" w:eastAsia="Arial" w:hAnsi="Arial" w:cs="Arial"/>
          <w:color w:val="000000" w:themeColor="text1"/>
          <w:sz w:val="20"/>
          <w:szCs w:val="20"/>
        </w:rPr>
        <w:t>.</w:t>
      </w:r>
    </w:p>
    <w:p w:rsidR="002A21C9" w:rsidRPr="004A2C9A" w:rsidP="00B7321B">
      <w:pPr>
        <w:spacing w:after="0" w:line="240" w:lineRule="auto"/>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This approach provides a practical model for improving continuity between health and education, ensuring that developmental understanding moves with the child rather than relying on families to repeatedly bridge gaps between services. It enables schools to begin their relationship with children and parents from a position of shared understanding, supporting earlier partnership, more informed decision-making and a smoother transition into education. The Education Committee should aim to support this transiti</w:t>
      </w:r>
      <w:r w:rsidRPr="004A2C9A">
        <w:rPr>
          <w:rFonts w:ascii="Arial" w:eastAsia="Arial" w:hAnsi="Arial" w:cs="Arial"/>
          <w:color w:val="000000" w:themeColor="text1"/>
          <w:sz w:val="20"/>
          <w:szCs w:val="20"/>
        </w:rPr>
        <w:t>on for children at risk due to their neonatal experiences.</w:t>
      </w:r>
    </w:p>
    <w:p w:rsidR="002A21C9" w:rsidRPr="004A2C9A" w:rsidP="00B7321B">
      <w:pPr>
        <w:spacing w:after="0" w:line="240" w:lineRule="auto"/>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This builds on existing follow-up between neonatal unit discharge and two years of age, which is currently defined for preterm-born children by the National Institute for Health and Care Excellence (NICE) Guideline NG72. Although better established than four-year follow up in the UK, this still only occurs in 88% of UK neonatal units</w:t>
      </w:r>
      <w:r w:rsidRPr="004A2C9A">
        <w:rPr>
          <w:rFonts w:ascii="Arial" w:eastAsia="Arial" w:hAnsi="Arial" w:cs="Arial"/>
          <w:color w:val="000000" w:themeColor="text1"/>
          <w:sz w:val="20"/>
          <w:szCs w:val="20"/>
        </w:rPr>
        <w:t xml:space="preserve"> (Marcroft et al, 2025).</w:t>
      </w:r>
      <w:r w:rsidRPr="004A2C9A">
        <w:rPr>
          <w:rFonts w:ascii="Arial" w:eastAsia="Arial" w:hAnsi="Arial" w:cs="Arial"/>
          <w:color w:val="000000" w:themeColor="text1"/>
          <w:sz w:val="20"/>
          <w:szCs w:val="20"/>
        </w:rPr>
        <w:t xml:space="preserve"> Early risk identification and diagnosis is key, as there is an evidence-based window of opportunity for interventions, prior to school entry, to leverage neuroplasticity to promote development. BANNFU are currently working on best practice guidelines regarding follow-up, surveillance, and early intervention between neonatal unit discharge and two years of age, which will further aim to enable every child to achieve and thrive. </w:t>
      </w:r>
      <w:r w:rsidRPr="004A2C9A">
        <w:rPr>
          <w:rFonts w:ascii="Arial" w:eastAsia="Arial" w:hAnsi="Arial" w:cs="Arial"/>
          <w:color w:val="000000" w:themeColor="text1"/>
          <w:sz w:val="20"/>
          <w:szCs w:val="20"/>
        </w:rPr>
        <w:t>Public investment in early childhood</w:t>
      </w:r>
      <w:r w:rsidRPr="004A2C9A">
        <w:rPr>
          <w:rFonts w:ascii="Arial" w:eastAsia="Arial" w:hAnsi="Arial" w:cs="Arial"/>
          <w:color w:val="000000" w:themeColor="text1"/>
          <w:sz w:val="20"/>
          <w:szCs w:val="20"/>
        </w:rPr>
        <w:t xml:space="preserve"> provides the highest returns</w:t>
      </w:r>
      <w:r w:rsidRPr="004A2C9A">
        <w:rPr>
          <w:rFonts w:ascii="Arial" w:eastAsia="Arial" w:hAnsi="Arial" w:cs="Arial"/>
          <w:color w:val="000000" w:themeColor="text1"/>
          <w:sz w:val="20"/>
          <w:szCs w:val="20"/>
        </w:rPr>
        <w:t xml:space="preserve"> (Heckman, 2008). </w:t>
      </w:r>
      <w:r w:rsidRPr="004A2C9A">
        <w:rPr>
          <w:rFonts w:ascii="Arial" w:eastAsia="Arial" w:hAnsi="Arial" w:cs="Arial"/>
          <w:color w:val="000000" w:themeColor="text1"/>
          <w:sz w:val="20"/>
          <w:szCs w:val="20"/>
        </w:rPr>
        <w:t>The Education Committee should recognise the importance of the early years in reducing disadvantages in children achieving and thriving</w:t>
      </w:r>
      <w:r w:rsidRPr="004A2C9A">
        <w:rPr>
          <w:rFonts w:ascii="Arial" w:eastAsia="Arial" w:hAnsi="Arial" w:cs="Arial"/>
          <w:color w:val="000000" w:themeColor="text1"/>
          <w:sz w:val="20"/>
          <w:szCs w:val="20"/>
        </w:rPr>
        <w:t xml:space="preserve"> in education</w:t>
      </w:r>
      <w:r w:rsidRPr="004A2C9A">
        <w:rPr>
          <w:rFonts w:ascii="Arial" w:eastAsia="Arial" w:hAnsi="Arial" w:cs="Arial"/>
          <w:color w:val="000000" w:themeColor="text1"/>
          <w:sz w:val="20"/>
          <w:szCs w:val="20"/>
        </w:rPr>
        <w:t>.</w:t>
      </w:r>
    </w:p>
    <w:p w:rsidR="002A21C9" w:rsidRPr="004A2C9A" w:rsidP="000173C6">
      <w:pPr>
        <w:spacing w:after="0" w:line="240" w:lineRule="auto"/>
        <w:rPr>
          <w:rFonts w:ascii="Arial" w:eastAsia="Arial" w:hAnsi="Arial" w:cs="Arial"/>
          <w:b/>
          <w:bCs/>
          <w:color w:val="000000" w:themeColor="text1"/>
          <w:sz w:val="20"/>
          <w:szCs w:val="20"/>
        </w:rPr>
      </w:pPr>
    </w:p>
    <w:p w:rsidR="002A21C9" w:rsidRPr="004A2C9A" w:rsidP="00B7321B">
      <w:pPr>
        <w:pStyle w:val="Heading2"/>
        <w:rPr>
          <w:rFonts w:ascii="Arial" w:hAnsi="Arial" w:cs="Arial"/>
          <w:i/>
          <w:iCs/>
          <w:color w:val="000000" w:themeColor="text1"/>
          <w:sz w:val="20"/>
          <w:szCs w:val="20"/>
        </w:rPr>
      </w:pPr>
      <w:r w:rsidRPr="004A2C9A">
        <w:rPr>
          <w:rFonts w:ascii="Arial" w:eastAsia="Arial" w:hAnsi="Arial" w:cs="Arial"/>
          <w:i/>
          <w:iCs/>
          <w:color w:val="000000" w:themeColor="text1"/>
          <w:sz w:val="20"/>
          <w:szCs w:val="20"/>
        </w:rPr>
        <w:t xml:space="preserve">4.3 </w:t>
      </w:r>
      <w:r w:rsidRPr="004A2C9A">
        <w:rPr>
          <w:rFonts w:ascii="Arial" w:eastAsia="Arial" w:hAnsi="Arial" w:cs="Arial"/>
          <w:i/>
          <w:iCs/>
          <w:color w:val="000000" w:themeColor="text1"/>
          <w:sz w:val="20"/>
          <w:szCs w:val="20"/>
        </w:rPr>
        <w:t xml:space="preserve">Equip the education workforce to recognise and respond </w:t>
      </w:r>
    </w:p>
    <w:p w:rsidR="002A21C9" w:rsidRPr="004A2C9A" w:rsidP="00B7321B">
      <w:pPr>
        <w:spacing w:after="0" w:line="240" w:lineRule="auto"/>
        <w:rPr>
          <w:rStyle w:val="Strong"/>
          <w:rFonts w:ascii="Arial" w:hAnsi="Arial" w:cs="Arial"/>
          <w:b w:val="0"/>
          <w:bCs w:val="0"/>
          <w:color w:val="000000" w:themeColor="text1"/>
          <w:sz w:val="20"/>
          <w:szCs w:val="20"/>
        </w:rPr>
      </w:pPr>
      <w:r w:rsidRPr="004A2C9A">
        <w:rPr>
          <w:rStyle w:val="Strong"/>
          <w:rFonts w:ascii="Arial" w:hAnsi="Arial" w:cs="Arial"/>
          <w:b w:val="0"/>
          <w:bCs w:val="0"/>
          <w:color w:val="000000" w:themeColor="text1"/>
          <w:sz w:val="20"/>
          <w:szCs w:val="20"/>
        </w:rPr>
        <w:t>Education professionals are not routinely equipped to understand the developmental implications of preterm birth or neonatal encephalopathy. As a result, subtle developmental differences may be overlooked or misunderstood, limiting schools' ability to respond proactively within mainstream education.</w:t>
      </w:r>
    </w:p>
    <w:p w:rsidR="002A21C9" w:rsidRPr="004A2C9A" w:rsidP="000173C6">
      <w:pPr>
        <w:pStyle w:val="ListParagraph"/>
        <w:spacing w:after="0" w:line="240" w:lineRule="auto"/>
        <w:ind w:left="567"/>
        <w:contextualSpacing w:val="0"/>
        <w:rPr>
          <w:rStyle w:val="Strong"/>
          <w:rFonts w:ascii="Arial" w:hAnsi="Arial" w:cs="Arial"/>
          <w:b w:val="0"/>
          <w:bCs w:val="0"/>
          <w:color w:val="000000" w:themeColor="text1"/>
          <w:sz w:val="20"/>
          <w:szCs w:val="20"/>
        </w:rPr>
      </w:pPr>
    </w:p>
    <w:p w:rsidR="002A21C9" w:rsidRPr="004A2C9A" w:rsidP="00B7321B">
      <w:pPr>
        <w:spacing w:after="0" w:line="240" w:lineRule="auto"/>
        <w:rPr>
          <w:rFonts w:ascii="Arial" w:eastAsia="Arial" w:hAnsi="Arial" w:cs="Arial"/>
          <w:b/>
          <w:bCs/>
          <w:color w:val="000000" w:themeColor="text1"/>
          <w:sz w:val="20"/>
          <w:szCs w:val="20"/>
        </w:rPr>
      </w:pPr>
      <w:r w:rsidRPr="004A2C9A">
        <w:rPr>
          <w:rStyle w:val="Strong"/>
          <w:rFonts w:ascii="Arial" w:hAnsi="Arial" w:cs="Arial"/>
          <w:b w:val="0"/>
          <w:bCs w:val="0"/>
          <w:color w:val="000000" w:themeColor="text1"/>
          <w:sz w:val="20"/>
          <w:szCs w:val="20"/>
        </w:rPr>
        <w:t xml:space="preserve">We recommend that evidence-based education about the developmental implications of preterm birth and neonatal encephalopathy is embedded within initial teacher education and continuing </w:t>
      </w:r>
      <w:r w:rsidRPr="004A2C9A">
        <w:rPr>
          <w:rStyle w:val="Strong"/>
          <w:rFonts w:ascii="Arial" w:hAnsi="Arial" w:cs="Arial"/>
          <w:b w:val="0"/>
          <w:bCs w:val="0"/>
          <w:color w:val="000000" w:themeColor="text1"/>
          <w:sz w:val="20"/>
          <w:szCs w:val="20"/>
        </w:rPr>
        <w:t>professional development, ensuring that education professionals have the confidence to recognise and respond appropriately to children's strengths and developmental needs.</w:t>
      </w:r>
    </w:p>
    <w:p w:rsidR="002A21C9" w:rsidRPr="004A2C9A" w:rsidP="000173C6">
      <w:pPr>
        <w:pStyle w:val="ListParagraph"/>
        <w:spacing w:after="0" w:line="240" w:lineRule="auto"/>
        <w:ind w:left="567"/>
        <w:contextualSpacing w:val="0"/>
        <w:rPr>
          <w:rFonts w:ascii="Arial" w:eastAsia="Arial" w:hAnsi="Arial" w:cs="Arial"/>
          <w:b/>
          <w:bCs/>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'Preterm Birth Information for Education Professionals' (PRISM) is a free, evidence-based e-learning resource developed by researchers at the Universities of Leicester, Nottingham, Loughborough, Ulster and University College London</w:t>
      </w:r>
      <w:r w:rsidRPr="004A2C9A">
        <w:rPr>
          <w:rFonts w:ascii="Arial" w:eastAsia="Arial" w:hAnsi="Arial" w:cs="Arial"/>
          <w:color w:val="000000" w:themeColor="text1"/>
          <w:sz w:val="20"/>
          <w:szCs w:val="20"/>
        </w:rPr>
        <w:t xml:space="preserve"> (Johnson et al, 2019)</w:t>
      </w:r>
      <w:r w:rsidRPr="004A2C9A">
        <w:rPr>
          <w:rFonts w:ascii="Arial" w:eastAsia="Arial" w:hAnsi="Arial" w:cs="Arial"/>
          <w:color w:val="000000" w:themeColor="text1"/>
          <w:sz w:val="20"/>
          <w:szCs w:val="20"/>
        </w:rPr>
        <w:t xml:space="preserve">. It provides practical guidance on the educational implications of preterm birth, classroom strategies and approaches to supporting children's learning, and has been shown to improve teachers' confidence. </w:t>
      </w:r>
      <w:r w:rsidRPr="004A2C9A">
        <w:rPr>
          <w:rFonts w:ascii="Arial" w:eastAsia="Arial" w:hAnsi="Arial" w:cs="Arial"/>
          <w:color w:val="000000" w:themeColor="text1"/>
          <w:sz w:val="20"/>
          <w:szCs w:val="20"/>
        </w:rPr>
        <w:t>PRISM provides a practical, scalable and low-cost mechanism for embedding developmentally informed practice across education</w:t>
      </w:r>
      <w:r w:rsidRPr="004A2C9A">
        <w:rPr>
          <w:rFonts w:ascii="Arial" w:eastAsia="Arial" w:hAnsi="Arial" w:cs="Arial"/>
          <w:color w:val="000000" w:themeColor="text1"/>
          <w:sz w:val="20"/>
          <w:szCs w:val="20"/>
        </w:rPr>
        <w:t>.</w:t>
      </w:r>
    </w:p>
    <w:p w:rsidR="002A21C9" w:rsidRPr="004A2C9A" w:rsidP="000173C6">
      <w:pPr>
        <w:pStyle w:val="ListParagraph"/>
        <w:spacing w:after="0" w:line="240" w:lineRule="auto"/>
        <w:ind w:left="567"/>
        <w:contextualSpacing w:val="0"/>
        <w:rPr>
          <w:rFonts w:ascii="Arial" w:eastAsia="Arial" w:hAnsi="Arial" w:cs="Arial"/>
          <w:color w:val="000000" w:themeColor="text1"/>
          <w:sz w:val="20"/>
          <w:szCs w:val="20"/>
        </w:rPr>
      </w:pPr>
    </w:p>
    <w:p w:rsidR="002A21C9" w:rsidRPr="004A2C9A" w:rsidP="00B7321B">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Embedding this knowledge within the education workforce will support earlier recognition of children's developmental strengths and needs, improve confidence in responding within mainstream education and contribute to improved attainment, participation, attendance and belonging.</w:t>
      </w:r>
    </w:p>
    <w:p w:rsidR="002A21C9" w:rsidRPr="004A2C9A" w:rsidP="000173C6">
      <w:pPr>
        <w:spacing w:after="0" w:line="240" w:lineRule="auto"/>
        <w:ind w:left="567"/>
        <w:rPr>
          <w:rFonts w:ascii="Arial" w:eastAsia="Arial" w:hAnsi="Arial" w:cs="Arial"/>
          <w:b/>
          <w:bCs/>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Together, these recommendations provide a practical, evidence-based approach to improving educational experiences and outcomes for children born preterm and following neonatal encephalopathy. They build on existing evidence, resources and best practice to support earlier recognition, stronger collaboration between health and education, and greater confidence</w:t>
      </w:r>
      <w:r w:rsidRPr="004A2C9A">
        <w:rPr>
          <w:rFonts w:ascii="Arial" w:eastAsia="Arial" w:hAnsi="Arial" w:cs="Arial"/>
          <w:color w:val="000000" w:themeColor="text1"/>
          <w:sz w:val="20"/>
          <w:szCs w:val="20"/>
        </w:rPr>
        <w:t xml:space="preserve"> and consiste</w:t>
      </w:r>
      <w:r w:rsidRPr="004A2C9A">
        <w:rPr>
          <w:rFonts w:ascii="Arial" w:eastAsia="Arial" w:hAnsi="Arial" w:cs="Arial"/>
          <w:color w:val="000000" w:themeColor="text1"/>
          <w:sz w:val="20"/>
          <w:szCs w:val="20"/>
        </w:rPr>
        <w:t>ncy</w:t>
      </w:r>
      <w:r w:rsidRPr="004A2C9A">
        <w:rPr>
          <w:rFonts w:ascii="Arial" w:eastAsia="Arial" w:hAnsi="Arial" w:cs="Arial"/>
          <w:color w:val="000000" w:themeColor="text1"/>
          <w:sz w:val="20"/>
          <w:szCs w:val="20"/>
        </w:rPr>
        <w:t xml:space="preserve"> among education professionals. Implemented together, they offer an opportunity to contribute directly to the White Paper's ambitions to improve attainment, attendance, belonging and educational opportunity for a clinically identifiable group of children.</w:t>
      </w:r>
    </w:p>
    <w:p w:rsidR="002A21C9" w:rsidP="001647B7">
      <w:pPr>
        <w:spacing w:after="0" w:line="240" w:lineRule="auto"/>
        <w:rPr>
          <w:rFonts w:ascii="Arial" w:eastAsia="Arial" w:hAnsi="Arial" w:cs="Arial"/>
          <w:color w:val="000000" w:themeColor="text1"/>
          <w:sz w:val="20"/>
          <w:szCs w:val="20"/>
        </w:rPr>
      </w:pPr>
    </w:p>
    <w:p w:rsidR="002A21C9" w:rsidRPr="004A2C9A" w:rsidP="001647B7">
      <w:pPr>
        <w:spacing w:after="0" w:line="240" w:lineRule="auto"/>
        <w:rPr>
          <w:rFonts w:ascii="Arial" w:eastAsia="Arial" w:hAnsi="Arial" w:cs="Arial"/>
          <w:color w:val="000000" w:themeColor="text1"/>
          <w:sz w:val="20"/>
          <w:szCs w:val="20"/>
        </w:rPr>
      </w:pPr>
    </w:p>
    <w:p w:rsidR="002A21C9" w:rsidRPr="004A2C9A" w:rsidP="000173C6">
      <w:pPr>
        <w:pStyle w:val="paragraph"/>
        <w:spacing w:before="0" w:beforeAutospacing="0" w:after="0" w:afterAutospacing="0"/>
        <w:textAlignment w:val="baseline"/>
        <w:rPr>
          <w:rFonts w:ascii="Arial" w:hAnsi="Arial" w:cs="Arial"/>
          <w:color w:val="000000" w:themeColor="text1"/>
          <w:sz w:val="20"/>
          <w:szCs w:val="20"/>
        </w:rPr>
      </w:pPr>
      <w:r w:rsidRPr="004A2C9A">
        <w:rPr>
          <w:rStyle w:val="normaltextrun"/>
          <w:rFonts w:ascii="Arial" w:hAnsi="Arial" w:cs="Arial"/>
          <w:b/>
          <w:bCs/>
          <w:color w:val="000000" w:themeColor="text1"/>
          <w:sz w:val="20"/>
          <w:szCs w:val="20"/>
        </w:rPr>
        <w:t>5. Statements from the BANNFU parent and former patient representatives</w:t>
      </w:r>
      <w:r w:rsidRPr="004A2C9A">
        <w:rPr>
          <w:rStyle w:val="eop"/>
          <w:rFonts w:ascii="Arial" w:hAnsi="Arial" w:cs="Arial"/>
          <w:color w:val="000000" w:themeColor="text1"/>
          <w:sz w:val="20"/>
          <w:szCs w:val="20"/>
        </w:rPr>
        <w:t> </w:t>
      </w:r>
    </w:p>
    <w:p w:rsidR="002A21C9" w:rsidRPr="004A2C9A" w:rsidP="000173C6">
      <w:pPr>
        <w:pStyle w:val="paragraph"/>
        <w:spacing w:before="0" w:beforeAutospacing="0" w:after="0" w:afterAutospacing="0"/>
        <w:textAlignment w:val="baseline"/>
        <w:rPr>
          <w:rFonts w:ascii="Arial" w:hAnsi="Arial" w:cs="Arial"/>
          <w:color w:val="000000" w:themeColor="text1"/>
          <w:sz w:val="20"/>
          <w:szCs w:val="20"/>
        </w:rPr>
      </w:pPr>
      <w:r>
        <w:rPr>
          <w:rStyle w:val="normaltextrun"/>
          <w:rFonts w:ascii="Arial" w:hAnsi="Arial" w:cs="Arial"/>
          <w:i/>
          <w:iCs/>
          <w:color w:val="000000" w:themeColor="text1"/>
          <w:sz w:val="20"/>
          <w:szCs w:val="20"/>
        </w:rPr>
        <w:t xml:space="preserve">BANNFU </w:t>
      </w:r>
      <w:r w:rsidRPr="004A2C9A">
        <w:rPr>
          <w:rStyle w:val="normaltextrun"/>
          <w:rFonts w:ascii="Arial" w:hAnsi="Arial" w:cs="Arial"/>
          <w:i/>
          <w:iCs/>
          <w:color w:val="000000" w:themeColor="text1"/>
          <w:sz w:val="20"/>
          <w:szCs w:val="20"/>
        </w:rPr>
        <w:t>parent representative:</w:t>
      </w:r>
      <w:r w:rsidRPr="004A2C9A">
        <w:rPr>
          <w:rStyle w:val="eop"/>
          <w:rFonts w:ascii="Arial" w:hAnsi="Arial" w:cs="Arial"/>
          <w:color w:val="000000" w:themeColor="text1"/>
          <w:sz w:val="20"/>
          <w:szCs w:val="20"/>
        </w:rPr>
        <w:t> </w:t>
      </w:r>
    </w:p>
    <w:p w:rsidR="002A21C9" w:rsidRPr="004A2C9A" w:rsidP="000173C6">
      <w:pPr>
        <w:pStyle w:val="paragraph"/>
        <w:spacing w:before="0" w:beforeAutospacing="0" w:after="0" w:afterAutospacing="0"/>
        <w:ind w:left="720"/>
        <w:textAlignment w:val="baseline"/>
        <w:rPr>
          <w:rStyle w:val="eop"/>
          <w:rFonts w:ascii="Arial" w:hAnsi="Arial" w:cs="Arial"/>
          <w:color w:val="000000" w:themeColor="text1"/>
          <w:sz w:val="20"/>
          <w:szCs w:val="20"/>
        </w:rPr>
      </w:pPr>
      <w:r w:rsidRPr="004A2C9A">
        <w:rPr>
          <w:rStyle w:val="normaltextrun"/>
          <w:rFonts w:ascii="Arial" w:hAnsi="Arial" w:cs="Arial"/>
          <w:color w:val="000000" w:themeColor="text1"/>
          <w:sz w:val="20"/>
          <w:szCs w:val="20"/>
        </w:rPr>
        <w:t>It is imperative that children born preterm or with history of neonatal encephalopathy, are proactively considered within systemic design, rather than in response to issues or concerns being identified, or worse still, when it is too late and trying to understand the ‘why’ behind their poor educational outcomes.</w:t>
      </w:r>
    </w:p>
    <w:p w:rsidR="002A21C9" w:rsidRPr="004A2C9A" w:rsidP="000173C6">
      <w:pPr>
        <w:pStyle w:val="paragraph"/>
        <w:spacing w:before="0" w:beforeAutospacing="0" w:after="0" w:afterAutospacing="0"/>
        <w:ind w:left="720"/>
        <w:textAlignment w:val="baseline"/>
        <w:rPr>
          <w:rFonts w:ascii="Arial" w:hAnsi="Arial" w:cs="Arial"/>
          <w:color w:val="000000" w:themeColor="text1"/>
          <w:sz w:val="20"/>
          <w:szCs w:val="20"/>
        </w:rPr>
      </w:pPr>
    </w:p>
    <w:p w:rsidR="002A21C9" w:rsidRPr="004A2C9A" w:rsidP="000173C6">
      <w:pPr>
        <w:pStyle w:val="paragraph"/>
        <w:spacing w:before="0" w:beforeAutospacing="0" w:after="0" w:afterAutospacing="0"/>
        <w:ind w:left="720"/>
        <w:textAlignment w:val="baseline"/>
        <w:rPr>
          <w:rStyle w:val="eop"/>
          <w:rFonts w:ascii="Arial" w:hAnsi="Arial" w:cs="Arial"/>
          <w:color w:val="000000" w:themeColor="text1"/>
          <w:sz w:val="20"/>
          <w:szCs w:val="20"/>
        </w:rPr>
      </w:pPr>
      <w:r w:rsidRPr="004A2C9A">
        <w:rPr>
          <w:rStyle w:val="normaltextrun"/>
          <w:rFonts w:ascii="Arial" w:hAnsi="Arial" w:cs="Arial"/>
          <w:color w:val="000000" w:themeColor="text1"/>
          <w:sz w:val="20"/>
          <w:szCs w:val="20"/>
        </w:rPr>
        <w:t>Currently, families are facing stark inequity in not only approach but significant disparity in the educational outcomes of their children too. Many families are finding that they are often left responsible for amplifying their child’s clinical history and outlining the support that is essential, necessary and required, in order for</w:t>
      </w:r>
      <w:r w:rsidRPr="004A2C9A">
        <w:rPr>
          <w:rStyle w:val="normaltextrun"/>
          <w:rFonts w:ascii="Arial" w:hAnsi="Arial" w:cs="Arial"/>
          <w:color w:val="000000" w:themeColor="text1"/>
          <w:sz w:val="20"/>
          <w:szCs w:val="20"/>
        </w:rPr>
        <w:t xml:space="preserve"> their child to thrive. We must listen to families and centre their experiences, but importantly we cannot continue to rely on families to be shouting for support and understanding. We must actively listen and respond. Consistently. Not least because families are tired.</w:t>
      </w:r>
    </w:p>
    <w:p w:rsidR="002A21C9" w:rsidRPr="004A2C9A" w:rsidP="000173C6">
      <w:pPr>
        <w:pStyle w:val="paragraph"/>
        <w:spacing w:before="0" w:beforeAutospacing="0" w:after="0" w:afterAutospacing="0"/>
        <w:ind w:left="720"/>
        <w:textAlignment w:val="baseline"/>
        <w:rPr>
          <w:rFonts w:ascii="Arial" w:hAnsi="Arial" w:cs="Arial"/>
          <w:color w:val="000000" w:themeColor="text1"/>
          <w:sz w:val="20"/>
          <w:szCs w:val="20"/>
        </w:rPr>
      </w:pPr>
    </w:p>
    <w:p w:rsidR="002A21C9" w:rsidRPr="004A2C9A" w:rsidP="000173C6">
      <w:pPr>
        <w:pStyle w:val="paragraph"/>
        <w:spacing w:before="0" w:beforeAutospacing="0" w:after="0" w:afterAutospacing="0"/>
        <w:ind w:left="720"/>
        <w:textAlignment w:val="baseline"/>
        <w:rPr>
          <w:rFonts w:ascii="Arial" w:hAnsi="Arial" w:cs="Arial"/>
          <w:color w:val="000000" w:themeColor="text1"/>
          <w:sz w:val="20"/>
          <w:szCs w:val="20"/>
        </w:rPr>
      </w:pPr>
      <w:r w:rsidRPr="004A2C9A">
        <w:rPr>
          <w:rStyle w:val="normaltextrun"/>
          <w:rFonts w:ascii="Arial" w:hAnsi="Arial" w:cs="Arial"/>
          <w:color w:val="000000" w:themeColor="text1"/>
          <w:sz w:val="20"/>
          <w:szCs w:val="20"/>
        </w:rPr>
        <w:t>The recommendations we have noted above, are vital to start work addressing and beginning to close the gap here and see this cohort of children achieving the same outcomes as peers.</w:t>
      </w:r>
      <w:r w:rsidRPr="004A2C9A">
        <w:rPr>
          <w:rStyle w:val="eop"/>
          <w:rFonts w:ascii="Arial" w:hAnsi="Arial" w:cs="Arial"/>
          <w:color w:val="000000" w:themeColor="text1"/>
          <w:sz w:val="20"/>
          <w:szCs w:val="20"/>
        </w:rPr>
        <w:t> </w:t>
      </w:r>
    </w:p>
    <w:p w:rsidR="002A21C9" w:rsidRPr="004A2C9A" w:rsidP="000173C6">
      <w:pPr>
        <w:pStyle w:val="paragraph"/>
        <w:spacing w:before="0" w:beforeAutospacing="0" w:after="0" w:afterAutospacing="0"/>
        <w:textAlignment w:val="baseline"/>
        <w:rPr>
          <w:rFonts w:ascii="Arial" w:hAnsi="Arial" w:cs="Arial"/>
          <w:color w:val="000000" w:themeColor="text1"/>
          <w:sz w:val="20"/>
          <w:szCs w:val="20"/>
        </w:rPr>
      </w:pPr>
      <w:r w:rsidRPr="004A2C9A">
        <w:rPr>
          <w:rStyle w:val="eop"/>
          <w:rFonts w:ascii="Arial" w:hAnsi="Arial" w:cs="Arial"/>
          <w:color w:val="000000" w:themeColor="text1"/>
          <w:sz w:val="20"/>
          <w:szCs w:val="20"/>
        </w:rPr>
        <w:t> </w:t>
      </w:r>
    </w:p>
    <w:p w:rsidR="002A21C9" w:rsidRPr="004A2C9A" w:rsidP="000173C6">
      <w:pPr>
        <w:pStyle w:val="paragraph"/>
        <w:spacing w:before="0" w:beforeAutospacing="0" w:after="0" w:afterAutospacing="0"/>
        <w:textAlignment w:val="baseline"/>
        <w:rPr>
          <w:rFonts w:ascii="Arial" w:hAnsi="Arial" w:cs="Arial"/>
          <w:color w:val="000000" w:themeColor="text1"/>
          <w:sz w:val="20"/>
          <w:szCs w:val="20"/>
        </w:rPr>
      </w:pPr>
      <w:r w:rsidRPr="004A2C9A">
        <w:rPr>
          <w:rStyle w:val="eop"/>
          <w:rFonts w:ascii="Arial" w:hAnsi="Arial" w:cs="Arial"/>
          <w:color w:val="000000" w:themeColor="text1"/>
          <w:sz w:val="20"/>
          <w:szCs w:val="20"/>
        </w:rPr>
        <w:t> </w:t>
      </w:r>
    </w:p>
    <w:p w:rsidR="002A21C9" w:rsidRPr="004A2C9A" w:rsidP="000173C6">
      <w:pPr>
        <w:pStyle w:val="paragraph"/>
        <w:spacing w:before="0" w:beforeAutospacing="0" w:after="0" w:afterAutospacing="0"/>
        <w:textAlignment w:val="baseline"/>
        <w:rPr>
          <w:rFonts w:ascii="Arial" w:hAnsi="Arial" w:cs="Arial"/>
          <w:color w:val="000000" w:themeColor="text1"/>
          <w:sz w:val="20"/>
          <w:szCs w:val="20"/>
        </w:rPr>
      </w:pPr>
      <w:r>
        <w:rPr>
          <w:rStyle w:val="normaltextrun"/>
          <w:rFonts w:ascii="Arial" w:hAnsi="Arial" w:cs="Arial"/>
          <w:i/>
          <w:iCs/>
          <w:color w:val="000000" w:themeColor="text1"/>
          <w:sz w:val="20"/>
          <w:szCs w:val="20"/>
        </w:rPr>
        <w:t xml:space="preserve">BANNFU </w:t>
      </w:r>
      <w:r w:rsidRPr="004A2C9A">
        <w:rPr>
          <w:rStyle w:val="normaltextrun"/>
          <w:rFonts w:ascii="Arial" w:hAnsi="Arial" w:cs="Arial"/>
          <w:i/>
          <w:iCs/>
          <w:color w:val="000000" w:themeColor="text1"/>
          <w:sz w:val="20"/>
          <w:szCs w:val="20"/>
        </w:rPr>
        <w:t>former patient representative</w:t>
      </w:r>
      <w:r w:rsidRPr="004A2C9A">
        <w:rPr>
          <w:rStyle w:val="eop"/>
          <w:rFonts w:ascii="Arial" w:hAnsi="Arial" w:cs="Arial"/>
          <w:color w:val="000000" w:themeColor="text1"/>
          <w:sz w:val="20"/>
          <w:szCs w:val="20"/>
        </w:rPr>
        <w:t> </w:t>
      </w:r>
    </w:p>
    <w:p w:rsidR="002A21C9" w:rsidRPr="004A2C9A" w:rsidP="000173C6">
      <w:pPr>
        <w:pStyle w:val="paragraph"/>
        <w:spacing w:before="0" w:beforeAutospacing="0" w:after="0" w:afterAutospacing="0"/>
        <w:ind w:left="720"/>
        <w:textAlignment w:val="baseline"/>
        <w:rPr>
          <w:rFonts w:ascii="Arial" w:hAnsi="Arial" w:cs="Arial"/>
          <w:color w:val="000000" w:themeColor="text1"/>
          <w:sz w:val="20"/>
          <w:szCs w:val="20"/>
        </w:rPr>
      </w:pPr>
      <w:r w:rsidRPr="004A2C9A">
        <w:rPr>
          <w:rStyle w:val="normaltextrun"/>
          <w:rFonts w:ascii="Arial" w:hAnsi="Arial" w:cs="Arial"/>
          <w:color w:val="000000" w:themeColor="text1"/>
          <w:sz w:val="20"/>
          <w:szCs w:val="20"/>
        </w:rPr>
        <w:t>There is a risk that these children end up being ‘left behind’, and the gap between their attainment and their peers might grow greater. Children born preterm, and those who experienced neonatal encephalopathy, must be considered right from the beginning, especially regarding school. After all, early experiences, help to lay down the foundations for school and ultimately their future. Because these children might display subtle differences e.g. poor attention or slight differences, they need to be identifie</w:t>
      </w:r>
      <w:r w:rsidRPr="004A2C9A">
        <w:rPr>
          <w:rStyle w:val="normaltextrun"/>
          <w:rFonts w:ascii="Arial" w:hAnsi="Arial" w:cs="Arial"/>
          <w:color w:val="000000" w:themeColor="text1"/>
          <w:sz w:val="20"/>
          <w:szCs w:val="20"/>
        </w:rPr>
        <w:t>d accordingly to ensure they are supported right from the beginning, and ensure their futures are considered.</w:t>
      </w:r>
      <w:r w:rsidRPr="004A2C9A">
        <w:rPr>
          <w:rStyle w:val="eop"/>
          <w:rFonts w:ascii="Arial" w:hAnsi="Arial" w:cs="Arial"/>
          <w:color w:val="000000" w:themeColor="text1"/>
          <w:sz w:val="20"/>
          <w:szCs w:val="20"/>
        </w:rPr>
        <w:t> </w:t>
      </w:r>
    </w:p>
    <w:p w:rsidR="002A21C9" w:rsidP="001647B7">
      <w:pPr>
        <w:spacing w:after="0" w:line="240" w:lineRule="auto"/>
        <w:rPr>
          <w:rFonts w:ascii="Arial" w:eastAsia="Arial" w:hAnsi="Arial" w:cs="Arial"/>
          <w:color w:val="000000" w:themeColor="text1"/>
          <w:sz w:val="20"/>
          <w:szCs w:val="20"/>
        </w:rPr>
      </w:pPr>
    </w:p>
    <w:p w:rsidR="002A21C9" w:rsidRPr="004A2C9A" w:rsidP="001647B7">
      <w:pPr>
        <w:spacing w:after="0" w:line="240" w:lineRule="auto"/>
        <w:rPr>
          <w:rFonts w:ascii="Arial" w:eastAsia="Arial" w:hAnsi="Arial" w:cs="Arial"/>
          <w:color w:val="000000" w:themeColor="text1"/>
          <w:sz w:val="20"/>
          <w:szCs w:val="20"/>
        </w:rPr>
      </w:pPr>
    </w:p>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6</w:t>
      </w:r>
      <w:r w:rsidRPr="004A2C9A">
        <w:rPr>
          <w:rFonts w:ascii="Arial" w:eastAsia="Arial" w:hAnsi="Arial" w:cs="Arial"/>
          <w:b/>
          <w:bCs/>
          <w:color w:val="000000" w:themeColor="text1"/>
          <w:sz w:val="20"/>
          <w:szCs w:val="20"/>
        </w:rPr>
        <w:t>. Conclusion</w:t>
      </w: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Children born preterm </w:t>
      </w:r>
      <w:r w:rsidRPr="004A2C9A">
        <w:rPr>
          <w:rFonts w:ascii="Arial" w:eastAsia="Arial" w:hAnsi="Arial" w:cs="Arial"/>
          <w:color w:val="000000" w:themeColor="text1"/>
          <w:sz w:val="20"/>
          <w:szCs w:val="20"/>
        </w:rPr>
        <w:t>and following</w:t>
      </w:r>
      <w:r w:rsidRPr="004A2C9A">
        <w:rPr>
          <w:rFonts w:ascii="Arial" w:eastAsia="Arial" w:hAnsi="Arial" w:cs="Arial"/>
          <w:color w:val="000000" w:themeColor="text1"/>
          <w:sz w:val="20"/>
          <w:szCs w:val="20"/>
        </w:rPr>
        <w:t xml:space="preserve"> neonatal encephalopathy are a clinically identifiable group</w:t>
      </w:r>
      <w:r w:rsidRPr="004A2C9A">
        <w:rPr>
          <w:rFonts w:ascii="Arial" w:eastAsia="Arial" w:hAnsi="Arial" w:cs="Arial"/>
          <w:color w:val="000000" w:themeColor="text1"/>
          <w:sz w:val="20"/>
          <w:szCs w:val="20"/>
        </w:rPr>
        <w:t>s</w:t>
      </w:r>
      <w:r w:rsidRPr="004A2C9A">
        <w:rPr>
          <w:rFonts w:ascii="Arial" w:eastAsia="Arial" w:hAnsi="Arial" w:cs="Arial"/>
          <w:color w:val="000000" w:themeColor="text1"/>
          <w:sz w:val="20"/>
          <w:szCs w:val="20"/>
        </w:rPr>
        <w:t xml:space="preserve"> at </w:t>
      </w:r>
      <w:r w:rsidRPr="004A2C9A">
        <w:rPr>
          <w:rFonts w:ascii="Arial" w:eastAsia="Arial" w:hAnsi="Arial" w:cs="Arial"/>
          <w:color w:val="000000" w:themeColor="text1"/>
          <w:sz w:val="20"/>
          <w:szCs w:val="20"/>
        </w:rPr>
        <w:t xml:space="preserve">increased </w:t>
      </w:r>
      <w:r w:rsidRPr="004A2C9A">
        <w:rPr>
          <w:rFonts w:ascii="Arial" w:eastAsia="Arial" w:hAnsi="Arial" w:cs="Arial"/>
          <w:color w:val="000000" w:themeColor="text1"/>
          <w:sz w:val="20"/>
          <w:szCs w:val="20"/>
        </w:rPr>
        <w:t xml:space="preserve">likelihood </w:t>
      </w:r>
      <w:r w:rsidRPr="004A2C9A">
        <w:rPr>
          <w:rFonts w:ascii="Arial" w:eastAsia="Arial" w:hAnsi="Arial" w:cs="Arial"/>
          <w:color w:val="000000" w:themeColor="text1"/>
          <w:sz w:val="20"/>
          <w:szCs w:val="20"/>
        </w:rPr>
        <w:t xml:space="preserve">of poorer educational outcomes. However, the impact of these developmental </w:t>
      </w:r>
      <w:r w:rsidRPr="004A2C9A">
        <w:rPr>
          <w:rFonts w:ascii="Arial" w:eastAsia="Arial" w:hAnsi="Arial" w:cs="Arial"/>
          <w:color w:val="000000" w:themeColor="text1"/>
          <w:sz w:val="20"/>
          <w:szCs w:val="20"/>
        </w:rPr>
        <w:t>differences can be mitigated through timely identification, developmentally informed educational practice and appropriate support.</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The recommendations set out in this submission provide practical, evidence-based and low-cost opportunities to improve early recognition, strengthen collaboration between health and education, and equip education professionals with the knowledge and confidence to respond proactively. Together, they will help more children to achieve, participate and thrive throughout their education, while strengthening partnerships with families and reducing avoidable educational disadvantage.</w:t>
      </w:r>
    </w:p>
    <w:p w:rsidR="002A21C9" w:rsidRPr="004A2C9A" w:rsidP="000173C6">
      <w:pPr>
        <w:spacing w:after="0" w:line="240" w:lineRule="auto"/>
        <w:rPr>
          <w:rFonts w:ascii="Arial" w:eastAsia="Arial" w:hAnsi="Arial" w:cs="Arial"/>
          <w:color w:val="000000" w:themeColor="text1"/>
          <w:sz w:val="20"/>
          <w:szCs w:val="20"/>
        </w:rPr>
      </w:pPr>
    </w:p>
    <w:p w:rsidR="002A21C9" w:rsidRPr="004A2C9A" w:rsidP="000173C6">
      <w:pPr>
        <w:spacing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We welcome the </w:t>
      </w:r>
      <w:r>
        <w:rPr>
          <w:rFonts w:ascii="Arial" w:eastAsia="Arial" w:hAnsi="Arial" w:cs="Arial"/>
          <w:color w:val="000000" w:themeColor="text1"/>
          <w:sz w:val="20"/>
          <w:szCs w:val="20"/>
        </w:rPr>
        <w:t xml:space="preserve">Education </w:t>
      </w:r>
      <w:r w:rsidRPr="004A2C9A">
        <w:rPr>
          <w:rFonts w:ascii="Arial" w:eastAsia="Arial" w:hAnsi="Arial" w:cs="Arial"/>
          <w:color w:val="000000" w:themeColor="text1"/>
          <w:sz w:val="20"/>
          <w:szCs w:val="20"/>
        </w:rPr>
        <w:t>Committee's ambition to ensure that every child can achieve and thrive. As the UK's multidisciplinary professional body for neonatal neurodevelopmental follow-up, BANNFU would be pleased to provide any further evidence or contribute to future discussions should this be helpful to the Committee.</w:t>
      </w:r>
    </w:p>
    <w:p w:rsidR="002A21C9" w:rsidP="000173C6">
      <w:pPr>
        <w:pStyle w:val="Heading2"/>
        <w:rPr>
          <w:rFonts w:ascii="Arial" w:hAnsi="Arial" w:cs="Arial"/>
          <w:color w:val="000000" w:themeColor="text1"/>
          <w:sz w:val="20"/>
          <w:szCs w:val="20"/>
        </w:rPr>
      </w:pPr>
    </w:p>
    <w:p w:rsidR="002A21C9" w:rsidRPr="001647B7" w:rsidP="001647B7"/>
    <w:p w:rsidR="002A21C9" w:rsidRPr="004A2C9A" w:rsidP="000173C6">
      <w:pPr>
        <w:pStyle w:val="Heading2"/>
        <w:rPr>
          <w:rFonts w:ascii="Arial" w:eastAsia="Arial" w:hAnsi="Arial" w:cs="Arial"/>
          <w:b/>
          <w:bCs/>
          <w:color w:val="000000" w:themeColor="text1"/>
          <w:sz w:val="20"/>
          <w:szCs w:val="20"/>
        </w:rPr>
      </w:pPr>
      <w:r w:rsidRPr="004A2C9A">
        <w:rPr>
          <w:rFonts w:ascii="Arial" w:eastAsia="Arial" w:hAnsi="Arial" w:cs="Arial"/>
          <w:b/>
          <w:bCs/>
          <w:color w:val="000000" w:themeColor="text1"/>
          <w:sz w:val="20"/>
          <w:szCs w:val="20"/>
        </w:rPr>
        <w:t>7. R</w:t>
      </w:r>
      <w:r w:rsidRPr="004A2C9A">
        <w:rPr>
          <w:rFonts w:ascii="Arial" w:eastAsia="Arial" w:hAnsi="Arial" w:cs="Arial"/>
          <w:b/>
          <w:bCs/>
          <w:color w:val="000000" w:themeColor="text1"/>
          <w:sz w:val="20"/>
          <w:szCs w:val="20"/>
        </w:rPr>
        <w:t>eferences and further resources cited</w:t>
      </w:r>
    </w:p>
    <w:p w:rsidR="002A21C9" w:rsidRPr="0000694E" w:rsidP="0000694E">
      <w:pPr>
        <w:pStyle w:val="Heading1"/>
        <w:spacing w:before="0" w:after="0" w:line="240" w:lineRule="auto"/>
        <w:rPr>
          <w:rFonts w:ascii="Arial" w:eastAsia="Arial" w:hAnsi="Arial" w:cs="Arial"/>
          <w:color w:val="000000" w:themeColor="text1"/>
          <w:sz w:val="20"/>
          <w:szCs w:val="20"/>
        </w:rPr>
      </w:pPr>
      <w:r w:rsidRPr="004A2C9A">
        <w:rPr>
          <w:rFonts w:ascii="Arial" w:eastAsia="Arial" w:hAnsi="Arial" w:cs="Arial"/>
          <w:color w:val="000000" w:themeColor="text1"/>
          <w:sz w:val="20"/>
          <w:szCs w:val="20"/>
        </w:rPr>
        <w:t xml:space="preserve">BANNFU (2026), </w:t>
      </w:r>
      <w:r w:rsidRPr="004A2C9A">
        <w:rPr>
          <w:rFonts w:ascii="Arial" w:eastAsia="Arial" w:hAnsi="Arial" w:cs="Arial"/>
          <w:color w:val="000000" w:themeColor="text1"/>
          <w:sz w:val="20"/>
          <w:szCs w:val="20"/>
        </w:rPr>
        <w:t xml:space="preserve">Developmental follow-up, surveillance, and support at the age of four years: A BANNFU Best Practice Guide – </w:t>
      </w:r>
      <w:r>
        <w:fldChar w:fldCharType="begin"/>
      </w:r>
      <w:r>
        <w:instrText xml:space="preserve"> HYPERLINK "https://www.bapm.org/resources/developmental-follow-up-surveillance-and-support-at-the-age-of-four-years" </w:instrText>
      </w:r>
      <w:r>
        <w:fldChar w:fldCharType="separate"/>
      </w:r>
      <w:r w:rsidRPr="004A2C9A">
        <w:rPr>
          <w:rStyle w:val="Hyperlink"/>
          <w:rFonts w:ascii="Arial" w:eastAsia="Arial" w:hAnsi="Arial" w:cs="Arial"/>
          <w:color w:val="000000" w:themeColor="text1"/>
          <w:sz w:val="20"/>
          <w:szCs w:val="20"/>
        </w:rPr>
        <w:t>https://www.bapm.org/resources/developmental-follow-up-surveillance-and-support-at-the-age-of-four-years</w:t>
      </w:r>
      <w:r>
        <w:fldChar w:fldCharType="end"/>
      </w:r>
      <w:r w:rsidRPr="004A2C9A">
        <w:rPr>
          <w:rFonts w:ascii="Arial" w:eastAsia="Arial" w:hAnsi="Arial" w:cs="Arial"/>
          <w:color w:val="000000" w:themeColor="text1"/>
          <w:sz w:val="20"/>
          <w:szCs w:val="20"/>
        </w:rPr>
        <w:t xml:space="preserve"> </w:t>
      </w:r>
    </w:p>
    <w:p w:rsidR="002A21C9" w:rsidRPr="0000694E" w:rsidP="0000694E">
      <w:pPr>
        <w:pStyle w:val="p1"/>
        <w:rPr>
          <w:rFonts w:ascii="Arial" w:hAnsi="Arial" w:cs="Arial"/>
          <w:sz w:val="20"/>
          <w:szCs w:val="20"/>
        </w:rPr>
      </w:pPr>
      <w:r w:rsidRPr="004A2C9A">
        <w:rPr>
          <w:rFonts w:ascii="Arial" w:hAnsi="Arial" w:cs="Arial"/>
          <w:sz w:val="20"/>
          <w:szCs w:val="20"/>
        </w:rPr>
        <w:t>Heckman, JJ (2008), The Case for Investing in Disadvantaged Young Children, CESifo DICE Report, ISSN 1613-6373, ifo Institut für Wirtschaftsforschung an der Universität München, München, Vol.06, Iss.2, pp.3-8</w:t>
      </w:r>
    </w:p>
    <w:p w:rsidR="002A21C9" w:rsidRPr="004A2C9A" w:rsidP="00B77B91">
      <w:pPr>
        <w:spacing w:after="0" w:line="240" w:lineRule="auto"/>
        <w:rPr>
          <w:rFonts w:ascii="Arial" w:eastAsia="Times New Roman" w:hAnsi="Arial" w:cs="Arial"/>
          <w:color w:val="000000"/>
          <w:sz w:val="20"/>
          <w:szCs w:val="20"/>
          <w:lang w:eastAsia="en-GB"/>
        </w:rPr>
      </w:pPr>
      <w:r w:rsidRPr="004A2C9A">
        <w:rPr>
          <w:rFonts w:ascii="Arial" w:eastAsia="Times New Roman" w:hAnsi="Arial" w:cs="Arial"/>
          <w:color w:val="000000"/>
          <w:sz w:val="20"/>
          <w:szCs w:val="20"/>
          <w:lang w:eastAsia="en-GB"/>
        </w:rPr>
        <w:t>House of Lords Preterm Birth Committee (2024). Preterm Birth: Reducing Risks and Improving Lives.</w:t>
      </w:r>
    </w:p>
    <w:p w:rsidR="002A21C9" w:rsidRPr="0000694E" w:rsidP="000173C6">
      <w:pPr>
        <w:spacing w:after="0" w:line="240" w:lineRule="auto"/>
        <w:rPr>
          <w:rFonts w:ascii="Arial" w:eastAsia="Times New Roman" w:hAnsi="Arial" w:cs="Arial"/>
          <w:color w:val="000000"/>
          <w:sz w:val="20"/>
          <w:szCs w:val="20"/>
          <w:lang w:eastAsia="en-GB"/>
        </w:rPr>
      </w:pPr>
      <w:r w:rsidRPr="004A2C9A">
        <w:rPr>
          <w:rFonts w:ascii="Arial" w:eastAsia="Times New Roman" w:hAnsi="Arial" w:cs="Arial"/>
          <w:color w:val="000000"/>
          <w:sz w:val="20"/>
          <w:szCs w:val="20"/>
          <w:lang w:eastAsia="en-GB"/>
        </w:rPr>
        <w:t>House of Lords</w:t>
      </w:r>
      <w:r>
        <w:rPr>
          <w:rFonts w:ascii="Arial" w:eastAsia="Times New Roman" w:hAnsi="Arial" w:cs="Arial"/>
          <w:color w:val="000000"/>
          <w:sz w:val="20"/>
          <w:szCs w:val="20"/>
          <w:lang w:eastAsia="en-GB"/>
        </w:rPr>
        <w:t xml:space="preserve"> – </w:t>
      </w:r>
      <w:r>
        <w:fldChar w:fldCharType="begin"/>
      </w:r>
      <w:r>
        <w:instrText xml:space="preserve"> HYPERLINK "https://committees.parliament.uk/committee/701/preterm-birth-committee/publications/" </w:instrText>
      </w:r>
      <w:r>
        <w:fldChar w:fldCharType="separate"/>
      </w:r>
      <w:r w:rsidRPr="00892710">
        <w:rPr>
          <w:rStyle w:val="Hyperlink"/>
          <w:rFonts w:ascii="Arial" w:eastAsia="Times New Roman" w:hAnsi="Arial" w:cs="Arial"/>
          <w:sz w:val="20"/>
          <w:szCs w:val="20"/>
          <w:lang w:eastAsia="en-GB"/>
        </w:rPr>
        <w:t>https://committees.parliament.uk/committee/701/preterm-birth-committee/publications/</w:t>
      </w:r>
      <w:r>
        <w:fldChar w:fldCharType="end"/>
      </w:r>
      <w:r>
        <w:rPr>
          <w:rFonts w:ascii="Arial" w:eastAsia="Times New Roman" w:hAnsi="Arial" w:cs="Arial"/>
          <w:color w:val="000000"/>
          <w:sz w:val="20"/>
          <w:szCs w:val="20"/>
          <w:lang w:eastAsia="en-GB"/>
        </w:rPr>
        <w:t xml:space="preserve"> </w:t>
      </w:r>
    </w:p>
    <w:p w:rsidR="002A21C9" w:rsidRPr="0000694E" w:rsidP="0000694E">
      <w:pPr>
        <w:pStyle w:val="Heading1"/>
        <w:spacing w:before="0" w:after="0" w:line="240" w:lineRule="auto"/>
        <w:rPr>
          <w:rFonts w:ascii="Arial" w:eastAsia="Arial" w:hAnsi="Arial" w:cs="Arial"/>
          <w:color w:val="000000" w:themeColor="text1"/>
          <w:sz w:val="20"/>
          <w:szCs w:val="20"/>
        </w:rPr>
      </w:pPr>
      <w:r w:rsidRPr="004A2C9A">
        <w:rPr>
          <w:rFonts w:ascii="Arial" w:eastAsia="Times New Roman" w:hAnsi="Arial" w:cs="Arial"/>
          <w:color w:val="000000"/>
          <w:sz w:val="20"/>
          <w:szCs w:val="20"/>
          <w:lang w:eastAsia="en-GB"/>
        </w:rPr>
        <w:t>Johnson S, et al</w:t>
      </w:r>
      <w:r w:rsidRPr="004A2C9A">
        <w:rPr>
          <w:rFonts w:ascii="Arial" w:eastAsia="Times New Roman" w:hAnsi="Arial" w:cs="Arial"/>
          <w:color w:val="000000"/>
          <w:sz w:val="20"/>
          <w:szCs w:val="20"/>
          <w:lang w:eastAsia="en-GB"/>
        </w:rPr>
        <w:t xml:space="preserve"> (2019)</w:t>
      </w:r>
      <w:r w:rsidRPr="004A2C9A">
        <w:rPr>
          <w:rFonts w:ascii="Arial" w:eastAsia="Times New Roman" w:hAnsi="Arial" w:cs="Arial"/>
          <w:color w:val="000000"/>
          <w:sz w:val="20"/>
          <w:szCs w:val="20"/>
          <w:lang w:eastAsia="en-GB"/>
        </w:rPr>
        <w:t xml:space="preserve">. Improving developmental and educational support for children born preterm: evaluation of an e-learning resource for education professionals. </w:t>
      </w:r>
      <w:r w:rsidRPr="004A2C9A">
        <w:rPr>
          <w:rFonts w:ascii="Arial" w:eastAsia="Times New Roman" w:hAnsi="Arial" w:cs="Arial"/>
          <w:i/>
          <w:iCs/>
          <w:color w:val="000000"/>
          <w:sz w:val="20"/>
          <w:szCs w:val="20"/>
          <w:lang w:eastAsia="en-GB"/>
        </w:rPr>
        <w:t>BMJ Open</w:t>
      </w:r>
      <w:r w:rsidRPr="004A2C9A">
        <w:rPr>
          <w:rFonts w:ascii="Arial" w:eastAsia="Times New Roman" w:hAnsi="Arial" w:cs="Arial"/>
          <w:color w:val="000000"/>
          <w:sz w:val="20"/>
          <w:szCs w:val="20"/>
          <w:lang w:eastAsia="en-GB"/>
        </w:rPr>
        <w:t>.</w:t>
      </w:r>
      <w:r w:rsidRPr="004A2C9A">
        <w:rPr>
          <w:rFonts w:ascii="Arial" w:eastAsia="Times New Roman" w:hAnsi="Arial" w:cs="Arial"/>
          <w:color w:val="000000"/>
          <w:sz w:val="20"/>
          <w:szCs w:val="20"/>
          <w:lang w:eastAsia="en-GB"/>
        </w:rPr>
        <w:t xml:space="preserve"> </w:t>
      </w:r>
      <w:r w:rsidRPr="004A2C9A">
        <w:rPr>
          <w:rFonts w:ascii="Arial" w:eastAsia="Times New Roman" w:hAnsi="Arial" w:cs="Arial"/>
          <w:color w:val="000000"/>
          <w:sz w:val="20"/>
          <w:szCs w:val="20"/>
          <w:lang w:eastAsia="en-GB"/>
        </w:rPr>
        <w:t>9(6):e029720 (</w:t>
      </w:r>
      <w:r w:rsidRPr="004A2C9A">
        <w:rPr>
          <w:rFonts w:ascii="Arial" w:eastAsia="Arial" w:hAnsi="Arial" w:cs="Arial"/>
          <w:color w:val="000000" w:themeColor="text1"/>
          <w:sz w:val="20"/>
          <w:szCs w:val="20"/>
        </w:rPr>
        <w:t xml:space="preserve">Preterm Birth Information for Education Professionals – </w:t>
      </w:r>
      <w:r>
        <w:fldChar w:fldCharType="begin"/>
      </w:r>
      <w:r>
        <w:instrText xml:space="preserve"> HYPERLINK "http://www.pretermbirth.info/" </w:instrText>
      </w:r>
      <w:r>
        <w:fldChar w:fldCharType="separate"/>
      </w:r>
      <w:r w:rsidRPr="004A2C9A">
        <w:rPr>
          <w:rStyle w:val="Hyperlink"/>
          <w:rFonts w:ascii="Arial" w:eastAsia="Arial" w:hAnsi="Arial" w:cs="Arial"/>
          <w:color w:val="000000" w:themeColor="text1"/>
          <w:sz w:val="20"/>
          <w:szCs w:val="20"/>
        </w:rPr>
        <w:t>www.pretermbirth.info</w:t>
      </w:r>
      <w:r>
        <w:fldChar w:fldCharType="end"/>
      </w:r>
      <w:r w:rsidRPr="004A2C9A">
        <w:rPr>
          <w:rFonts w:ascii="Arial" w:eastAsia="Arial" w:hAnsi="Arial" w:cs="Arial"/>
          <w:color w:val="000000" w:themeColor="text1"/>
          <w:sz w:val="20"/>
          <w:szCs w:val="20"/>
        </w:rPr>
        <w:t>)</w:t>
      </w:r>
    </w:p>
    <w:p w:rsidR="002A21C9" w:rsidRPr="004A2C9A" w:rsidP="000173C6">
      <w:pPr>
        <w:spacing w:after="0" w:line="240" w:lineRule="auto"/>
        <w:rPr>
          <w:rFonts w:ascii="Arial" w:hAnsi="Arial" w:cs="Arial"/>
          <w:color w:val="000000" w:themeColor="text1"/>
          <w:sz w:val="20"/>
          <w:szCs w:val="20"/>
        </w:rPr>
      </w:pPr>
      <w:r w:rsidRPr="004A2C9A">
        <w:rPr>
          <w:rFonts w:ascii="Arial" w:hAnsi="Arial" w:cs="Arial"/>
          <w:sz w:val="20"/>
          <w:szCs w:val="20"/>
        </w:rPr>
        <w:t>Marcroft, C, et al</w:t>
      </w:r>
      <w:r w:rsidRPr="004A2C9A">
        <w:rPr>
          <w:rFonts w:ascii="Arial" w:hAnsi="Arial" w:cs="Arial"/>
          <w:sz w:val="20"/>
          <w:szCs w:val="20"/>
        </w:rPr>
        <w:t xml:space="preserve"> (2025)</w:t>
      </w:r>
      <w:r w:rsidRPr="004A2C9A">
        <w:rPr>
          <w:rFonts w:ascii="Arial" w:hAnsi="Arial" w:cs="Arial"/>
          <w:sz w:val="20"/>
          <w:szCs w:val="20"/>
        </w:rPr>
        <w:t xml:space="preserve">. Neonatal neurodevelopmental follow-up in the UK: a survey of current practice and future recommendations. </w:t>
      </w:r>
      <w:r w:rsidRPr="004A2C9A">
        <w:rPr>
          <w:rFonts w:ascii="Arial" w:hAnsi="Arial" w:cs="Arial"/>
          <w:i/>
          <w:iCs/>
          <w:sz w:val="20"/>
          <w:szCs w:val="20"/>
        </w:rPr>
        <w:t>BMC Pediatrics</w:t>
      </w:r>
      <w:r w:rsidRPr="004A2C9A">
        <w:rPr>
          <w:rFonts w:ascii="Arial" w:hAnsi="Arial" w:cs="Arial"/>
          <w:sz w:val="20"/>
          <w:szCs w:val="20"/>
        </w:rPr>
        <w:t xml:space="preserve"> 25, 674.</w:t>
      </w:r>
    </w:p>
    <w:p w:rsidR="002A21C9" w:rsidRPr="004A2C9A" w:rsidP="000173C6">
      <w:pPr>
        <w:spacing w:after="0" w:line="240" w:lineRule="auto"/>
        <w:rPr>
          <w:rFonts w:ascii="Arial" w:hAnsi="Arial" w:cs="Arial"/>
          <w:color w:val="000000" w:themeColor="text1"/>
          <w:sz w:val="20"/>
          <w:szCs w:val="20"/>
        </w:rPr>
      </w:pPr>
      <w:r w:rsidRPr="004A2C9A">
        <w:rPr>
          <w:rFonts w:ascii="Arial" w:hAnsi="Arial" w:cs="Arial"/>
          <w:color w:val="000000" w:themeColor="text1"/>
          <w:sz w:val="20"/>
          <w:szCs w:val="20"/>
        </w:rPr>
        <w:t>N</w:t>
      </w:r>
      <w:r w:rsidRPr="004A2C9A">
        <w:rPr>
          <w:rFonts w:ascii="Arial" w:hAnsi="Arial" w:cs="Arial"/>
          <w:color w:val="000000" w:themeColor="text1"/>
          <w:sz w:val="20"/>
          <w:szCs w:val="20"/>
        </w:rPr>
        <w:t xml:space="preserve">ational </w:t>
      </w:r>
      <w:r w:rsidRPr="004A2C9A">
        <w:rPr>
          <w:rFonts w:ascii="Arial" w:hAnsi="Arial" w:cs="Arial"/>
          <w:color w:val="000000" w:themeColor="text1"/>
          <w:sz w:val="20"/>
          <w:szCs w:val="20"/>
        </w:rPr>
        <w:t>I</w:t>
      </w:r>
      <w:r w:rsidRPr="004A2C9A">
        <w:rPr>
          <w:rFonts w:ascii="Arial" w:hAnsi="Arial" w:cs="Arial"/>
          <w:color w:val="000000" w:themeColor="text1"/>
          <w:sz w:val="20"/>
          <w:szCs w:val="20"/>
        </w:rPr>
        <w:t xml:space="preserve">nstitute for Health and </w:t>
      </w:r>
      <w:r w:rsidRPr="004A2C9A">
        <w:rPr>
          <w:rFonts w:ascii="Arial" w:hAnsi="Arial" w:cs="Arial"/>
          <w:color w:val="000000" w:themeColor="text1"/>
          <w:sz w:val="20"/>
          <w:szCs w:val="20"/>
        </w:rPr>
        <w:t>C</w:t>
      </w:r>
      <w:r w:rsidRPr="004A2C9A">
        <w:rPr>
          <w:rFonts w:ascii="Arial" w:hAnsi="Arial" w:cs="Arial"/>
          <w:color w:val="000000" w:themeColor="text1"/>
          <w:sz w:val="20"/>
          <w:szCs w:val="20"/>
        </w:rPr>
        <w:t xml:space="preserve">are </w:t>
      </w:r>
      <w:r w:rsidRPr="004A2C9A">
        <w:rPr>
          <w:rFonts w:ascii="Arial" w:hAnsi="Arial" w:cs="Arial"/>
          <w:color w:val="000000" w:themeColor="text1"/>
          <w:sz w:val="20"/>
          <w:szCs w:val="20"/>
        </w:rPr>
        <w:t>E</w:t>
      </w:r>
      <w:r w:rsidRPr="004A2C9A">
        <w:rPr>
          <w:rFonts w:ascii="Arial" w:hAnsi="Arial" w:cs="Arial"/>
          <w:color w:val="000000" w:themeColor="text1"/>
          <w:sz w:val="20"/>
          <w:szCs w:val="20"/>
        </w:rPr>
        <w:t>xcellence</w:t>
      </w:r>
      <w:r w:rsidRPr="004A2C9A">
        <w:rPr>
          <w:rFonts w:ascii="Arial" w:hAnsi="Arial" w:cs="Arial"/>
          <w:color w:val="000000" w:themeColor="text1"/>
          <w:sz w:val="20"/>
          <w:szCs w:val="20"/>
        </w:rPr>
        <w:t xml:space="preserve"> (</w:t>
      </w:r>
      <w:r w:rsidRPr="004A2C9A">
        <w:rPr>
          <w:rFonts w:ascii="Arial" w:hAnsi="Arial" w:cs="Arial"/>
          <w:color w:val="000000" w:themeColor="text1"/>
          <w:sz w:val="20"/>
          <w:szCs w:val="20"/>
        </w:rPr>
        <w:t xml:space="preserve">NICE, </w:t>
      </w:r>
      <w:r w:rsidRPr="004A2C9A">
        <w:rPr>
          <w:rFonts w:ascii="Arial" w:hAnsi="Arial" w:cs="Arial"/>
          <w:color w:val="000000" w:themeColor="text1"/>
          <w:sz w:val="20"/>
          <w:szCs w:val="20"/>
        </w:rPr>
        <w:t xml:space="preserve">2017), Developmental follow-up of children and young people born preterm (NICE Guideline NG72) – </w:t>
      </w:r>
      <w:r>
        <w:fldChar w:fldCharType="begin"/>
      </w:r>
      <w:r>
        <w:instrText xml:space="preserve"> HYPERLINK "https://www.nice.org.uk/guidance/ng72" </w:instrText>
      </w:r>
      <w:r>
        <w:fldChar w:fldCharType="separate"/>
      </w:r>
      <w:r w:rsidRPr="004A2C9A">
        <w:rPr>
          <w:rStyle w:val="Hyperlink"/>
          <w:rFonts w:ascii="Arial" w:hAnsi="Arial" w:cs="Arial"/>
          <w:color w:val="000000" w:themeColor="text1"/>
          <w:sz w:val="20"/>
          <w:szCs w:val="20"/>
        </w:rPr>
        <w:t>https://www.nice.org.uk/guidance/ng72</w:t>
      </w:r>
      <w:r>
        <w:fldChar w:fldCharType="end"/>
      </w:r>
      <w:r w:rsidRPr="004A2C9A">
        <w:rPr>
          <w:rFonts w:ascii="Arial" w:hAnsi="Arial" w:cs="Arial"/>
          <w:color w:val="000000" w:themeColor="text1"/>
          <w:sz w:val="20"/>
          <w:szCs w:val="20"/>
        </w:rPr>
        <w:t xml:space="preserve"> </w:t>
      </w:r>
    </w:p>
    <w:p w:rsidR="002A21C9" w:rsidRPr="0000694E" w:rsidP="000173C6">
      <w:pPr>
        <w:spacing w:after="0" w:line="240" w:lineRule="auto"/>
        <w:rPr>
          <w:rFonts w:ascii="Arial" w:eastAsia="Times New Roman" w:hAnsi="Arial" w:cs="Arial"/>
          <w:color w:val="000000"/>
          <w:sz w:val="20"/>
          <w:szCs w:val="20"/>
          <w:lang w:eastAsia="en-GB"/>
        </w:rPr>
      </w:pPr>
      <w:r w:rsidRPr="004A2C9A">
        <w:rPr>
          <w:rFonts w:ascii="Arial" w:eastAsia="Times New Roman" w:hAnsi="Arial" w:cs="Arial"/>
          <w:color w:val="000000"/>
          <w:sz w:val="20"/>
          <w:szCs w:val="20"/>
          <w:lang w:eastAsia="en-GB"/>
        </w:rPr>
        <w:t>National Neonatal Audit Programme (NNAP, 2022). National Neonatal Audit Programme Summary Report on 2021 Data. RCPCH</w:t>
      </w:r>
      <w:r>
        <w:rPr>
          <w:rFonts w:ascii="Arial" w:eastAsia="Times New Roman" w:hAnsi="Arial" w:cs="Arial"/>
          <w:color w:val="000000"/>
          <w:sz w:val="20"/>
          <w:szCs w:val="20"/>
          <w:lang w:eastAsia="en-GB"/>
        </w:rPr>
        <w:t xml:space="preserve"> – </w:t>
      </w:r>
      <w:r>
        <w:fldChar w:fldCharType="begin"/>
      </w:r>
      <w:r>
        <w:instrText xml:space="preserve"> HYPERLINK "https://www.rcpch.ac.uk/resources/national-neonatal-audit-programme-nnap-past-annual-reports-data" </w:instrText>
      </w:r>
      <w:r>
        <w:fldChar w:fldCharType="separate"/>
      </w:r>
      <w:r w:rsidRPr="00892710">
        <w:rPr>
          <w:rStyle w:val="Hyperlink"/>
          <w:rFonts w:ascii="Arial" w:eastAsia="Times New Roman" w:hAnsi="Arial" w:cs="Arial"/>
          <w:sz w:val="20"/>
          <w:szCs w:val="20"/>
          <w:lang w:eastAsia="en-GB"/>
        </w:rPr>
        <w:t>https://www.rcpch.ac.uk/resources/national-neonatal-audit-programme-nnap-past-annual-reports-data</w:t>
      </w:r>
      <w:r>
        <w:fldChar w:fldCharType="end"/>
      </w:r>
      <w:r>
        <w:rPr>
          <w:rFonts w:ascii="Arial" w:eastAsia="Times New Roman" w:hAnsi="Arial" w:cs="Arial"/>
          <w:color w:val="000000"/>
          <w:sz w:val="20"/>
          <w:szCs w:val="20"/>
          <w:lang w:eastAsia="en-GB"/>
        </w:rPr>
        <w:t xml:space="preserve"> </w:t>
      </w:r>
    </w:p>
    <w:p w:rsidR="002A21C9" w:rsidRPr="0000694E" w:rsidP="000173C6">
      <w:pPr>
        <w:spacing w:after="0" w:line="240" w:lineRule="auto"/>
        <w:rPr>
          <w:rFonts w:ascii="Arial" w:eastAsia="Times New Roman" w:hAnsi="Arial" w:cs="Arial"/>
          <w:color w:val="000000"/>
          <w:sz w:val="20"/>
          <w:szCs w:val="20"/>
          <w:lang w:eastAsia="en-GB"/>
        </w:rPr>
      </w:pPr>
      <w:r w:rsidRPr="004A2C9A">
        <w:rPr>
          <w:rFonts w:ascii="Arial" w:eastAsia="Times New Roman" w:hAnsi="Arial" w:cs="Arial"/>
          <w:color w:val="000000"/>
          <w:sz w:val="20"/>
          <w:szCs w:val="20"/>
          <w:lang w:eastAsia="en-GB"/>
        </w:rPr>
        <w:t>Office for National Statistics (ONS, 2023). Birth Characteristics in England and Wales: 2021. Office For National Statistics</w:t>
      </w:r>
      <w:r>
        <w:rPr>
          <w:rFonts w:ascii="Arial" w:eastAsia="Times New Roman" w:hAnsi="Arial" w:cs="Arial"/>
          <w:color w:val="000000"/>
          <w:sz w:val="20"/>
          <w:szCs w:val="20"/>
          <w:lang w:eastAsia="en-GB"/>
        </w:rPr>
        <w:t xml:space="preserve"> – </w:t>
      </w:r>
      <w:r>
        <w:fldChar w:fldCharType="begin"/>
      </w:r>
      <w:r>
        <w:instrText xml:space="preserve"> HYPERLINK "https://www.ons.gov.uk/peoplepopulationandcommunity/birthsdeathsandmarriages/livebirths/bulletins/birthcharacteristicsinenglandandwales/2021" </w:instrText>
      </w:r>
      <w:r>
        <w:fldChar w:fldCharType="separate"/>
      </w:r>
      <w:r w:rsidRPr="00892710">
        <w:rPr>
          <w:rStyle w:val="Hyperlink"/>
          <w:rFonts w:ascii="Arial" w:eastAsia="Times New Roman" w:hAnsi="Arial" w:cs="Arial"/>
          <w:sz w:val="20"/>
          <w:szCs w:val="20"/>
          <w:lang w:eastAsia="en-GB"/>
        </w:rPr>
        <w:t>https://www.ons.gov.uk/peoplepopulationandcommunity/birthsdeathsandmarriages/livebirths/bulletins/birthcharacteristicsinenglandandwales/2021</w:t>
      </w:r>
      <w:r>
        <w:fldChar w:fldCharType="end"/>
      </w:r>
      <w:r>
        <w:rPr>
          <w:rFonts w:ascii="Arial" w:eastAsia="Times New Roman" w:hAnsi="Arial" w:cs="Arial"/>
          <w:color w:val="000000"/>
          <w:sz w:val="20"/>
          <w:szCs w:val="20"/>
          <w:lang w:eastAsia="en-GB"/>
        </w:rPr>
        <w:t xml:space="preserve"> </w:t>
      </w:r>
    </w:p>
    <w:p w:rsidR="002A21C9" w:rsidRPr="0000694E" w:rsidP="0000694E">
      <w:pPr>
        <w:pStyle w:val="p1"/>
        <w:rPr>
          <w:rFonts w:ascii="Arial" w:hAnsi="Arial" w:cs="Arial"/>
          <w:color w:val="141413"/>
          <w:sz w:val="20"/>
          <w:szCs w:val="20"/>
        </w:rPr>
      </w:pPr>
      <w:r w:rsidRPr="004A2C9A">
        <w:rPr>
          <w:rFonts w:ascii="Arial" w:hAnsi="Arial" w:cs="Arial"/>
          <w:color w:val="000000" w:themeColor="text1"/>
          <w:sz w:val="20"/>
          <w:szCs w:val="20"/>
        </w:rPr>
        <w:t xml:space="preserve">Petrou S et al (2019). </w:t>
      </w:r>
      <w:r w:rsidRPr="004A2C9A">
        <w:rPr>
          <w:rFonts w:ascii="Arial" w:hAnsi="Arial" w:cs="Arial"/>
          <w:color w:val="141413"/>
          <w:sz w:val="20"/>
          <w:szCs w:val="20"/>
        </w:rPr>
        <w:t xml:space="preserve">Economic consequences of preterm birth: a systematic review of the recent literature (2009–2017). </w:t>
      </w:r>
      <w:r w:rsidRPr="004A2C9A">
        <w:rPr>
          <w:rFonts w:ascii="Arial" w:hAnsi="Arial" w:cs="Arial"/>
          <w:i/>
          <w:iCs/>
          <w:color w:val="141413"/>
          <w:sz w:val="20"/>
          <w:szCs w:val="20"/>
        </w:rPr>
        <w:t>Archives of Disease in Childhood</w:t>
      </w:r>
      <w:r w:rsidRPr="004A2C9A">
        <w:rPr>
          <w:rFonts w:ascii="Arial" w:hAnsi="Arial" w:cs="Arial"/>
          <w:color w:val="141413"/>
          <w:sz w:val="20"/>
          <w:szCs w:val="20"/>
        </w:rPr>
        <w:t>. 104:456–465.</w:t>
      </w:r>
    </w:p>
    <w:p w:rsidR="002A21C9" w:rsidRPr="0000694E" w:rsidP="0000694E">
      <w:pPr>
        <w:pStyle w:val="p1"/>
        <w:rPr>
          <w:rFonts w:ascii="Arial" w:hAnsi="Arial" w:cs="Arial"/>
          <w:color w:val="101010"/>
          <w:sz w:val="20"/>
          <w:szCs w:val="20"/>
        </w:rPr>
      </w:pPr>
      <w:r w:rsidRPr="004A2C9A">
        <w:rPr>
          <w:rFonts w:ascii="Arial" w:hAnsi="Arial" w:cs="Arial"/>
          <w:color w:val="000000" w:themeColor="text1"/>
          <w:sz w:val="20"/>
          <w:szCs w:val="20"/>
        </w:rPr>
        <w:t xml:space="preserve">Puthussery S et al (2018). </w:t>
      </w:r>
      <w:r w:rsidRPr="004A2C9A">
        <w:rPr>
          <w:rFonts w:ascii="Arial" w:hAnsi="Arial" w:cs="Arial"/>
          <w:color w:val="101010"/>
          <w:sz w:val="20"/>
          <w:szCs w:val="20"/>
        </w:rPr>
        <w:t xml:space="preserve">Effectiveness of early intervention programs for parents of preterm infants: a meta-review of systematic reviews. </w:t>
      </w:r>
      <w:r w:rsidRPr="004A2C9A">
        <w:rPr>
          <w:rFonts w:ascii="Arial" w:hAnsi="Arial" w:cs="Arial"/>
          <w:i/>
          <w:iCs/>
          <w:color w:val="101010"/>
          <w:sz w:val="20"/>
          <w:szCs w:val="20"/>
        </w:rPr>
        <w:t xml:space="preserve">BMC Pediatrics. </w:t>
      </w:r>
      <w:r w:rsidRPr="004A2C9A">
        <w:rPr>
          <w:rFonts w:ascii="Arial" w:hAnsi="Arial" w:cs="Arial"/>
          <w:color w:val="101010"/>
          <w:sz w:val="20"/>
          <w:szCs w:val="20"/>
        </w:rPr>
        <w:t>18:223.</w:t>
      </w:r>
    </w:p>
    <w:p w:rsidR="002A21C9" w:rsidP="000173C6">
      <w:pPr>
        <w:pStyle w:val="Heading1"/>
        <w:spacing w:before="0" w:after="0" w:line="240" w:lineRule="auto"/>
      </w:pPr>
      <w:r w:rsidRPr="004A2C9A">
        <w:rPr>
          <w:rFonts w:ascii="Arial" w:eastAsia="Arial" w:hAnsi="Arial" w:cs="Arial"/>
          <w:color w:val="000000" w:themeColor="text1"/>
          <w:sz w:val="20"/>
          <w:szCs w:val="20"/>
        </w:rPr>
        <w:t xml:space="preserve">The Smallest Things Charity, Prem Aware Award – </w:t>
      </w:r>
      <w:r>
        <w:fldChar w:fldCharType="begin"/>
      </w:r>
      <w:r>
        <w:instrText xml:space="preserve"> HYPERLINK "https://www.thesmallestthings.org/prem-aware-award" </w:instrText>
      </w:r>
      <w:r>
        <w:fldChar w:fldCharType="separate"/>
      </w:r>
      <w:r w:rsidRPr="004A2C9A">
        <w:rPr>
          <w:rStyle w:val="Hyperlink"/>
          <w:rFonts w:ascii="Arial" w:eastAsia="Arial" w:hAnsi="Arial" w:cs="Arial"/>
          <w:color w:val="000000" w:themeColor="text1"/>
          <w:sz w:val="20"/>
          <w:szCs w:val="20"/>
        </w:rPr>
        <w:t>https://www.thesmallestthings.org/prem-aware-award</w:t>
      </w:r>
      <w:r>
        <w:fldChar w:fldCharType="end"/>
      </w:r>
    </w:p>
    <w:p w:rsidR="00C90BB9" w:rsidP="00C90BB9"/>
    <w:p w:rsidR="00C90BB9" w:rsidRPr="00C90BB9" w:rsidP="00C90BB9">
      <w:pPr>
        <w:rPr>
          <w:i/>
          <w:iCs/>
          <w:sz w:val="22"/>
          <w:szCs w:val="22"/>
        </w:rPr>
      </w:pPr>
      <w:r w:rsidRPr="00C90BB9">
        <w:rPr>
          <w:i/>
          <w:iCs/>
          <w:sz w:val="22"/>
          <w:szCs w:val="22"/>
        </w:rPr>
        <w:t>September 2026</w:t>
      </w:r>
    </w:p>
    <w:p w:rsidR="002A21C9" w:rsidRPr="004A2C9A" w:rsidP="000173C6">
      <w:pPr>
        <w:spacing w:after="0" w:line="240" w:lineRule="auto"/>
        <w:rPr>
          <w:rFonts w:ascii="Arial" w:hAnsi="Arial" w:cs="Arial"/>
          <w:color w:val="000000" w:themeColor="text1"/>
          <w:sz w:val="20"/>
          <w:szCs w:val="20"/>
        </w:rPr>
      </w:pPr>
    </w:p>
    <w:p w:rsidR="002A21C9" w:rsidRPr="004A2C9A" w:rsidP="000173C6">
      <w:pPr>
        <w:spacing w:after="0"/>
        <w:rPr>
          <w:rFonts w:ascii="Arial" w:eastAsia="Arial" w:hAnsi="Arial" w:cs="Arial"/>
          <w:color w:val="000000" w:themeColor="text1"/>
          <w:sz w:val="20"/>
          <w:szCs w:val="20"/>
        </w:rPr>
      </w:pPr>
    </w:p>
    <w:p w:rsidR="002A21C9" w:rsidRPr="004A2C9A" w:rsidP="000173C6">
      <w:pPr>
        <w:spacing w:after="0"/>
        <w:rPr>
          <w:rFonts w:ascii="Arial" w:eastAsia="Arial" w:hAnsi="Arial" w:cs="Arial"/>
          <w:color w:val="000000" w:themeColor="text1"/>
          <w:sz w:val="20"/>
          <w:szCs w:val="20"/>
        </w:rPr>
      </w:pPr>
    </w:p>
    <w:p w:rsidR="002A21C9" w:rsidRPr="004A2C9A" w:rsidP="000173C6">
      <w:pPr>
        <w:spacing w:after="0"/>
        <w:rPr>
          <w:rFonts w:ascii="Arial" w:eastAsia="Arial" w:hAnsi="Arial" w:cs="Arial"/>
          <w:color w:val="000000" w:themeColor="text1"/>
          <w:sz w:val="20"/>
          <w:szCs w:val="20"/>
        </w:rPr>
      </w:pP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151D2D"/>
    <w:multiLevelType w:val="hybridMultilevel"/>
    <w:tmpl w:val="DFE636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307AFE"/>
    <w:multiLevelType w:val="hybridMultilevel"/>
    <w:tmpl w:val="78D8649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
    <w:nsid w:val="10AF0531"/>
    <w:multiLevelType w:val="hybridMultilevel"/>
    <w:tmpl w:val="845E757C"/>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94A58F0"/>
    <w:multiLevelType w:val="hybridMultilevel"/>
    <w:tmpl w:val="C0AAC7AE"/>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4">
    <w:nsid w:val="2ECD2DC2"/>
    <w:multiLevelType w:val="hybridMultilevel"/>
    <w:tmpl w:val="39CEE88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5">
    <w:nsid w:val="372373C0"/>
    <w:multiLevelType w:val="multilevel"/>
    <w:tmpl w:val="DDC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BE36C1"/>
    <w:multiLevelType w:val="hybridMultilevel"/>
    <w:tmpl w:val="74347B8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7">
    <w:nsid w:val="400C3E46"/>
    <w:multiLevelType w:val="multilevel"/>
    <w:tmpl w:val="94CC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4F160E"/>
    <w:multiLevelType w:val="multilevel"/>
    <w:tmpl w:val="A42CD6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482A3156"/>
    <w:multiLevelType w:val="hybridMultilevel"/>
    <w:tmpl w:val="4EA81B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C2B2B93"/>
    <w:multiLevelType w:val="hybridMultilevel"/>
    <w:tmpl w:val="A60EF3A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num w:numId="1">
    <w:abstractNumId w:val="2"/>
  </w:num>
  <w:num w:numId="2">
    <w:abstractNumId w:val="1"/>
  </w:num>
  <w:num w:numId="3">
    <w:abstractNumId w:val="10"/>
  </w:num>
  <w:num w:numId="4">
    <w:abstractNumId w:val="0"/>
  </w:num>
  <w:num w:numId="5">
    <w:abstractNumId w:val="6"/>
  </w:num>
  <w:num w:numId="6">
    <w:abstractNumId w:val="4"/>
  </w:num>
  <w:num w:numId="7">
    <w:abstractNumId w:val="9"/>
  </w:num>
  <w:num w:numId="8">
    <w:abstractNumId w:val="3"/>
  </w:num>
  <w:num w:numId="9">
    <w:abstractNumId w:val="8"/>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rsid w:val="08DE0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2360"/>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8DE0446"/>
    <w:rPr>
      <w:color w:val="467886"/>
      <w:u w:val="single"/>
    </w:rPr>
  </w:style>
  <w:style w:type="paragraph" w:styleId="ListParagraph">
    <w:name w:val="List Paragraph"/>
    <w:basedOn w:val="Normal"/>
    <w:uiPriority w:val="34"/>
    <w:qFormat/>
    <w:rsid w:val="08DE0446"/>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41956"/>
    <w:rPr>
      <w:b/>
      <w:bCs/>
    </w:rPr>
  </w:style>
  <w:style w:type="character" w:customStyle="1" w:styleId="CommentSubjectChar">
    <w:name w:val="Comment Subject Char"/>
    <w:basedOn w:val="CommentTextChar"/>
    <w:link w:val="CommentSubject"/>
    <w:uiPriority w:val="99"/>
    <w:semiHidden/>
    <w:rsid w:val="00741956"/>
    <w:rPr>
      <w:b/>
      <w:bCs/>
      <w:sz w:val="20"/>
      <w:szCs w:val="20"/>
    </w:rPr>
  </w:style>
  <w:style w:type="paragraph" w:styleId="Revision">
    <w:name w:val="Revision"/>
    <w:hidden/>
    <w:uiPriority w:val="99"/>
    <w:semiHidden/>
    <w:rsid w:val="00741956"/>
    <w:pPr>
      <w:spacing w:after="0" w:line="240" w:lineRule="auto"/>
    </w:pPr>
  </w:style>
  <w:style w:type="character" w:customStyle="1" w:styleId="UnresolvedMention1">
    <w:name w:val="Unresolved Mention1"/>
    <w:basedOn w:val="DefaultParagraphFont"/>
    <w:uiPriority w:val="99"/>
    <w:semiHidden/>
    <w:unhideWhenUsed/>
    <w:rsid w:val="00741956"/>
    <w:rPr>
      <w:color w:val="605E5C"/>
      <w:shd w:val="clear" w:color="auto" w:fill="E1DFDD"/>
    </w:rPr>
  </w:style>
  <w:style w:type="paragraph" w:customStyle="1" w:styleId="pdq2pgselectionanchorcontainer">
    <w:name w:val="pdq2pg_selectionanchorcontainer"/>
    <w:basedOn w:val="Normal"/>
    <w:rsid w:val="00F2349B"/>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F2349B"/>
    <w:rPr>
      <w:b/>
      <w:bCs/>
    </w:rPr>
  </w:style>
  <w:style w:type="paragraph" w:styleId="NormalWeb">
    <w:name w:val="Normal (Web)"/>
    <w:basedOn w:val="Normal"/>
    <w:uiPriority w:val="99"/>
    <w:semiHidden/>
    <w:unhideWhenUsed/>
    <w:rsid w:val="00F2349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7F2360"/>
    <w:rPr>
      <w:rFonts w:asciiTheme="majorHAnsi" w:eastAsiaTheme="majorEastAsia" w:hAnsiTheme="majorHAnsi" w:cstheme="majorBidi"/>
      <w:color w:val="0F4761" w:themeColor="accent1" w:themeShade="BF"/>
      <w:sz w:val="26"/>
      <w:szCs w:val="26"/>
    </w:rPr>
  </w:style>
  <w:style w:type="character" w:customStyle="1" w:styleId="normaltextrun">
    <w:name w:val="normaltextrun"/>
    <w:basedOn w:val="DefaultParagraphFont"/>
    <w:rsid w:val="000173C6"/>
  </w:style>
  <w:style w:type="paragraph" w:customStyle="1" w:styleId="paragraph">
    <w:name w:val="paragraph"/>
    <w:basedOn w:val="Normal"/>
    <w:rsid w:val="000173C6"/>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eop">
    <w:name w:val="eop"/>
    <w:basedOn w:val="DefaultParagraphFont"/>
    <w:rsid w:val="000173C6"/>
  </w:style>
  <w:style w:type="character" w:styleId="FollowedHyperlink">
    <w:name w:val="FollowedHyperlink"/>
    <w:basedOn w:val="DefaultParagraphFont"/>
    <w:uiPriority w:val="99"/>
    <w:semiHidden/>
    <w:unhideWhenUsed/>
    <w:rsid w:val="00293387"/>
    <w:rPr>
      <w:color w:val="96607D" w:themeColor="followedHyperlink"/>
      <w:u w:val="single"/>
    </w:rPr>
  </w:style>
  <w:style w:type="paragraph" w:customStyle="1" w:styleId="p1">
    <w:name w:val="p1"/>
    <w:basedOn w:val="Normal"/>
    <w:rsid w:val="00321214"/>
    <w:pPr>
      <w:spacing w:after="0" w:line="240" w:lineRule="auto"/>
    </w:pPr>
    <w:rPr>
      <w:rFonts w:ascii="Helvetica" w:eastAsia="Times New Roman" w:hAnsi="Helvetica" w:cs="Times New Roman"/>
      <w:color w:val="000000"/>
      <w:sz w:val="15"/>
      <w:szCs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1784151248FA45951884CC5C74A7CE" ma:contentTypeVersion="17" ma:contentTypeDescription="Create a new document." ma:contentTypeScope="" ma:versionID="6741f28277631f3734b348242937a02a">
  <xsd:schema xmlns:xsd="http://www.w3.org/2001/XMLSchema" xmlns:xs="http://www.w3.org/2001/XMLSchema" xmlns:p="http://schemas.microsoft.com/office/2006/metadata/properties" xmlns:ns2="9b2850ee-26d5-49e1-ace0-0e657f4483dd" xmlns:ns3="6f0cbf4a-a33f-4d11-89d1-b1e6a44afa76" targetNamespace="http://schemas.microsoft.com/office/2006/metadata/properties" ma:root="true" ma:fieldsID="aac18104f6e9fb6b7094aa00435859ad" ns2:_="" ns3:_="">
    <xsd:import namespace="9b2850ee-26d5-49e1-ace0-0e657f4483dd"/>
    <xsd:import namespace="6f0cbf4a-a33f-4d11-89d1-b1e6a44afa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850ee-26d5-49e1-ace0-0e657f448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c748ba-2422-442a-8da0-8c3a11393106"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0cbf4a-a33f-4d11-89d1-b1e6a44afa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4b5328-162d-4d65-b605-7baa91772109}" ma:internalName="TaxCatchAll" ma:showField="CatchAllData" ma:web="6f0cbf4a-a33f-4d11-89d1-b1e6a44afa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2850ee-26d5-49e1-ace0-0e657f4483dd">
      <Terms xmlns="http://schemas.microsoft.com/office/infopath/2007/PartnerControls"/>
    </lcf76f155ced4ddcb4097134ff3c332f>
    <TaxCatchAll xmlns="6f0cbf4a-a33f-4d11-89d1-b1e6a44afa76" xsi:nil="true"/>
  </documentManagement>
</p:properties>
</file>

<file path=customXml/itemProps1.xml><?xml version="1.0" encoding="utf-8"?>
<ds:datastoreItem xmlns:ds="http://schemas.openxmlformats.org/officeDocument/2006/customXml" ds:itemID="{1C90508F-43EF-4320-B02A-2126F0E20315}">
  <ds:schemaRefs>
    <ds:schemaRef ds:uri="http://schemas.microsoft.com/sharepoint/v3/contenttype/forms"/>
  </ds:schemaRefs>
</ds:datastoreItem>
</file>

<file path=customXml/itemProps2.xml><?xml version="1.0" encoding="utf-8"?>
<ds:datastoreItem xmlns:ds="http://schemas.openxmlformats.org/officeDocument/2006/customXml" ds:itemID="{E9DEE34E-B2F0-4140-B35D-726D102BA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2850ee-26d5-49e1-ace0-0e657f4483dd"/>
    <ds:schemaRef ds:uri="6f0cbf4a-a33f-4d11-89d1-b1e6a44af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8F6D2-E645-4F03-BED9-B71535D620C5}">
  <ds:schemaRefs>
    <ds:schemaRef ds:uri="http://schemas.microsoft.com/office/2006/metadata/properties"/>
    <ds:schemaRef ds:uri="http://schemas.microsoft.com/office/infopath/2007/PartnerControls"/>
    <ds:schemaRef ds:uri="9b2850ee-26d5-49e1-ace0-0e657f4483dd"/>
    <ds:schemaRef ds:uri="6f0cbf4a-a33f-4d11-89d1-b1e6a44afa76"/>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ECA0146</dc:title>
  <cp:revision>0</cp:revision>
</cp:coreProperties>
</file>