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6B56" w:rsidP="00686B56">
      <w:pPr>
        <w:pStyle w:val="ListParagraph"/>
        <w:spacing w:after="0" w:line="240" w:lineRule="auto"/>
        <w:ind w:left="360"/>
        <w:jc w:val="center"/>
        <w:rPr>
          <w:b/>
          <w:bCs/>
          <w:sz w:val="24"/>
          <w:szCs w:val="24"/>
        </w:rPr>
      </w:pPr>
      <w:r w:rsidRPr="00A04865">
        <w:rPr>
          <w:b/>
          <w:bCs/>
          <w:sz w:val="24"/>
          <w:szCs w:val="24"/>
        </w:rPr>
        <w:t>Written evidence</w:t>
      </w:r>
      <w:r>
        <w:rPr>
          <w:b/>
          <w:bCs/>
          <w:sz w:val="24"/>
          <w:szCs w:val="24"/>
        </w:rPr>
        <w:t xml:space="preserve"> by </w:t>
      </w:r>
      <w:r w:rsidRPr="00686B56">
        <w:rPr>
          <w:b/>
          <w:bCs/>
          <w:sz w:val="24"/>
          <w:szCs w:val="24"/>
        </w:rPr>
        <w:t>Administrative Data Research UK</w:t>
      </w:r>
      <w:r>
        <w:rPr>
          <w:b/>
          <w:bCs/>
          <w:sz w:val="24"/>
          <w:szCs w:val="24"/>
        </w:rPr>
        <w:t xml:space="preserve"> (ECA0145)</w:t>
      </w:r>
    </w:p>
    <w:p w:rsidR="00686B56" w:rsidP="00A90B2C">
      <w:pPr>
        <w:pStyle w:val="ListParagraph"/>
        <w:spacing w:after="0" w:line="240" w:lineRule="auto"/>
        <w:ind w:left="360"/>
        <w:jc w:val="both"/>
        <w:rPr>
          <w:b/>
          <w:bCs/>
          <w:sz w:val="24"/>
          <w:szCs w:val="24"/>
        </w:rPr>
      </w:pPr>
    </w:p>
    <w:p w:rsidR="00CF19C4" w:rsidRPr="00A04865" w:rsidP="00163DBC">
      <w:pPr>
        <w:pStyle w:val="ListParagraph"/>
        <w:spacing w:after="0" w:line="240" w:lineRule="auto"/>
        <w:ind w:left="360"/>
        <w:jc w:val="both"/>
        <w:rPr>
          <w:b/>
          <w:bCs/>
          <w:sz w:val="24"/>
          <w:szCs w:val="24"/>
        </w:rPr>
      </w:pPr>
    </w:p>
    <w:p w:rsidR="00CF19C4" w:rsidRPr="00A04865" w:rsidP="00163DBC">
      <w:pPr>
        <w:spacing w:after="0" w:line="240" w:lineRule="auto"/>
        <w:jc w:val="both"/>
        <w:rPr>
          <w:b/>
          <w:bCs/>
          <w:sz w:val="24"/>
          <w:szCs w:val="24"/>
        </w:rPr>
      </w:pPr>
      <w:r w:rsidRPr="00A04865">
        <w:rPr>
          <w:b/>
          <w:bCs/>
          <w:sz w:val="24"/>
          <w:szCs w:val="24"/>
        </w:rPr>
        <w:t>Introduction</w:t>
      </w:r>
    </w:p>
    <w:p w:rsidR="00CF19C4" w:rsidRPr="00A04865" w:rsidP="00163DBC">
      <w:pPr>
        <w:pStyle w:val="ListParagraph"/>
        <w:spacing w:after="0" w:line="240" w:lineRule="auto"/>
        <w:ind w:left="360"/>
        <w:jc w:val="both"/>
        <w:rPr>
          <w:sz w:val="24"/>
          <w:szCs w:val="24"/>
        </w:rPr>
      </w:pPr>
    </w:p>
    <w:p w:rsidR="00CF19C4" w:rsidRPr="00163DBC" w:rsidP="00A04865">
      <w:pPr>
        <w:pStyle w:val="ListParagraph"/>
        <w:numPr>
          <w:ilvl w:val="0"/>
          <w:numId w:val="4"/>
        </w:numPr>
        <w:spacing w:after="0" w:line="240" w:lineRule="auto"/>
        <w:jc w:val="both"/>
        <w:rPr>
          <w:sz w:val="24"/>
          <w:szCs w:val="24"/>
        </w:rPr>
      </w:pPr>
      <w:r w:rsidRPr="00163DBC">
        <w:rPr>
          <w:sz w:val="24"/>
          <w:szCs w:val="24"/>
        </w:rPr>
        <w:t>A</w:t>
      </w:r>
      <w:r w:rsidRPr="00A04865">
        <w:rPr>
          <w:sz w:val="24"/>
          <w:szCs w:val="24"/>
        </w:rPr>
        <w:t xml:space="preserve">dministrative </w:t>
      </w:r>
      <w:r w:rsidRPr="00A04865">
        <w:rPr>
          <w:sz w:val="24"/>
          <w:szCs w:val="24"/>
        </w:rPr>
        <w:t>D</w:t>
      </w:r>
      <w:r w:rsidRPr="00A04865">
        <w:rPr>
          <w:sz w:val="24"/>
          <w:szCs w:val="24"/>
        </w:rPr>
        <w:t xml:space="preserve">ata </w:t>
      </w:r>
      <w:r w:rsidRPr="00A04865">
        <w:rPr>
          <w:sz w:val="24"/>
          <w:szCs w:val="24"/>
        </w:rPr>
        <w:t>R</w:t>
      </w:r>
      <w:r w:rsidRPr="00A04865">
        <w:rPr>
          <w:sz w:val="24"/>
          <w:szCs w:val="24"/>
        </w:rPr>
        <w:t>esearch</w:t>
      </w:r>
      <w:r w:rsidRPr="00A04865">
        <w:rPr>
          <w:sz w:val="24"/>
          <w:szCs w:val="24"/>
        </w:rPr>
        <w:t xml:space="preserve"> UK</w:t>
      </w:r>
      <w:r w:rsidRPr="00A04865">
        <w:rPr>
          <w:sz w:val="24"/>
          <w:szCs w:val="24"/>
        </w:rPr>
        <w:t xml:space="preserve"> (ADR UK)</w:t>
      </w:r>
      <w:r w:rsidRPr="00A04865">
        <w:rPr>
          <w:sz w:val="24"/>
          <w:szCs w:val="24"/>
        </w:rPr>
        <w:t xml:space="preserve"> provides secure access to linked public-sector data, enabling researchers to answer critical policy questions that improve lives and drive economic growth. </w:t>
      </w:r>
      <w:r w:rsidRPr="00163DBC">
        <w:rPr>
          <w:sz w:val="24"/>
          <w:szCs w:val="24"/>
        </w:rPr>
        <w:t xml:space="preserve">Our linked datasets </w:t>
      </w:r>
      <w:r w:rsidRPr="00163DBC">
        <w:rPr>
          <w:sz w:val="24"/>
          <w:szCs w:val="24"/>
        </w:rPr>
        <w:t xml:space="preserve">and insights </w:t>
      </w:r>
      <w:r w:rsidRPr="00163DBC">
        <w:rPr>
          <w:sz w:val="24"/>
          <w:szCs w:val="24"/>
        </w:rPr>
        <w:t>cover research themes from crime &amp; justice, to education, health, and the economy.</w:t>
      </w:r>
    </w:p>
    <w:p w:rsidR="00CF19C4" w:rsidRPr="00451DB8" w:rsidP="00451DB8">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ADR UK funded researchers </w:t>
      </w:r>
      <w:r w:rsidRPr="00A04865">
        <w:rPr>
          <w:sz w:val="24"/>
          <w:szCs w:val="24"/>
        </w:rPr>
        <w:t>are supported to securely access and analyse the</w:t>
      </w:r>
      <w:r w:rsidRPr="00A04865">
        <w:rPr>
          <w:sz w:val="24"/>
          <w:szCs w:val="24"/>
        </w:rPr>
        <w:t xml:space="preserve"> datasets for projects </w:t>
      </w:r>
      <w:r w:rsidRPr="00A04865">
        <w:rPr>
          <w:sz w:val="24"/>
          <w:szCs w:val="24"/>
        </w:rPr>
        <w:t>which can benefit the public</w:t>
      </w:r>
      <w:r w:rsidRPr="00A04865">
        <w:rPr>
          <w:sz w:val="24"/>
          <w:szCs w:val="24"/>
        </w:rPr>
        <w:t xml:space="preserve"> and support decision making in policy and practice.</w:t>
      </w:r>
      <w:r w:rsidRPr="00A04865">
        <w:rPr>
          <w:sz w:val="24"/>
          <w:szCs w:val="24"/>
        </w:rPr>
        <w:t xml:space="preserve"> </w:t>
      </w:r>
    </w:p>
    <w:p w:rsidR="00CF19C4" w:rsidRPr="00A04865" w:rsidP="00A04865">
      <w:pPr>
        <w:spacing w:after="0" w:line="240" w:lineRule="auto"/>
        <w:jc w:val="both"/>
        <w:rPr>
          <w:sz w:val="24"/>
          <w:szCs w:val="24"/>
        </w:rPr>
      </w:pPr>
    </w:p>
    <w:p w:rsidR="00CF19C4" w:rsidRPr="00163DBC" w:rsidP="00A04865">
      <w:pPr>
        <w:pStyle w:val="ListParagraph"/>
        <w:numPr>
          <w:ilvl w:val="0"/>
          <w:numId w:val="4"/>
        </w:numPr>
        <w:spacing w:after="0" w:line="240" w:lineRule="auto"/>
        <w:jc w:val="both"/>
        <w:rPr>
          <w:sz w:val="24"/>
          <w:szCs w:val="24"/>
        </w:rPr>
      </w:pPr>
      <w:r w:rsidRPr="00A04865">
        <w:rPr>
          <w:sz w:val="24"/>
          <w:szCs w:val="24"/>
        </w:rPr>
        <w:t>ADR UK has been funded by UKRI’s Economic and Social Research Council (ESRC) since 2018 and is made up of four national partnerships – ADR England, ADR Northern Ireland, ADR Scotland and ADR Wales.</w:t>
      </w:r>
      <w:r w:rsidRPr="00A04865">
        <w:rPr>
          <w:sz w:val="24"/>
          <w:szCs w:val="24"/>
        </w:rPr>
        <w:t xml:space="preserve"> </w:t>
      </w:r>
      <w:r w:rsidRPr="00A04865">
        <w:rPr>
          <w:sz w:val="24"/>
          <w:szCs w:val="24"/>
        </w:rPr>
        <w:t>Each nation works with a trusted research environment to provide safe data access</w:t>
      </w:r>
      <w:r w:rsidRPr="00A04865">
        <w:rPr>
          <w:sz w:val="24"/>
          <w:szCs w:val="24"/>
        </w:rPr>
        <w:t xml:space="preserve"> to researchers</w:t>
      </w:r>
      <w:r w:rsidRPr="00A04865">
        <w:rPr>
          <w:sz w:val="24"/>
          <w:szCs w:val="24"/>
        </w:rPr>
        <w:t xml:space="preserve">, including the Office for National Statistics Secure Research </w:t>
      </w:r>
      <w:r w:rsidRPr="00A04865">
        <w:rPr>
          <w:sz w:val="24"/>
          <w:szCs w:val="24"/>
        </w:rPr>
        <w:t>Service (SRS),</w:t>
      </w:r>
      <w:r w:rsidRPr="00A04865">
        <w:rPr>
          <w:sz w:val="24"/>
          <w:szCs w:val="24"/>
        </w:rPr>
        <w:t xml:space="preserve"> which </w:t>
      </w:r>
      <w:r>
        <w:rPr>
          <w:sz w:val="24"/>
          <w:szCs w:val="24"/>
        </w:rPr>
        <w:t>is part-funded by ADR UK</w:t>
      </w:r>
      <w:r w:rsidRPr="00A04865">
        <w:rPr>
          <w:sz w:val="24"/>
          <w:szCs w:val="24"/>
        </w:rPr>
        <w:t xml:space="preserve">. </w:t>
      </w:r>
    </w:p>
    <w:p w:rsidR="00CF19C4" w:rsidRPr="00A04865" w:rsidP="00A04865">
      <w:pPr>
        <w:spacing w:after="0" w:line="240" w:lineRule="auto"/>
        <w:jc w:val="both"/>
        <w:rPr>
          <w:sz w:val="24"/>
          <w:szCs w:val="24"/>
        </w:rPr>
      </w:pPr>
    </w:p>
    <w:p w:rsidR="00CF19C4" w:rsidRPr="00163DBC" w:rsidP="00163DBC">
      <w:pPr>
        <w:pStyle w:val="ListParagraph"/>
        <w:numPr>
          <w:ilvl w:val="0"/>
          <w:numId w:val="4"/>
        </w:numPr>
        <w:spacing w:after="0" w:line="240" w:lineRule="auto"/>
        <w:jc w:val="both"/>
        <w:rPr>
          <w:sz w:val="24"/>
          <w:szCs w:val="24"/>
        </w:rPr>
      </w:pPr>
      <w:r w:rsidRPr="00A04865">
        <w:rPr>
          <w:sz w:val="24"/>
          <w:szCs w:val="24"/>
        </w:rPr>
        <w:t>Administrative</w:t>
      </w:r>
      <w:r w:rsidRPr="00163DBC">
        <w:rPr>
          <w:sz w:val="24"/>
          <w:szCs w:val="24"/>
        </w:rPr>
        <w:t xml:space="preserve"> data is created whenever people use </w:t>
      </w:r>
      <w:r w:rsidRPr="00A04865">
        <w:rPr>
          <w:sz w:val="24"/>
          <w:szCs w:val="24"/>
        </w:rPr>
        <w:t xml:space="preserve">any public service, from schools or courts to the NHS or HMRC. Public bodies collect this information for their daily operations, understand how they’re working and whether there are any needs for improvement. Administrative data also includes public records such as births, marriages, deaths, the census and the electoral registers. </w:t>
      </w:r>
    </w:p>
    <w:p w:rsidR="00CF19C4" w:rsidRPr="00163DBC" w:rsidP="00163DBC">
      <w:pPr>
        <w:pStyle w:val="ListParagrap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Administrative data is an undervalued, information-rich, </w:t>
      </w:r>
      <w:r w:rsidRPr="00A04865">
        <w:rPr>
          <w:sz w:val="24"/>
          <w:szCs w:val="24"/>
        </w:rPr>
        <w:t xml:space="preserve">previously </w:t>
      </w:r>
      <w:r w:rsidRPr="00A04865">
        <w:rPr>
          <w:sz w:val="24"/>
          <w:szCs w:val="24"/>
        </w:rPr>
        <w:t>untapped resource. While the data was not collected for research</w:t>
      </w:r>
      <w:r w:rsidRPr="00A04865">
        <w:rPr>
          <w:sz w:val="24"/>
          <w:szCs w:val="24"/>
        </w:rPr>
        <w:t xml:space="preserve"> purposes</w:t>
      </w:r>
      <w:r w:rsidRPr="00A04865">
        <w:rPr>
          <w:sz w:val="24"/>
          <w:szCs w:val="24"/>
        </w:rPr>
        <w:t xml:space="preserve">, when used safely and responsibly, it helps to reveal patterns and inequalities which ultimately help policymakers and services better understand society and identify opportunities for intervention.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T</w:t>
      </w:r>
      <w:r w:rsidRPr="00A04865">
        <w:rPr>
          <w:sz w:val="24"/>
          <w:szCs w:val="24"/>
        </w:rPr>
        <w:t xml:space="preserve">he </w:t>
      </w:r>
      <w:r w:rsidRPr="00A04865">
        <w:rPr>
          <w:sz w:val="24"/>
          <w:szCs w:val="24"/>
        </w:rPr>
        <w:t>evidence presented in this submission demonstrates how linked administrative data can improve understanding of educational attainment, attendance, exclusion and progression into further education and training. The findings highlight the interconnected relationship between disadvantage, educational engagement and longer-term outcomes. They also show how linked data can be used to identify emerging risks, evaluate interventions and support evidence-based policymaking</w:t>
      </w:r>
      <w:r w:rsidRPr="00A04865">
        <w:rPr>
          <w:sz w:val="24"/>
          <w:szCs w:val="24"/>
        </w:rPr>
        <w:t xml:space="preserve">. </w:t>
      </w:r>
    </w:p>
    <w:p w:rsidR="00CF19C4" w:rsidRPr="00A04865" w:rsidP="00A04865">
      <w:pPr>
        <w:spacing w:after="0" w:line="240" w:lineRule="auto"/>
        <w:ind w:left="-360"/>
        <w:jc w:val="both"/>
        <w:rPr>
          <w:sz w:val="24"/>
          <w:szCs w:val="24"/>
        </w:rPr>
      </w:pPr>
    </w:p>
    <w:p w:rsidR="00CF19C4" w:rsidP="00A04865">
      <w:pPr>
        <w:spacing w:after="0" w:line="240" w:lineRule="auto"/>
        <w:jc w:val="both"/>
        <w:rPr>
          <w:b/>
          <w:bCs/>
          <w:sz w:val="24"/>
          <w:szCs w:val="24"/>
        </w:rPr>
      </w:pPr>
      <w:r w:rsidRPr="00A04865">
        <w:rPr>
          <w:b/>
          <w:bCs/>
          <w:sz w:val="24"/>
          <w:szCs w:val="24"/>
        </w:rPr>
        <w:t>Executive summary</w:t>
      </w:r>
    </w:p>
    <w:p w:rsidR="00CF19C4" w:rsidRPr="00A04865" w:rsidP="00163DBC">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This submission draws on </w:t>
      </w:r>
      <w:r w:rsidRPr="00A04865">
        <w:rPr>
          <w:sz w:val="24"/>
          <w:szCs w:val="24"/>
        </w:rPr>
        <w:t xml:space="preserve">robust data-led </w:t>
      </w:r>
      <w:r w:rsidRPr="00A04865">
        <w:rPr>
          <w:sz w:val="24"/>
          <w:szCs w:val="24"/>
        </w:rPr>
        <w:t>evidence generated through ADR UK-</w:t>
      </w:r>
      <w:r w:rsidRPr="00A04865">
        <w:rPr>
          <w:sz w:val="24"/>
          <w:szCs w:val="24"/>
        </w:rPr>
        <w:t>funded</w:t>
      </w:r>
      <w:r w:rsidRPr="00A04865">
        <w:rPr>
          <w:sz w:val="24"/>
          <w:szCs w:val="24"/>
        </w:rPr>
        <w:t xml:space="preserve"> research using linked administrative data from across the UK</w:t>
      </w:r>
      <w:r>
        <w:rPr>
          <w:sz w:val="24"/>
          <w:szCs w:val="24"/>
        </w:rPr>
        <w:t xml:space="preserve">, </w:t>
      </w:r>
      <w:r w:rsidRPr="00A04865">
        <w:rPr>
          <w:sz w:val="24"/>
          <w:szCs w:val="24"/>
        </w:rPr>
        <w:t>provided by government departments and public services</w:t>
      </w:r>
      <w:r w:rsidRPr="00A04865">
        <w:rPr>
          <w:sz w:val="24"/>
          <w:szCs w:val="24"/>
        </w:rPr>
        <w:t>.</w:t>
      </w:r>
      <w:r w:rsidRPr="00163DBC">
        <w:rPr>
          <w:sz w:val="24"/>
          <w:szCs w:val="24"/>
        </w:rPr>
        <w:t xml:space="preserve"> The evidence provides insights into the factors associated with educational attainment, attendance, exclusion, disengagement and disadvantage, as well as longer-term outcomes experienced by children and young people. </w:t>
      </w:r>
    </w:p>
    <w:p w:rsidR="00CF19C4" w:rsidRPr="00A04865" w:rsidP="00A04865">
      <w:pPr>
        <w:pStyle w:val="ListParagraph"/>
        <w:spacing w:after="0" w:line="240" w:lineRule="auto"/>
        <w:ind w:left="360"/>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This </w:t>
      </w:r>
      <w:r w:rsidRPr="00A04865">
        <w:rPr>
          <w:sz w:val="24"/>
          <w:szCs w:val="24"/>
        </w:rPr>
        <w:t xml:space="preserve">submission </w:t>
      </w:r>
      <w:r w:rsidRPr="00A04865">
        <w:rPr>
          <w:sz w:val="24"/>
          <w:szCs w:val="24"/>
        </w:rPr>
        <w:t>focuses on the following areas of the Committee’s call for evidence:</w:t>
      </w:r>
    </w:p>
    <w:p w:rsidR="00CF19C4" w:rsidRPr="00A04865" w:rsidP="00A04865">
      <w:pPr>
        <w:spacing w:after="0" w:line="240" w:lineRule="auto"/>
        <w:jc w:val="both"/>
        <w:rPr>
          <w:sz w:val="24"/>
          <w:szCs w:val="24"/>
        </w:rPr>
      </w:pPr>
    </w:p>
    <w:p w:rsidR="00CF19C4" w:rsidRPr="00A04865" w:rsidP="00A04865">
      <w:pPr>
        <w:pStyle w:val="ListParagraph"/>
        <w:numPr>
          <w:ilvl w:val="1"/>
          <w:numId w:val="4"/>
        </w:numPr>
        <w:spacing w:after="0" w:line="240" w:lineRule="auto"/>
        <w:jc w:val="both"/>
        <w:rPr>
          <w:sz w:val="24"/>
          <w:szCs w:val="24"/>
        </w:rPr>
      </w:pPr>
      <w:r w:rsidRPr="00A04865">
        <w:rPr>
          <w:sz w:val="24"/>
          <w:szCs w:val="24"/>
        </w:rPr>
        <w:t>Raising attainment</w:t>
      </w:r>
      <w:r w:rsidRPr="00A04865">
        <w:rPr>
          <w:sz w:val="24"/>
          <w:szCs w:val="24"/>
        </w:rPr>
        <w:t>.</w:t>
      </w:r>
    </w:p>
    <w:p w:rsidR="00CF19C4" w:rsidRPr="00A04865" w:rsidP="00A04865">
      <w:pPr>
        <w:pStyle w:val="ListParagraph"/>
        <w:numPr>
          <w:ilvl w:val="1"/>
          <w:numId w:val="4"/>
        </w:numPr>
        <w:spacing w:after="0" w:line="240" w:lineRule="auto"/>
        <w:jc w:val="both"/>
        <w:rPr>
          <w:sz w:val="24"/>
          <w:szCs w:val="24"/>
        </w:rPr>
      </w:pPr>
      <w:r w:rsidRPr="00A04865">
        <w:rPr>
          <w:sz w:val="24"/>
          <w:szCs w:val="24"/>
        </w:rPr>
        <w:t>Improving attendance</w:t>
      </w:r>
      <w:r w:rsidRPr="00A04865">
        <w:rPr>
          <w:sz w:val="24"/>
          <w:szCs w:val="24"/>
        </w:rPr>
        <w:t>.</w:t>
      </w:r>
    </w:p>
    <w:p w:rsidR="00CF19C4" w:rsidRPr="00A04865" w:rsidP="00A04865">
      <w:pPr>
        <w:pStyle w:val="ListParagraph"/>
        <w:numPr>
          <w:ilvl w:val="1"/>
          <w:numId w:val="4"/>
        </w:numPr>
        <w:spacing w:after="0" w:line="240" w:lineRule="auto"/>
        <w:jc w:val="both"/>
        <w:rPr>
          <w:sz w:val="24"/>
          <w:szCs w:val="24"/>
        </w:rPr>
      </w:pPr>
      <w:r w:rsidRPr="00A04865">
        <w:rPr>
          <w:sz w:val="24"/>
          <w:szCs w:val="24"/>
        </w:rPr>
        <w:t xml:space="preserve">Enrichment, belonging and </w:t>
      </w:r>
      <w:r w:rsidRPr="00A04865">
        <w:rPr>
          <w:sz w:val="24"/>
          <w:szCs w:val="24"/>
        </w:rPr>
        <w:t>behaviour</w:t>
      </w:r>
      <w:r w:rsidRPr="00A04865">
        <w:rPr>
          <w:sz w:val="24"/>
          <w:szCs w:val="24"/>
        </w:rPr>
        <w:t>.</w:t>
      </w:r>
    </w:p>
    <w:p w:rsidR="00CF19C4" w:rsidRPr="00A04865" w:rsidP="00A04865">
      <w:pPr>
        <w:pStyle w:val="ListParagraph"/>
        <w:numPr>
          <w:ilvl w:val="1"/>
          <w:numId w:val="4"/>
        </w:numPr>
        <w:spacing w:after="0" w:line="240" w:lineRule="auto"/>
        <w:jc w:val="both"/>
        <w:rPr>
          <w:sz w:val="24"/>
          <w:szCs w:val="24"/>
        </w:rPr>
      </w:pPr>
      <w:r w:rsidRPr="00A04865">
        <w:rPr>
          <w:sz w:val="24"/>
          <w:szCs w:val="24"/>
        </w:rPr>
        <w:t>Reducing disadvantage gaps</w:t>
      </w:r>
      <w:r w:rsidRPr="00A04865">
        <w:rPr>
          <w:sz w:val="24"/>
          <w:szCs w:val="24"/>
        </w:rPr>
        <w:t>.</w:t>
      </w:r>
    </w:p>
    <w:p w:rsidR="00CF19C4" w:rsidRPr="00A04865" w:rsidP="00A04865">
      <w:pPr>
        <w:spacing w:after="0" w:line="240" w:lineRule="auto"/>
        <w:ind w:left="1080"/>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The evidence highlights four key findings: </w:t>
      </w:r>
    </w:p>
    <w:p w:rsidR="00CF19C4" w:rsidRPr="00A04865" w:rsidP="00A04865">
      <w:pPr>
        <w:spacing w:after="0" w:line="240" w:lineRule="auto"/>
        <w:ind w:left="360"/>
        <w:jc w:val="both"/>
        <w:rPr>
          <w:sz w:val="24"/>
          <w:szCs w:val="24"/>
        </w:rPr>
      </w:pPr>
    </w:p>
    <w:p w:rsidR="00CF19C4" w:rsidRPr="00A04865" w:rsidP="00A04865">
      <w:pPr>
        <w:pStyle w:val="ListParagraph"/>
        <w:numPr>
          <w:ilvl w:val="1"/>
          <w:numId w:val="4"/>
        </w:numPr>
        <w:spacing w:after="0" w:line="240" w:lineRule="auto"/>
        <w:jc w:val="both"/>
        <w:rPr>
          <w:sz w:val="24"/>
          <w:szCs w:val="24"/>
        </w:rPr>
      </w:pPr>
      <w:r w:rsidRPr="00A04865">
        <w:rPr>
          <w:sz w:val="24"/>
          <w:szCs w:val="24"/>
        </w:rPr>
        <w:t xml:space="preserve">Educational attainment is influenced by a range of interconnected factors including socio-economic circumstances, health, care experience and family background. Improving attainment therefore requires policymakers to consider multiple dimensions of disadvantage rather than relying on a single indicator of deprivation. </w:t>
      </w:r>
    </w:p>
    <w:p w:rsidR="00CF19C4" w:rsidRPr="00A04865" w:rsidP="00A04865">
      <w:pPr>
        <w:spacing w:after="0" w:line="240" w:lineRule="auto"/>
        <w:ind w:left="1080"/>
        <w:jc w:val="both"/>
        <w:rPr>
          <w:sz w:val="24"/>
          <w:szCs w:val="24"/>
        </w:rPr>
      </w:pPr>
    </w:p>
    <w:p w:rsidR="00CF19C4" w:rsidRPr="00A04865" w:rsidP="00A04865">
      <w:pPr>
        <w:pStyle w:val="ListParagraph"/>
        <w:numPr>
          <w:ilvl w:val="1"/>
          <w:numId w:val="4"/>
        </w:numPr>
        <w:spacing w:after="0" w:line="240" w:lineRule="auto"/>
        <w:jc w:val="both"/>
        <w:rPr>
          <w:sz w:val="24"/>
          <w:szCs w:val="24"/>
        </w:rPr>
      </w:pPr>
      <w:r w:rsidRPr="00A04865">
        <w:rPr>
          <w:sz w:val="24"/>
          <w:szCs w:val="24"/>
        </w:rPr>
        <w:t xml:space="preserve">Attendance should be viewed not only as an educational outcome but also as an indicator of wider vulnerability. Persistent absence is often associated with broader challenges including homelessness, poor health and socio-economic disadvantage, while higher levels of absenteeism are associated with poorer longer-term outcomes. </w:t>
      </w:r>
    </w:p>
    <w:p w:rsidR="00CF19C4" w:rsidRPr="00A04865" w:rsidP="00A04865">
      <w:pPr>
        <w:spacing w:after="0" w:line="240" w:lineRule="auto"/>
        <w:jc w:val="both"/>
        <w:rPr>
          <w:sz w:val="24"/>
          <w:szCs w:val="24"/>
        </w:rPr>
      </w:pPr>
    </w:p>
    <w:p w:rsidR="00CF19C4" w:rsidRPr="00A04865" w:rsidP="00A04865">
      <w:pPr>
        <w:pStyle w:val="ListParagraph"/>
        <w:numPr>
          <w:ilvl w:val="1"/>
          <w:numId w:val="4"/>
        </w:numPr>
        <w:spacing w:after="0" w:line="240" w:lineRule="auto"/>
        <w:jc w:val="both"/>
        <w:rPr>
          <w:sz w:val="24"/>
          <w:szCs w:val="24"/>
        </w:rPr>
      </w:pPr>
      <w:r w:rsidRPr="00A04865">
        <w:rPr>
          <w:sz w:val="24"/>
          <w:szCs w:val="24"/>
        </w:rPr>
        <w:t xml:space="preserve">Behaviour, suspension and exclusion are closely linked to wider social, emotional and economic circumstances. The evidence suggests that behavioural difficulties often emerge earlier in childhood and that exclusion is associated with significantly poorer long-term outcomes, highlighting the importance of early identification and support. </w:t>
      </w:r>
    </w:p>
    <w:p w:rsidR="00CF19C4" w:rsidRPr="00A04865" w:rsidP="00A04865">
      <w:pPr>
        <w:spacing w:after="0" w:line="240" w:lineRule="auto"/>
        <w:jc w:val="both"/>
        <w:rPr>
          <w:sz w:val="24"/>
          <w:szCs w:val="24"/>
        </w:rPr>
      </w:pPr>
    </w:p>
    <w:p w:rsidR="00CF19C4" w:rsidRPr="00A04865" w:rsidP="00A04865">
      <w:pPr>
        <w:pStyle w:val="ListParagraph"/>
        <w:numPr>
          <w:ilvl w:val="1"/>
          <w:numId w:val="4"/>
        </w:numPr>
        <w:spacing w:after="0" w:line="240" w:lineRule="auto"/>
        <w:jc w:val="both"/>
        <w:rPr>
          <w:sz w:val="24"/>
          <w:szCs w:val="24"/>
        </w:rPr>
      </w:pPr>
      <w:r w:rsidRPr="00A04865">
        <w:rPr>
          <w:sz w:val="24"/>
          <w:szCs w:val="24"/>
        </w:rPr>
        <w:t xml:space="preserve">Disadvantage is multidimensional and may </w:t>
      </w:r>
      <w:r w:rsidRPr="00A04865">
        <w:rPr>
          <w:sz w:val="24"/>
          <w:szCs w:val="24"/>
        </w:rPr>
        <w:t>not be fully captured through a single measure. Linked administrative data can improve the identification of disadvantage, support more effective targeting of resources and strengthen the evaluation of evidence-based</w:t>
      </w:r>
      <w:r w:rsidRPr="00A04865">
        <w:rPr>
          <w:sz w:val="24"/>
          <w:szCs w:val="24"/>
        </w:rPr>
        <w:t xml:space="preserve"> </w:t>
      </w:r>
      <w:r w:rsidRPr="00A04865">
        <w:rPr>
          <w:sz w:val="24"/>
          <w:szCs w:val="24"/>
        </w:rPr>
        <w:t xml:space="preserve">interventions. </w:t>
      </w:r>
    </w:p>
    <w:p w:rsidR="00CF19C4" w:rsidRPr="00A04865" w:rsidP="00A04865">
      <w:pPr>
        <w:spacing w:after="0" w:line="240" w:lineRule="auto"/>
        <w:jc w:val="both"/>
        <w:rPr>
          <w:sz w:val="24"/>
          <w:szCs w:val="24"/>
        </w:rPr>
      </w:pPr>
    </w:p>
    <w:p w:rsidR="00CF19C4" w:rsidRPr="00163DBC" w:rsidP="00A04865">
      <w:pPr>
        <w:pStyle w:val="ListParagraph"/>
        <w:numPr>
          <w:ilvl w:val="0"/>
          <w:numId w:val="4"/>
        </w:numPr>
        <w:spacing w:after="0" w:line="240" w:lineRule="auto"/>
        <w:jc w:val="both"/>
        <w:rPr>
          <w:sz w:val="24"/>
          <w:szCs w:val="24"/>
        </w:rPr>
      </w:pPr>
      <w:r w:rsidRPr="00A04865">
        <w:rPr>
          <w:sz w:val="24"/>
          <w:szCs w:val="24"/>
        </w:rPr>
        <w:t xml:space="preserve">Taken together, the evidence </w:t>
      </w:r>
      <w:r w:rsidRPr="00A04865">
        <w:rPr>
          <w:sz w:val="24"/>
          <w:szCs w:val="24"/>
        </w:rPr>
        <w:t>provides policymakers with a stronger evidence base for</w:t>
      </w:r>
      <w:r w:rsidRPr="00A04865">
        <w:rPr>
          <w:sz w:val="24"/>
          <w:szCs w:val="24"/>
        </w:rPr>
        <w:t xml:space="preserve"> decision-making and ultimately</w:t>
      </w:r>
      <w:r w:rsidRPr="00A04865">
        <w:rPr>
          <w:sz w:val="24"/>
          <w:szCs w:val="24"/>
        </w:rPr>
        <w:t xml:space="preserve"> improving outcomes for children and young people, particularly those experiencing disadvantage. </w:t>
      </w:r>
    </w:p>
    <w:p w:rsidR="00CF19C4" w:rsidRPr="00A04865" w:rsidP="00A04865">
      <w:pPr>
        <w:spacing w:after="0" w:line="240" w:lineRule="auto"/>
        <w:jc w:val="both"/>
        <w:rPr>
          <w:sz w:val="24"/>
          <w:szCs w:val="24"/>
        </w:rPr>
      </w:pPr>
    </w:p>
    <w:p w:rsidR="00CF19C4" w:rsidP="00A04865">
      <w:pPr>
        <w:spacing w:after="0" w:line="240" w:lineRule="auto"/>
        <w:jc w:val="both"/>
        <w:rPr>
          <w:b/>
          <w:bCs/>
          <w:sz w:val="24"/>
          <w:szCs w:val="24"/>
        </w:rPr>
      </w:pPr>
      <w:r w:rsidRPr="00A04865">
        <w:rPr>
          <w:b/>
          <w:bCs/>
          <w:sz w:val="24"/>
          <w:szCs w:val="24"/>
        </w:rPr>
        <w:t>Raising attainment</w:t>
      </w:r>
    </w:p>
    <w:p w:rsidR="00CF19C4" w:rsidRPr="00A04865" w:rsidP="00163DBC">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Educational attainment is influenced by a range of factors that extend beyond classroom performance, including family background, health, care experience and socio-economic circumstances. ADR UK-supported research using linked administrative data found that parental qualifications were the strongest predictors of GCSE attainment and </w:t>
      </w:r>
      <w:r>
        <w:rPr>
          <w:sz w:val="24"/>
          <w:szCs w:val="24"/>
        </w:rPr>
        <w:t xml:space="preserve">a </w:t>
      </w:r>
      <w:r w:rsidRPr="00A04865">
        <w:rPr>
          <w:sz w:val="24"/>
          <w:szCs w:val="24"/>
        </w:rPr>
        <w:t>stronger predictor than free school meal eligibility</w:t>
      </w:r>
      <w:r w:rsidRPr="00A04865">
        <w:rPr>
          <w:sz w:val="24"/>
          <w:szCs w:val="24"/>
        </w:rPr>
        <w:t xml:space="preserve"> </w:t>
      </w:r>
      <w:r w:rsidRPr="0040229A">
        <w:rPr>
          <w:sz w:val="24"/>
          <w:szCs w:val="24"/>
        </w:rPr>
        <w:t>[1]</w:t>
      </w:r>
      <w:r w:rsidRPr="00A04865">
        <w:rPr>
          <w:sz w:val="24"/>
          <w:szCs w:val="24"/>
        </w:rPr>
        <w:t>.</w:t>
      </w:r>
      <w:r w:rsidRPr="00A04865">
        <w:rPr>
          <w:sz w:val="24"/>
          <w:szCs w:val="24"/>
        </w:rPr>
        <w:t xml:space="preserve"> </w:t>
      </w:r>
    </w:p>
    <w:p w:rsidR="00CF19C4" w:rsidRPr="00A04865" w:rsidP="00A04865">
      <w:pPr>
        <w:pStyle w:val="ListParagraph"/>
        <w:spacing w:after="0" w:line="240" w:lineRule="auto"/>
        <w:ind w:left="360"/>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Research </w:t>
      </w:r>
      <w:r w:rsidRPr="00A04865">
        <w:rPr>
          <w:sz w:val="24"/>
          <w:szCs w:val="24"/>
        </w:rPr>
        <w:t>from</w:t>
      </w:r>
      <w:r w:rsidRPr="00A04865">
        <w:rPr>
          <w:sz w:val="24"/>
          <w:szCs w:val="24"/>
        </w:rPr>
        <w:t xml:space="preserve"> ADR</w:t>
      </w:r>
      <w:r w:rsidRPr="00A04865">
        <w:rPr>
          <w:sz w:val="24"/>
          <w:szCs w:val="24"/>
        </w:rPr>
        <w:t xml:space="preserve"> </w:t>
      </w:r>
      <w:r w:rsidRPr="00A04865">
        <w:rPr>
          <w:sz w:val="24"/>
          <w:szCs w:val="24"/>
        </w:rPr>
        <w:t xml:space="preserve">Northern Ireland </w:t>
      </w:r>
      <w:r w:rsidRPr="00A04865">
        <w:rPr>
          <w:sz w:val="24"/>
          <w:szCs w:val="24"/>
        </w:rPr>
        <w:t xml:space="preserve">also </w:t>
      </w:r>
      <w:r w:rsidRPr="00A04865">
        <w:rPr>
          <w:sz w:val="24"/>
          <w:szCs w:val="24"/>
        </w:rPr>
        <w:t>found that poor physical health and mental health conditions were associated with lower GCSE attainment</w:t>
      </w:r>
      <w:r w:rsidRPr="00A04865">
        <w:rPr>
          <w:sz w:val="24"/>
          <w:szCs w:val="24"/>
        </w:rPr>
        <w:t xml:space="preserve"> </w:t>
      </w:r>
      <w:r w:rsidRPr="0040229A">
        <w:rPr>
          <w:sz w:val="24"/>
          <w:szCs w:val="24"/>
        </w:rPr>
        <w:t>[2]</w:t>
      </w:r>
      <w:r w:rsidRPr="00A04865">
        <w:rPr>
          <w:sz w:val="24"/>
          <w:szCs w:val="24"/>
        </w:rPr>
        <w:t>.</w:t>
      </w:r>
      <w:r w:rsidRPr="00A04865">
        <w:rPr>
          <w:sz w:val="24"/>
          <w:szCs w:val="24"/>
        </w:rPr>
        <w:t xml:space="preserve"> Evidence from </w:t>
      </w:r>
      <w:r w:rsidRPr="00A04865">
        <w:rPr>
          <w:sz w:val="24"/>
          <w:szCs w:val="24"/>
        </w:rPr>
        <w:t xml:space="preserve">linked Census 2011 and education </w:t>
      </w:r>
      <w:r w:rsidRPr="00A04865">
        <w:rPr>
          <w:sz w:val="24"/>
          <w:szCs w:val="24"/>
        </w:rPr>
        <w:t>records found</w:t>
      </w:r>
      <w:r w:rsidRPr="00A04865">
        <w:rPr>
          <w:sz w:val="24"/>
          <w:szCs w:val="24"/>
        </w:rPr>
        <w:t xml:space="preserve"> substantial attainment gaps between care</w:t>
      </w:r>
      <w:r>
        <w:rPr>
          <w:sz w:val="24"/>
          <w:szCs w:val="24"/>
        </w:rPr>
        <w:t>-</w:t>
      </w:r>
      <w:r w:rsidRPr="00A04865">
        <w:rPr>
          <w:sz w:val="24"/>
          <w:szCs w:val="24"/>
        </w:rPr>
        <w:t>experienced children and their peers</w:t>
      </w:r>
      <w:r w:rsidRPr="00A04865">
        <w:rPr>
          <w:sz w:val="24"/>
          <w:szCs w:val="24"/>
        </w:rPr>
        <w:t xml:space="preserve">, although </w:t>
      </w:r>
      <w:r w:rsidRPr="00A04865">
        <w:rPr>
          <w:sz w:val="24"/>
          <w:szCs w:val="24"/>
        </w:rPr>
        <w:t xml:space="preserve">around 84% of </w:t>
      </w:r>
      <w:r w:rsidRPr="00A04865">
        <w:rPr>
          <w:sz w:val="24"/>
          <w:szCs w:val="24"/>
        </w:rPr>
        <w:t xml:space="preserve">this </w:t>
      </w:r>
      <w:r w:rsidRPr="00A04865">
        <w:rPr>
          <w:sz w:val="24"/>
          <w:szCs w:val="24"/>
        </w:rPr>
        <w:t xml:space="preserve">gap could be explained by factors including socio-economic </w:t>
      </w:r>
      <w:r w:rsidRPr="00A04865">
        <w:rPr>
          <w:sz w:val="24"/>
          <w:szCs w:val="24"/>
        </w:rPr>
        <w:t>disadvantage, special educational needs, absence, exclusions and family background</w:t>
      </w:r>
      <w:r w:rsidRPr="00A04865">
        <w:rPr>
          <w:sz w:val="24"/>
          <w:szCs w:val="24"/>
        </w:rPr>
        <w:t xml:space="preserve"> </w:t>
      </w:r>
      <w:r w:rsidRPr="0040229A">
        <w:rPr>
          <w:sz w:val="24"/>
          <w:szCs w:val="24"/>
        </w:rPr>
        <w:t>[3]</w:t>
      </w:r>
      <w:r w:rsidRPr="00A04865">
        <w:rPr>
          <w:sz w:val="24"/>
          <w:szCs w:val="24"/>
        </w:rPr>
        <w:t>.</w:t>
      </w:r>
      <w:r w:rsidRPr="00A04865">
        <w:rPr>
          <w:sz w:val="24"/>
          <w:szCs w:val="24"/>
        </w:rPr>
        <w:t xml:space="preserve"> Together, these findings suggest that reducing attainment gaps require</w:t>
      </w:r>
      <w:r w:rsidRPr="00A04865">
        <w:rPr>
          <w:sz w:val="24"/>
          <w:szCs w:val="24"/>
        </w:rPr>
        <w:t>s</w:t>
      </w:r>
      <w:r w:rsidRPr="00A04865">
        <w:rPr>
          <w:sz w:val="24"/>
          <w:szCs w:val="24"/>
        </w:rPr>
        <w:t xml:space="preserve"> policymakers to consider multiple dimensions of disadvantage rather than relying on single indicators of deprivation.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Evidence also</w:t>
      </w:r>
      <w:r w:rsidRPr="00A04865">
        <w:rPr>
          <w:sz w:val="24"/>
          <w:szCs w:val="24"/>
        </w:rPr>
        <w:t xml:space="preserve"> suggests that </w:t>
      </w:r>
      <w:r w:rsidRPr="00A04865">
        <w:rPr>
          <w:sz w:val="24"/>
          <w:szCs w:val="24"/>
        </w:rPr>
        <w:t xml:space="preserve">attainment </w:t>
      </w:r>
      <w:r w:rsidRPr="00A04865">
        <w:rPr>
          <w:sz w:val="24"/>
          <w:szCs w:val="24"/>
        </w:rPr>
        <w:t>should not be viewed as the sole indicator of educational success</w:t>
      </w:r>
      <w:r w:rsidRPr="00A04865">
        <w:rPr>
          <w:sz w:val="24"/>
          <w:szCs w:val="24"/>
        </w:rPr>
        <w:t xml:space="preserve">. Research linking Education Endowment Foundation trials to administrative datasets found that educational interventions can </w:t>
      </w:r>
      <w:r w:rsidRPr="00A04865">
        <w:rPr>
          <w:sz w:val="24"/>
          <w:szCs w:val="24"/>
        </w:rPr>
        <w:t>influence</w:t>
      </w:r>
      <w:r w:rsidRPr="00A04865">
        <w:rPr>
          <w:sz w:val="24"/>
          <w:szCs w:val="24"/>
        </w:rPr>
        <w:t xml:space="preserve"> attendance, exclusions and </w:t>
      </w:r>
      <w:r w:rsidRPr="00A04865">
        <w:rPr>
          <w:sz w:val="24"/>
          <w:szCs w:val="24"/>
        </w:rPr>
        <w:t xml:space="preserve">later </w:t>
      </w:r>
      <w:r w:rsidRPr="00A04865">
        <w:rPr>
          <w:sz w:val="24"/>
          <w:szCs w:val="24"/>
        </w:rPr>
        <w:t xml:space="preserve">participation outcomes in ways that </w:t>
      </w:r>
      <w:r w:rsidRPr="00A04865">
        <w:rPr>
          <w:sz w:val="24"/>
          <w:szCs w:val="24"/>
        </w:rPr>
        <w:t>are not always reflected</w:t>
      </w:r>
      <w:r w:rsidRPr="00A04865">
        <w:rPr>
          <w:sz w:val="24"/>
          <w:szCs w:val="24"/>
        </w:rPr>
        <w:t xml:space="preserve"> </w:t>
      </w:r>
      <w:r w:rsidRPr="00A04865">
        <w:rPr>
          <w:sz w:val="24"/>
          <w:szCs w:val="24"/>
        </w:rPr>
        <w:t xml:space="preserve">in </w:t>
      </w:r>
      <w:r w:rsidRPr="00A04865">
        <w:rPr>
          <w:sz w:val="24"/>
          <w:szCs w:val="24"/>
        </w:rPr>
        <w:t>attainment measures alone</w:t>
      </w:r>
      <w:r w:rsidRPr="00A04865">
        <w:rPr>
          <w:sz w:val="24"/>
          <w:szCs w:val="24"/>
        </w:rPr>
        <w:t xml:space="preserve"> </w:t>
      </w:r>
      <w:r w:rsidRPr="0040229A">
        <w:rPr>
          <w:sz w:val="24"/>
          <w:szCs w:val="24"/>
        </w:rPr>
        <w:t>[4]</w:t>
      </w:r>
      <w:r w:rsidRPr="00A04865">
        <w:rPr>
          <w:sz w:val="24"/>
          <w:szCs w:val="24"/>
        </w:rPr>
        <w:t>.</w:t>
      </w:r>
      <w:r>
        <w:rPr>
          <w:sz w:val="24"/>
          <w:szCs w:val="24"/>
        </w:rPr>
        <w:t xml:space="preserve"> </w:t>
      </w:r>
      <w:r w:rsidRPr="00A04865">
        <w:rPr>
          <w:sz w:val="24"/>
          <w:szCs w:val="24"/>
        </w:rPr>
        <w:t xml:space="preserve">Research </w:t>
      </w:r>
      <w:r w:rsidRPr="00A04865">
        <w:rPr>
          <w:sz w:val="24"/>
          <w:szCs w:val="24"/>
        </w:rPr>
        <w:t xml:space="preserve">from </w:t>
      </w:r>
      <w:r>
        <w:rPr>
          <w:sz w:val="24"/>
          <w:szCs w:val="24"/>
        </w:rPr>
        <w:t xml:space="preserve">ADR </w:t>
      </w:r>
      <w:r w:rsidRPr="00A04865">
        <w:rPr>
          <w:sz w:val="24"/>
          <w:szCs w:val="24"/>
        </w:rPr>
        <w:t xml:space="preserve">Wales </w:t>
      </w:r>
      <w:r>
        <w:rPr>
          <w:sz w:val="24"/>
          <w:szCs w:val="24"/>
        </w:rPr>
        <w:t xml:space="preserve">examining </w:t>
      </w:r>
      <w:r>
        <w:rPr>
          <w:sz w:val="24"/>
          <w:szCs w:val="24"/>
        </w:rPr>
        <w:t xml:space="preserve">early </w:t>
      </w:r>
      <w:r w:rsidRPr="00A04865">
        <w:rPr>
          <w:sz w:val="24"/>
          <w:szCs w:val="24"/>
        </w:rPr>
        <w:t xml:space="preserve">and multiple GCSE entry </w:t>
      </w:r>
      <w:r>
        <w:rPr>
          <w:sz w:val="24"/>
          <w:szCs w:val="24"/>
        </w:rPr>
        <w:t xml:space="preserve">found differing patterns in the use of GCSE entry practices. Pupils entered multiple times were less likely to achieve a grade C or above on their first attempt than those entered only once, suggesting that multiple entry was often used to maximise attainment outcomes through subsequent re-sits </w:t>
      </w:r>
      <w:r w:rsidRPr="0040229A">
        <w:rPr>
          <w:sz w:val="24"/>
          <w:szCs w:val="24"/>
        </w:rPr>
        <w:t>[5]</w:t>
      </w:r>
      <w:r w:rsidRPr="00A04865">
        <w:rPr>
          <w:sz w:val="24"/>
          <w:szCs w:val="24"/>
        </w:rPr>
        <w:t>.</w:t>
      </w:r>
      <w:r>
        <w:rPr>
          <w:sz w:val="24"/>
          <w:szCs w:val="24"/>
        </w:rPr>
        <w:t xml:space="preserve"> </w:t>
      </w:r>
      <w:r>
        <w:rPr>
          <w:sz w:val="24"/>
          <w:szCs w:val="24"/>
        </w:rPr>
        <w:t xml:space="preserve">The </w:t>
      </w:r>
      <w:r w:rsidRPr="00A04865">
        <w:rPr>
          <w:sz w:val="24"/>
          <w:szCs w:val="24"/>
        </w:rPr>
        <w:t xml:space="preserve">Committee may therefore wish to consider how any future accountability framework can recognise a broader range of pupil outcomes alongside examination performance while incentivising meaningful improvements in learning and progression. </w:t>
      </w:r>
      <w:r w:rsidRPr="00A04865">
        <w:rPr>
          <w:sz w:val="24"/>
          <w:szCs w:val="24"/>
        </w:rPr>
        <w:t xml:space="preserve"> </w:t>
      </w:r>
    </w:p>
    <w:p w:rsidR="00CF19C4" w:rsidRPr="00A04865" w:rsidP="00A04865">
      <w:pPr>
        <w:pStyle w:val="ListParagraph"/>
        <w:spacing w:after="0" w:line="240" w:lineRule="auto"/>
        <w:ind w:left="360"/>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Evidence from linked </w:t>
      </w:r>
      <w:r w:rsidRPr="00A04865">
        <w:rPr>
          <w:sz w:val="24"/>
          <w:szCs w:val="24"/>
        </w:rPr>
        <w:t xml:space="preserve">education and crime records in </w:t>
      </w:r>
      <w:r w:rsidRPr="00A04865">
        <w:rPr>
          <w:sz w:val="24"/>
          <w:szCs w:val="24"/>
        </w:rPr>
        <w:t xml:space="preserve">England </w:t>
      </w:r>
      <w:r>
        <w:rPr>
          <w:sz w:val="24"/>
          <w:szCs w:val="24"/>
        </w:rPr>
        <w:t>suggests</w:t>
      </w:r>
      <w:r w:rsidRPr="00A04865">
        <w:rPr>
          <w:sz w:val="24"/>
          <w:szCs w:val="24"/>
        </w:rPr>
        <w:t xml:space="preserve"> that targeted interventions </w:t>
      </w:r>
      <w:r w:rsidRPr="00A04865">
        <w:rPr>
          <w:sz w:val="24"/>
          <w:szCs w:val="24"/>
        </w:rPr>
        <w:t xml:space="preserve">can improve </w:t>
      </w:r>
      <w:r>
        <w:rPr>
          <w:sz w:val="24"/>
          <w:szCs w:val="24"/>
        </w:rPr>
        <w:t xml:space="preserve">educational </w:t>
      </w:r>
      <w:r w:rsidRPr="00A04865">
        <w:rPr>
          <w:sz w:val="24"/>
          <w:szCs w:val="24"/>
        </w:rPr>
        <w:t>outcomes for disadvantaged learners. Evaluation of the Pupil Learning Credits programme found positive effects on mathematics attainment, with particularly strong impacts among pupils eligible for free school meals</w:t>
      </w:r>
      <w:r>
        <w:rPr>
          <w:sz w:val="24"/>
          <w:szCs w:val="24"/>
        </w:rPr>
        <w:t xml:space="preserve">, although evidence of impacts on later crime outcomes was less certain </w:t>
      </w:r>
      <w:r w:rsidRPr="0040229A">
        <w:rPr>
          <w:sz w:val="24"/>
          <w:szCs w:val="24"/>
        </w:rPr>
        <w:t>[6]</w:t>
      </w:r>
      <w:r w:rsidRPr="00A04865">
        <w:rPr>
          <w:sz w:val="24"/>
          <w:szCs w:val="24"/>
        </w:rPr>
        <w:t>.</w:t>
      </w:r>
      <w:r w:rsidRPr="00A04865">
        <w:rPr>
          <w:sz w:val="24"/>
          <w:szCs w:val="24"/>
        </w:rPr>
        <w:t xml:space="preserve"> This </w:t>
      </w:r>
      <w:r w:rsidRPr="00A04865">
        <w:rPr>
          <w:sz w:val="24"/>
          <w:szCs w:val="24"/>
        </w:rPr>
        <w:t xml:space="preserve">evidence suggests that targeted interventions can improve attainment among disadvantaged pupils. </w:t>
      </w:r>
    </w:p>
    <w:p w:rsidR="00CF19C4" w:rsidRPr="00A04865" w:rsidP="00163DBC">
      <w:pPr>
        <w:pStyle w:val="ListParagraph"/>
        <w:spacing w:after="0" w:line="240" w:lineRule="auto"/>
        <w:ind w:left="360"/>
        <w:jc w:val="both"/>
        <w:rPr>
          <w:sz w:val="24"/>
          <w:szCs w:val="24"/>
        </w:rPr>
      </w:pPr>
    </w:p>
    <w:p w:rsidR="00CF19C4" w:rsidRPr="00163DBC" w:rsidP="00A04865">
      <w:pPr>
        <w:pStyle w:val="ListParagraph"/>
        <w:numPr>
          <w:ilvl w:val="0"/>
          <w:numId w:val="4"/>
        </w:numPr>
        <w:spacing w:after="0" w:line="240" w:lineRule="auto"/>
        <w:jc w:val="both"/>
        <w:rPr>
          <w:sz w:val="24"/>
          <w:szCs w:val="24"/>
        </w:rPr>
      </w:pPr>
      <w:r w:rsidRPr="00163DBC">
        <w:rPr>
          <w:sz w:val="24"/>
          <w:szCs w:val="24"/>
        </w:rPr>
        <w:t>Further ADR UK-funded r</w:t>
      </w:r>
      <w:r w:rsidRPr="00163DBC">
        <w:rPr>
          <w:sz w:val="24"/>
          <w:szCs w:val="24"/>
        </w:rPr>
        <w:t xml:space="preserve">esearch </w:t>
      </w:r>
      <w:r w:rsidRPr="00163DBC">
        <w:rPr>
          <w:sz w:val="24"/>
          <w:szCs w:val="24"/>
        </w:rPr>
        <w:t xml:space="preserve">utilising data </w:t>
      </w:r>
      <w:r w:rsidRPr="00163DBC">
        <w:rPr>
          <w:sz w:val="24"/>
          <w:szCs w:val="24"/>
        </w:rPr>
        <w:t>following more than four million pupils in England found that young people whose school performance declined over time were substantially more likely to experience later involvement in the criminal justice system than pupils whose attainment remained stable</w:t>
      </w:r>
      <w:r>
        <w:rPr>
          <w:sz w:val="24"/>
          <w:szCs w:val="24"/>
        </w:rPr>
        <w:t xml:space="preserve"> </w:t>
      </w:r>
      <w:r w:rsidRPr="0040229A">
        <w:rPr>
          <w:sz w:val="24"/>
          <w:szCs w:val="24"/>
        </w:rPr>
        <w:t>[7]</w:t>
      </w:r>
      <w:r>
        <w:rPr>
          <w:sz w:val="24"/>
          <w:szCs w:val="24"/>
        </w:rPr>
        <w:t>.</w:t>
      </w:r>
      <w:r w:rsidRPr="00163DBC">
        <w:rPr>
          <w:sz w:val="24"/>
          <w:szCs w:val="24"/>
        </w:rPr>
        <w:t xml:space="preserve"> The findings suggest that changes in attainment trajectories may provide an early </w:t>
      </w:r>
      <w:r w:rsidRPr="00163DBC">
        <w:rPr>
          <w:sz w:val="24"/>
          <w:szCs w:val="24"/>
        </w:rPr>
        <w:t xml:space="preserve">warning sign </w:t>
      </w:r>
      <w:r w:rsidRPr="00163DBC">
        <w:rPr>
          <w:sz w:val="24"/>
          <w:szCs w:val="24"/>
        </w:rPr>
        <w:t xml:space="preserve">of wider </w:t>
      </w:r>
      <w:r>
        <w:rPr>
          <w:sz w:val="24"/>
          <w:szCs w:val="24"/>
        </w:rPr>
        <w:t>vulnerabilitie</w:t>
      </w:r>
      <w:r w:rsidRPr="00163DBC">
        <w:rPr>
          <w:sz w:val="24"/>
          <w:szCs w:val="24"/>
        </w:rPr>
        <w:t>s affecting educational engagement and could help inform early intervention strategies.</w:t>
      </w:r>
    </w:p>
    <w:p w:rsidR="00CF19C4" w:rsidRPr="00A04865" w:rsidP="00163DBC">
      <w:pPr>
        <w:pStyle w:val="ListParagraph"/>
        <w:spacing w:after="0" w:line="240" w:lineRule="auto"/>
        <w:ind w:left="360"/>
        <w:jc w:val="both"/>
        <w:rPr>
          <w:sz w:val="24"/>
          <w:szCs w:val="24"/>
        </w:rPr>
      </w:pPr>
    </w:p>
    <w:p w:rsidR="00CF19C4" w:rsidRPr="00163DBC" w:rsidP="00A04865">
      <w:pPr>
        <w:pStyle w:val="ListParagraph"/>
        <w:numPr>
          <w:ilvl w:val="0"/>
          <w:numId w:val="4"/>
        </w:numPr>
        <w:spacing w:after="0" w:line="240" w:lineRule="auto"/>
        <w:jc w:val="both"/>
        <w:rPr>
          <w:sz w:val="24"/>
          <w:szCs w:val="24"/>
        </w:rPr>
      </w:pPr>
      <w:r w:rsidRPr="00163DBC">
        <w:rPr>
          <w:sz w:val="24"/>
          <w:szCs w:val="24"/>
        </w:rPr>
        <w:t>Progression beyond compulsory education is an important indicator of longer-term educational success. ADR Wales research found that pupils eligible for free school meals and those with special educational needs were less likely to continue into post-compulsory education and training</w:t>
      </w:r>
      <w:r>
        <w:rPr>
          <w:sz w:val="24"/>
          <w:szCs w:val="24"/>
        </w:rPr>
        <w:t xml:space="preserve"> </w:t>
      </w:r>
      <w:r w:rsidRPr="0040229A">
        <w:rPr>
          <w:sz w:val="24"/>
          <w:szCs w:val="24"/>
        </w:rPr>
        <w:t>[8]</w:t>
      </w:r>
      <w:r>
        <w:rPr>
          <w:sz w:val="24"/>
          <w:szCs w:val="24"/>
        </w:rPr>
        <w:t xml:space="preserve">. </w:t>
      </w:r>
      <w:r w:rsidRPr="00163DBC">
        <w:rPr>
          <w:sz w:val="24"/>
          <w:szCs w:val="24"/>
        </w:rPr>
        <w:t xml:space="preserve">These findings suggest that some groups face additional barriers during key educational transitions and may </w:t>
      </w:r>
      <w:r w:rsidRPr="00163DBC">
        <w:rPr>
          <w:sz w:val="24"/>
          <w:szCs w:val="24"/>
        </w:rPr>
        <w:t>require</w:t>
      </w:r>
      <w:r w:rsidRPr="00163DBC">
        <w:rPr>
          <w:sz w:val="24"/>
          <w:szCs w:val="24"/>
        </w:rPr>
        <w:t xml:space="preserve"> </w:t>
      </w:r>
      <w:r w:rsidRPr="00163DBC">
        <w:rPr>
          <w:sz w:val="24"/>
          <w:szCs w:val="24"/>
        </w:rPr>
        <w:t xml:space="preserve">additional </w:t>
      </w:r>
      <w:r w:rsidRPr="00163DBC">
        <w:rPr>
          <w:sz w:val="24"/>
          <w:szCs w:val="24"/>
        </w:rPr>
        <w:t xml:space="preserve">support to remain engaged in education and training. </w:t>
      </w:r>
    </w:p>
    <w:p w:rsidR="00CF19C4" w:rsidRPr="00A04865" w:rsidP="00163DBC">
      <w:pPr>
        <w:pStyle w:val="ListParagraph"/>
        <w:spacing w:after="0" w:line="240" w:lineRule="auto"/>
        <w:ind w:left="360"/>
        <w:jc w:val="both"/>
        <w:rPr>
          <w:sz w:val="24"/>
          <w:szCs w:val="24"/>
        </w:rPr>
      </w:pPr>
    </w:p>
    <w:p w:rsidR="00CF19C4" w:rsidP="00A04865">
      <w:pPr>
        <w:pStyle w:val="ListParagraph"/>
        <w:numPr>
          <w:ilvl w:val="0"/>
          <w:numId w:val="4"/>
        </w:numPr>
        <w:spacing w:after="0" w:line="240" w:lineRule="auto"/>
        <w:jc w:val="both"/>
        <w:rPr>
          <w:sz w:val="24"/>
          <w:szCs w:val="24"/>
        </w:rPr>
      </w:pPr>
      <w:r w:rsidRPr="00163DBC">
        <w:rPr>
          <w:sz w:val="24"/>
          <w:szCs w:val="24"/>
        </w:rPr>
        <w:t>Collectively, this evidence suggests that raising attainment is most likely to be achieved through a combination of targeted support for disadvantaged pupils</w:t>
      </w:r>
      <w:r w:rsidRPr="00163DBC">
        <w:rPr>
          <w:sz w:val="24"/>
          <w:szCs w:val="24"/>
        </w:rPr>
        <w:t>. T</w:t>
      </w:r>
      <w:r w:rsidRPr="00163DBC">
        <w:rPr>
          <w:sz w:val="24"/>
          <w:szCs w:val="24"/>
        </w:rPr>
        <w:t xml:space="preserve">he </w:t>
      </w:r>
      <w:r w:rsidRPr="00163DBC">
        <w:rPr>
          <w:sz w:val="24"/>
          <w:szCs w:val="24"/>
        </w:rPr>
        <w:t xml:space="preserve">specific </w:t>
      </w:r>
      <w:r w:rsidRPr="00163DBC">
        <w:rPr>
          <w:sz w:val="24"/>
          <w:szCs w:val="24"/>
        </w:rPr>
        <w:t>risk</w:t>
      </w:r>
      <w:r>
        <w:rPr>
          <w:sz w:val="24"/>
          <w:szCs w:val="24"/>
        </w:rPr>
        <w:t xml:space="preserve"> factors</w:t>
      </w:r>
      <w:r w:rsidRPr="00163DBC">
        <w:rPr>
          <w:sz w:val="24"/>
          <w:szCs w:val="24"/>
        </w:rPr>
        <w:t xml:space="preserve"> identified</w:t>
      </w:r>
      <w:r>
        <w:rPr>
          <w:sz w:val="24"/>
          <w:szCs w:val="24"/>
        </w:rPr>
        <w:t xml:space="preserve"> through linked administrative data</w:t>
      </w:r>
      <w:r w:rsidRPr="00163DBC">
        <w:rPr>
          <w:sz w:val="24"/>
          <w:szCs w:val="24"/>
        </w:rPr>
        <w:t xml:space="preserve"> </w:t>
      </w:r>
      <w:r w:rsidRPr="00163DBC">
        <w:rPr>
          <w:sz w:val="24"/>
          <w:szCs w:val="24"/>
        </w:rPr>
        <w:t xml:space="preserve">could </w:t>
      </w:r>
      <w:r>
        <w:rPr>
          <w:sz w:val="24"/>
          <w:szCs w:val="24"/>
        </w:rPr>
        <w:t>support the</w:t>
      </w:r>
      <w:r w:rsidRPr="00163DBC">
        <w:rPr>
          <w:sz w:val="24"/>
          <w:szCs w:val="24"/>
        </w:rPr>
        <w:t xml:space="preserve"> early identification of </w:t>
      </w:r>
      <w:r w:rsidRPr="00163DBC">
        <w:rPr>
          <w:sz w:val="24"/>
          <w:szCs w:val="24"/>
        </w:rPr>
        <w:t xml:space="preserve">vulnerable pupils and </w:t>
      </w:r>
      <w:r>
        <w:rPr>
          <w:sz w:val="24"/>
          <w:szCs w:val="24"/>
        </w:rPr>
        <w:t xml:space="preserve">enable </w:t>
      </w:r>
      <w:r w:rsidRPr="00163DBC">
        <w:rPr>
          <w:sz w:val="24"/>
          <w:szCs w:val="24"/>
        </w:rPr>
        <w:t>timely interventions</w:t>
      </w:r>
      <w:r w:rsidRPr="00163DBC">
        <w:rPr>
          <w:sz w:val="24"/>
          <w:szCs w:val="24"/>
        </w:rPr>
        <w:t xml:space="preserve"> </w:t>
      </w:r>
      <w:r w:rsidRPr="0040229A">
        <w:rPr>
          <w:sz w:val="24"/>
          <w:szCs w:val="24"/>
        </w:rPr>
        <w:t>[7]</w:t>
      </w:r>
      <w:r w:rsidRPr="00163DBC">
        <w:rPr>
          <w:sz w:val="24"/>
          <w:szCs w:val="24"/>
        </w:rPr>
        <w:t xml:space="preserve">. </w:t>
      </w:r>
      <w:r>
        <w:rPr>
          <w:sz w:val="24"/>
          <w:szCs w:val="24"/>
        </w:rPr>
        <w:t>E</w:t>
      </w:r>
      <w:r w:rsidRPr="00163DBC">
        <w:rPr>
          <w:sz w:val="24"/>
          <w:szCs w:val="24"/>
        </w:rPr>
        <w:t xml:space="preserve">valuation frameworks </w:t>
      </w:r>
      <w:r>
        <w:rPr>
          <w:sz w:val="24"/>
          <w:szCs w:val="24"/>
        </w:rPr>
        <w:t xml:space="preserve">informed by </w:t>
      </w:r>
      <w:r w:rsidRPr="00163DBC">
        <w:rPr>
          <w:sz w:val="24"/>
          <w:szCs w:val="24"/>
        </w:rPr>
        <w:t>these insights could</w:t>
      </w:r>
      <w:r w:rsidRPr="00163DBC">
        <w:rPr>
          <w:sz w:val="24"/>
          <w:szCs w:val="24"/>
        </w:rPr>
        <w:t xml:space="preserve"> consider long-term outcomes alongside attainment measures</w:t>
      </w:r>
      <w:r>
        <w:rPr>
          <w:sz w:val="24"/>
          <w:szCs w:val="24"/>
        </w:rPr>
        <w:t>, recognising that educational interventions may have impacts beyond examination performance</w:t>
      </w:r>
      <w:r w:rsidRPr="00163DBC">
        <w:rPr>
          <w:sz w:val="24"/>
          <w:szCs w:val="24"/>
        </w:rPr>
        <w:t xml:space="preserve"> </w:t>
      </w:r>
      <w:r w:rsidRPr="0040229A">
        <w:rPr>
          <w:sz w:val="24"/>
          <w:szCs w:val="24"/>
        </w:rPr>
        <w:t>[4]</w:t>
      </w:r>
      <w:r w:rsidRPr="00163DBC">
        <w:rPr>
          <w:sz w:val="24"/>
          <w:szCs w:val="24"/>
        </w:rPr>
        <w:t>.</w:t>
      </w:r>
      <w:r w:rsidRPr="00163DBC">
        <w:rPr>
          <w:sz w:val="24"/>
          <w:szCs w:val="24"/>
        </w:rPr>
        <w:t xml:space="preserve"> </w:t>
      </w:r>
      <w:r w:rsidRPr="00163DBC">
        <w:rPr>
          <w:sz w:val="24"/>
          <w:szCs w:val="24"/>
        </w:rPr>
        <w:t>Longer-term, ongoing use of l</w:t>
      </w:r>
      <w:r w:rsidRPr="00163DBC">
        <w:rPr>
          <w:sz w:val="24"/>
          <w:szCs w:val="24"/>
        </w:rPr>
        <w:t xml:space="preserve">inked administrative data </w:t>
      </w:r>
      <w:r w:rsidRPr="00163DBC">
        <w:rPr>
          <w:sz w:val="24"/>
          <w:szCs w:val="24"/>
        </w:rPr>
        <w:t>would be</w:t>
      </w:r>
      <w:r w:rsidRPr="00163DBC">
        <w:rPr>
          <w:sz w:val="24"/>
          <w:szCs w:val="24"/>
        </w:rPr>
        <w:t xml:space="preserve"> uniquely placed to </w:t>
      </w:r>
      <w:r w:rsidRPr="00163DBC">
        <w:rPr>
          <w:sz w:val="24"/>
          <w:szCs w:val="24"/>
        </w:rPr>
        <w:t>e</w:t>
      </w:r>
      <w:r w:rsidRPr="00163DBC">
        <w:rPr>
          <w:sz w:val="24"/>
          <w:szCs w:val="24"/>
        </w:rPr>
        <w:t>nabl</w:t>
      </w:r>
      <w:r w:rsidRPr="00163DBC">
        <w:rPr>
          <w:sz w:val="24"/>
          <w:szCs w:val="24"/>
        </w:rPr>
        <w:t>e</w:t>
      </w:r>
      <w:r w:rsidRPr="00163DBC">
        <w:rPr>
          <w:sz w:val="24"/>
          <w:szCs w:val="24"/>
        </w:rPr>
        <w:t xml:space="preserve"> </w:t>
      </w:r>
      <w:r w:rsidRPr="00163DBC">
        <w:rPr>
          <w:sz w:val="24"/>
          <w:szCs w:val="24"/>
        </w:rPr>
        <w:t>policymakers to track educational, social and economic outcomes across the life course</w:t>
      </w:r>
      <w:r w:rsidRPr="00163DBC">
        <w:rPr>
          <w:sz w:val="24"/>
          <w:szCs w:val="24"/>
        </w:rPr>
        <w:t xml:space="preserve"> and evaluate interventions over time</w:t>
      </w:r>
      <w:r w:rsidRPr="00163DBC">
        <w:rPr>
          <w:sz w:val="24"/>
          <w:szCs w:val="24"/>
        </w:rPr>
        <w:t xml:space="preserve">. </w:t>
      </w:r>
      <w:r w:rsidRPr="0040229A">
        <w:rPr>
          <w:sz w:val="24"/>
          <w:szCs w:val="24"/>
        </w:rPr>
        <w:t>[4]</w:t>
      </w:r>
      <w:r w:rsidRPr="0040229A">
        <w:rPr>
          <w:sz w:val="24"/>
          <w:szCs w:val="24"/>
        </w:rPr>
        <w:t>[6]</w:t>
      </w:r>
      <w:r w:rsidRPr="0040229A">
        <w:rPr>
          <w:sz w:val="24"/>
          <w:szCs w:val="24"/>
        </w:rPr>
        <w:t>[7]</w:t>
      </w:r>
      <w:r w:rsidRPr="0040229A">
        <w:rPr>
          <w:sz w:val="24"/>
          <w:szCs w:val="24"/>
        </w:rPr>
        <w:t>[8]</w:t>
      </w:r>
    </w:p>
    <w:p w:rsidR="00CF19C4" w:rsidRPr="00821206" w:rsidP="00821206">
      <w:pPr>
        <w:spacing w:after="0" w:line="240" w:lineRule="auto"/>
        <w:jc w:val="both"/>
        <w:rPr>
          <w:sz w:val="24"/>
          <w:szCs w:val="24"/>
        </w:rPr>
      </w:pPr>
    </w:p>
    <w:p w:rsidR="00CF19C4" w:rsidP="00A04865">
      <w:pPr>
        <w:spacing w:after="0" w:line="240" w:lineRule="auto"/>
        <w:rPr>
          <w:b/>
          <w:bCs/>
          <w:sz w:val="24"/>
          <w:szCs w:val="24"/>
        </w:rPr>
      </w:pPr>
      <w:r w:rsidRPr="00A04865">
        <w:rPr>
          <w:b/>
          <w:bCs/>
          <w:sz w:val="24"/>
          <w:szCs w:val="24"/>
        </w:rPr>
        <w:t>Improving Attendance</w:t>
      </w:r>
    </w:p>
    <w:p w:rsidR="00CF19C4" w:rsidRPr="00A04865" w:rsidP="00163DBC">
      <w:pPr>
        <w:spacing w:after="0" w:line="240" w:lineRule="auto"/>
        <w:rPr>
          <w:b/>
          <w:bCs/>
          <w:sz w:val="24"/>
          <w:szCs w:val="24"/>
        </w:rPr>
      </w:pPr>
    </w:p>
    <w:p w:rsidR="00CF19C4" w:rsidRPr="00A04865" w:rsidP="00163DBC">
      <w:pPr>
        <w:pStyle w:val="ListParagraph"/>
        <w:numPr>
          <w:ilvl w:val="0"/>
          <w:numId w:val="4"/>
        </w:numPr>
        <w:spacing w:after="0" w:line="240" w:lineRule="auto"/>
        <w:jc w:val="both"/>
        <w:rPr>
          <w:sz w:val="24"/>
          <w:szCs w:val="24"/>
        </w:rPr>
      </w:pPr>
      <w:r w:rsidRPr="00A04865">
        <w:rPr>
          <w:sz w:val="24"/>
          <w:szCs w:val="24"/>
        </w:rPr>
        <w:t xml:space="preserve">Improving attendance is important not only for educational attainment but also for longer-term outcomes. ADR UK-supported research using linked data from almost five million pupils in England found that higher levels of school absence were associated with an increased likelihood of later cautions and convictions, with the relationship being particularly strong for unauthorised absence </w:t>
      </w:r>
      <w:r w:rsidRPr="0040229A">
        <w:rPr>
          <w:sz w:val="24"/>
          <w:szCs w:val="24"/>
        </w:rPr>
        <w:t>[9]</w:t>
      </w:r>
      <w:r w:rsidRPr="00A04865">
        <w:rPr>
          <w:sz w:val="24"/>
          <w:szCs w:val="24"/>
        </w:rPr>
        <w:t xml:space="preserve">. By age </w:t>
      </w:r>
      <w:r w:rsidRPr="00A04865">
        <w:rPr>
          <w:sz w:val="24"/>
          <w:szCs w:val="24"/>
        </w:rPr>
        <w:t>30, around</w:t>
      </w:r>
      <w:r w:rsidRPr="00A04865">
        <w:rPr>
          <w:sz w:val="24"/>
          <w:szCs w:val="24"/>
        </w:rPr>
        <w:t xml:space="preserve"> 33% of the pupils in the highest quintile of unauthorised absence had received a caution or conviction, compared with around 7% of those in the lowest quintile </w:t>
      </w:r>
      <w:r w:rsidRPr="0040229A">
        <w:rPr>
          <w:sz w:val="24"/>
          <w:szCs w:val="24"/>
        </w:rPr>
        <w:t>[9]</w:t>
      </w:r>
      <w:r w:rsidRPr="00A04865">
        <w:rPr>
          <w:sz w:val="24"/>
          <w:szCs w:val="24"/>
        </w:rPr>
        <w:t>. These findings suggest that attendance should be viewed as an important indicator of educational engagement and wider future outcomes.</w:t>
      </w:r>
    </w:p>
    <w:p w:rsidR="00CF19C4" w:rsidRPr="00A04865" w:rsidP="00163DBC">
      <w:pPr>
        <w:pStyle w:val="ListParagraph"/>
        <w:spacing w:after="0" w:line="240" w:lineRule="auto"/>
        <w:ind w:left="360"/>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Persistent absence is often associated with broader forms of disadvantage and vulnerability. ADR Wales research found that pupils who had experienced homelessness were substantially more likely to report school disengagement, including truancy, suspension or exclusion, and behavioural difficulties </w:t>
      </w:r>
      <w:r w:rsidRPr="0040229A">
        <w:rPr>
          <w:sz w:val="24"/>
          <w:szCs w:val="24"/>
        </w:rPr>
        <w:t>[10]</w:t>
      </w:r>
      <w:r w:rsidRPr="00A04865">
        <w:rPr>
          <w:sz w:val="24"/>
          <w:szCs w:val="24"/>
        </w:rPr>
        <w:t xml:space="preserve">. At the same time, almost half of pupils experiencing homelessness displayed none of these observable indicators of disengagement </w:t>
      </w:r>
      <w:r w:rsidRPr="0040229A">
        <w:rPr>
          <w:sz w:val="24"/>
          <w:szCs w:val="24"/>
        </w:rPr>
        <w:t>[10]</w:t>
      </w:r>
      <w:r w:rsidRPr="00A04865">
        <w:rPr>
          <w:sz w:val="24"/>
          <w:szCs w:val="24"/>
        </w:rPr>
        <w:t xml:space="preserve">. This suggests that attendance and behaviour data alone may not identify all pupils facing significant challenges outside school.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Evidence also suggests that attendance difficulties frequently emerge as long-term patterns rather than isolated episodes. Research tracking a cohort of learners in Wales across eleven years of compulsory education identified a distinct group of pupils who experienced persistently high levels of non-attendance through</w:t>
      </w:r>
      <w:r w:rsidRPr="00A04865">
        <w:rPr>
          <w:sz w:val="24"/>
          <w:szCs w:val="24"/>
        </w:rPr>
        <w:t>out</w:t>
      </w:r>
      <w:r w:rsidRPr="00A04865">
        <w:rPr>
          <w:sz w:val="24"/>
          <w:szCs w:val="24"/>
        </w:rPr>
        <w:t xml:space="preserve"> their school careers </w:t>
      </w:r>
      <w:r w:rsidRPr="0040229A">
        <w:rPr>
          <w:sz w:val="24"/>
          <w:szCs w:val="24"/>
        </w:rPr>
        <w:t>[11]</w:t>
      </w:r>
      <w:r w:rsidRPr="00A04865">
        <w:rPr>
          <w:sz w:val="24"/>
          <w:szCs w:val="24"/>
        </w:rPr>
        <w:t xml:space="preserve">. The findings indicate that attendance challenges can be established early and may require sustained support rather than short-term intervention. </w:t>
      </w:r>
    </w:p>
    <w:p w:rsidR="00CF19C4" w:rsidRPr="00A04865" w:rsidP="00163DBC">
      <w:pPr>
        <w:pStyle w:val="ListParagraph"/>
        <w:spacing w:after="0" w:line="240" w:lineRule="auto"/>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Wider factors associated with educational disengagement should also be considered. </w:t>
      </w:r>
      <w:r w:rsidRPr="00A04865">
        <w:rPr>
          <w:sz w:val="24"/>
          <w:szCs w:val="24"/>
        </w:rPr>
        <w:t>ADR Northern Ireland</w:t>
      </w:r>
      <w:r w:rsidRPr="00163DBC">
        <w:rPr>
          <w:sz w:val="24"/>
          <w:szCs w:val="24"/>
        </w:rPr>
        <w:t xml:space="preserve"> analysis of the School Leavers Survey linked to the 2011 Census</w:t>
      </w:r>
      <w:r w:rsidRPr="00A04865">
        <w:rPr>
          <w:sz w:val="24"/>
          <w:szCs w:val="24"/>
        </w:rPr>
        <w:t xml:space="preserve"> found that poor physical health and mental health conditions were associated with lower educational attainment </w:t>
      </w:r>
      <w:r w:rsidRPr="0040229A">
        <w:rPr>
          <w:sz w:val="24"/>
          <w:szCs w:val="24"/>
        </w:rPr>
        <w:t>[2]</w:t>
      </w:r>
      <w:r w:rsidRPr="00A04865">
        <w:rPr>
          <w:sz w:val="24"/>
          <w:szCs w:val="24"/>
        </w:rPr>
        <w:t xml:space="preserve">. </w:t>
      </w:r>
      <w:r>
        <w:rPr>
          <w:sz w:val="24"/>
          <w:szCs w:val="24"/>
        </w:rPr>
        <w:t xml:space="preserve">Evidence from </w:t>
      </w:r>
      <w:r w:rsidRPr="00A04865">
        <w:rPr>
          <w:sz w:val="24"/>
          <w:szCs w:val="24"/>
        </w:rPr>
        <w:t xml:space="preserve">ADR </w:t>
      </w:r>
      <w:r>
        <w:rPr>
          <w:sz w:val="24"/>
          <w:szCs w:val="24"/>
        </w:rPr>
        <w:t xml:space="preserve">Wales and ADR England similarly demonstrates links between wider vulnerabilities, educational disengagement and poorer outcomes over time </w:t>
      </w:r>
      <w:r w:rsidRPr="0040229A">
        <w:rPr>
          <w:sz w:val="24"/>
          <w:szCs w:val="24"/>
        </w:rPr>
        <w:t>[1</w:t>
      </w:r>
      <w:r w:rsidRPr="0040229A">
        <w:rPr>
          <w:sz w:val="24"/>
          <w:szCs w:val="24"/>
        </w:rPr>
        <w:t>0</w:t>
      </w:r>
      <w:r w:rsidRPr="0040229A">
        <w:rPr>
          <w:sz w:val="24"/>
          <w:szCs w:val="24"/>
        </w:rPr>
        <w:t>]</w:t>
      </w:r>
      <w:r w:rsidRPr="0040229A">
        <w:rPr>
          <w:sz w:val="24"/>
          <w:szCs w:val="24"/>
        </w:rPr>
        <w:t>[11]</w:t>
      </w:r>
      <w:r w:rsidRPr="00A04865">
        <w:rPr>
          <w:sz w:val="24"/>
          <w:szCs w:val="24"/>
        </w:rPr>
        <w:t xml:space="preserve">. Together, these findings suggest that attendance problems may often reflect underlying health, social or family circumstances rather than issues occurring solely within the school environment. </w:t>
      </w:r>
    </w:p>
    <w:p w:rsidR="00CF19C4" w:rsidRPr="00A04865" w:rsidP="00163DBC">
      <w:pPr>
        <w:pStyle w:val="ListParagraph"/>
        <w:spacing w:after="0" w:line="240" w:lineRule="auto"/>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The evidence indicates that responsibility for improving attendance is shared across schools, families and wider services. Research on youth homelessness found that relying solely on observable school behaviours risks missing vulnerable young people who may require support </w:t>
      </w:r>
      <w:r w:rsidRPr="0040229A">
        <w:rPr>
          <w:sz w:val="24"/>
          <w:szCs w:val="24"/>
        </w:rPr>
        <w:t>[10]</w:t>
      </w:r>
      <w:r w:rsidRPr="00A04865">
        <w:rPr>
          <w:sz w:val="24"/>
          <w:szCs w:val="24"/>
        </w:rPr>
        <w:t>. Similarly, evidence from</w:t>
      </w:r>
      <w:r w:rsidRPr="00A04865">
        <w:rPr>
          <w:sz w:val="24"/>
          <w:szCs w:val="24"/>
        </w:rPr>
        <w:t xml:space="preserve"> ADR</w:t>
      </w:r>
      <w:r w:rsidRPr="00A04865">
        <w:rPr>
          <w:sz w:val="24"/>
          <w:szCs w:val="24"/>
        </w:rPr>
        <w:t xml:space="preserve"> Scotland found substantial variation in exclusion rates between schools and local authority areas, suggesting that institutional practices and local support systems can influence </w:t>
      </w:r>
      <w:r>
        <w:rPr>
          <w:sz w:val="24"/>
          <w:szCs w:val="24"/>
        </w:rPr>
        <w:t xml:space="preserve">pupil outcomes </w:t>
      </w:r>
      <w:r w:rsidRPr="0040229A">
        <w:rPr>
          <w:sz w:val="24"/>
          <w:szCs w:val="24"/>
        </w:rPr>
        <w:t>[12]</w:t>
      </w:r>
      <w:r w:rsidRPr="00A04865">
        <w:rPr>
          <w:sz w:val="24"/>
          <w:szCs w:val="24"/>
        </w:rPr>
        <w:t xml:space="preserve">. These findings highlight the potential value of </w:t>
      </w:r>
      <w:r w:rsidRPr="00A04865">
        <w:rPr>
          <w:sz w:val="24"/>
          <w:szCs w:val="24"/>
        </w:rPr>
        <w:t xml:space="preserve">coordinated approaches that bring together education, health, housing and other local services. </w:t>
      </w:r>
    </w:p>
    <w:p w:rsidR="00CF19C4" w:rsidRPr="00A04865" w:rsidP="00163DBC">
      <w:pPr>
        <w:pStyle w:val="ListParagraph"/>
        <w:spacing w:after="0" w:line="240" w:lineRule="auto"/>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The evidence</w:t>
      </w:r>
      <w:r w:rsidRPr="00A04865">
        <w:rPr>
          <w:sz w:val="24"/>
          <w:szCs w:val="24"/>
        </w:rPr>
        <w:t xml:space="preserve"> suggests that</w:t>
      </w:r>
      <w:r w:rsidRPr="00A04865">
        <w:rPr>
          <w:sz w:val="24"/>
          <w:szCs w:val="24"/>
        </w:rPr>
        <w:t xml:space="preserve"> absence should not be viewed solely as a school-level issue. Attendance patterns are closely associated with wider factors including homelessness, health, exclusion and other forms of disadvantage. Linked administrative data can help policymakers identify pupils at risk of disengagement and evaluate </w:t>
      </w:r>
      <w:r>
        <w:rPr>
          <w:sz w:val="24"/>
          <w:szCs w:val="24"/>
        </w:rPr>
        <w:t xml:space="preserve">the impact of </w:t>
      </w:r>
      <w:r w:rsidRPr="00A04865">
        <w:rPr>
          <w:sz w:val="24"/>
          <w:szCs w:val="24"/>
        </w:rPr>
        <w:t xml:space="preserve">interventions </w:t>
      </w:r>
      <w:r>
        <w:rPr>
          <w:sz w:val="24"/>
          <w:szCs w:val="24"/>
        </w:rPr>
        <w:t xml:space="preserve">on </w:t>
      </w:r>
      <w:r w:rsidRPr="00A04865">
        <w:rPr>
          <w:sz w:val="24"/>
          <w:szCs w:val="24"/>
        </w:rPr>
        <w:t xml:space="preserve">attendance and </w:t>
      </w:r>
      <w:r w:rsidRPr="00A04865">
        <w:rPr>
          <w:sz w:val="24"/>
          <w:szCs w:val="24"/>
        </w:rPr>
        <w:t>longer-term</w:t>
      </w:r>
      <w:r w:rsidRPr="00A04865">
        <w:rPr>
          <w:sz w:val="24"/>
          <w:szCs w:val="24"/>
        </w:rPr>
        <w:t xml:space="preserve"> outcomes </w:t>
      </w:r>
      <w:r w:rsidRPr="0040229A">
        <w:rPr>
          <w:sz w:val="24"/>
          <w:szCs w:val="24"/>
        </w:rPr>
        <w:t>[</w:t>
      </w:r>
      <w:r w:rsidRPr="0040229A">
        <w:rPr>
          <w:sz w:val="24"/>
          <w:szCs w:val="24"/>
        </w:rPr>
        <w:t>9][10][11]</w:t>
      </w:r>
      <w:r w:rsidRPr="0040229A">
        <w:rPr>
          <w:sz w:val="24"/>
          <w:szCs w:val="24"/>
        </w:rPr>
        <w:t>[12]</w:t>
      </w:r>
      <w:r w:rsidRPr="00A04865">
        <w:rPr>
          <w:sz w:val="24"/>
          <w:szCs w:val="24"/>
        </w:rPr>
        <w:t xml:space="preserve">. </w:t>
      </w:r>
    </w:p>
    <w:p w:rsidR="00CF19C4" w:rsidRPr="00A04865" w:rsidP="00A04865">
      <w:pPr>
        <w:spacing w:after="0" w:line="240" w:lineRule="auto"/>
        <w:jc w:val="both"/>
        <w:rPr>
          <w:sz w:val="24"/>
          <w:szCs w:val="24"/>
        </w:rPr>
      </w:pPr>
    </w:p>
    <w:p w:rsidR="00CF19C4" w:rsidP="00A04865">
      <w:pPr>
        <w:spacing w:after="0" w:line="240" w:lineRule="auto"/>
        <w:jc w:val="both"/>
        <w:rPr>
          <w:b/>
          <w:bCs/>
          <w:sz w:val="24"/>
          <w:szCs w:val="24"/>
        </w:rPr>
      </w:pPr>
      <w:r w:rsidRPr="00A04865">
        <w:rPr>
          <w:b/>
          <w:bCs/>
          <w:sz w:val="24"/>
          <w:szCs w:val="24"/>
        </w:rPr>
        <w:t>Enrichment, Belonging &amp; Behaviour</w:t>
      </w:r>
    </w:p>
    <w:p w:rsidR="00CF19C4" w:rsidRPr="00A04865" w:rsidP="00163DBC">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Evidence from ADR UK-supported research suggests that behaviour, suspension and exclusion should be understood not only as disciplinary issues, but also as indicators of wider vulnerability and disengagement. ADR Scotland research found that pupils who were care-experienced, eligible for free school meals, or previously excluded during primary school face</w:t>
      </w:r>
      <w:r w:rsidRPr="00A04865">
        <w:rPr>
          <w:sz w:val="24"/>
          <w:szCs w:val="24"/>
        </w:rPr>
        <w:t>d</w:t>
      </w:r>
      <w:r w:rsidRPr="00A04865">
        <w:rPr>
          <w:sz w:val="24"/>
          <w:szCs w:val="24"/>
        </w:rPr>
        <w:t xml:space="preserve"> a significantly greater likelihood of exclusion in secondary school </w:t>
      </w:r>
      <w:r w:rsidRPr="0040229A">
        <w:rPr>
          <w:sz w:val="24"/>
          <w:szCs w:val="24"/>
        </w:rPr>
        <w:t>[12]</w:t>
      </w:r>
      <w:r w:rsidRPr="00A04865">
        <w:rPr>
          <w:sz w:val="24"/>
          <w:szCs w:val="24"/>
        </w:rPr>
        <w:t xml:space="preserve">. These findings suggest that </w:t>
      </w:r>
      <w:r>
        <w:rPr>
          <w:sz w:val="24"/>
          <w:szCs w:val="24"/>
        </w:rPr>
        <w:t xml:space="preserve">exclusion is </w:t>
      </w:r>
      <w:r w:rsidRPr="00A04865">
        <w:rPr>
          <w:sz w:val="24"/>
          <w:szCs w:val="24"/>
        </w:rPr>
        <w:t xml:space="preserve">associated with </w:t>
      </w:r>
      <w:r>
        <w:rPr>
          <w:sz w:val="24"/>
          <w:szCs w:val="24"/>
        </w:rPr>
        <w:t xml:space="preserve">both socio-economic </w:t>
      </w:r>
      <w:r w:rsidRPr="00A04865">
        <w:rPr>
          <w:sz w:val="24"/>
          <w:szCs w:val="24"/>
        </w:rPr>
        <w:t>disadvantage</w:t>
      </w:r>
      <w:r>
        <w:rPr>
          <w:sz w:val="24"/>
          <w:szCs w:val="24"/>
        </w:rPr>
        <w:t xml:space="preserve"> and earlier experiences of disengagement from education</w:t>
      </w:r>
      <w:r w:rsidRPr="00A04865">
        <w:rPr>
          <w:sz w:val="24"/>
          <w:szCs w:val="24"/>
        </w:rPr>
        <w:t xml:space="preserve">. </w:t>
      </w:r>
    </w:p>
    <w:p w:rsidR="00CF19C4" w:rsidRPr="00A04865" w:rsidP="00A04865">
      <w:pPr>
        <w:pStyle w:val="ListParagraph"/>
        <w:spacing w:after="0" w:line="240" w:lineRule="auto"/>
        <w:ind w:left="360"/>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Suspension and exclusion are also associated with poorer longer-term outcomes. Research </w:t>
      </w:r>
      <w:r w:rsidRPr="00A04865">
        <w:rPr>
          <w:sz w:val="24"/>
          <w:szCs w:val="24"/>
        </w:rPr>
        <w:t>using linked Ministry of Justice and Department for Education data found that pupils who had experienced a permanent exclusion had 2.41 times higher odds of criminal justice system involvement than those without a permanent exclusion. The relationship was even stronger where pupils experienced repeated temporary exclusions: compared with pupils who had received one temporary exclusion, the odds of criminal justice system involvement increased to 2.46 times for pupils receiving between two and four exclusion</w:t>
      </w:r>
      <w:r w:rsidRPr="00A04865">
        <w:rPr>
          <w:sz w:val="24"/>
          <w:szCs w:val="24"/>
        </w:rPr>
        <w:t xml:space="preserve">s, 4.71 times for pupils receiving between five and nine exclusions, and 6.59 times for those receiving ten or more temporary exclusions </w:t>
      </w:r>
      <w:r w:rsidRPr="0040229A">
        <w:rPr>
          <w:sz w:val="24"/>
          <w:szCs w:val="24"/>
        </w:rPr>
        <w:t>[13]</w:t>
      </w:r>
      <w:r w:rsidRPr="00A04865">
        <w:rPr>
          <w:sz w:val="24"/>
          <w:szCs w:val="24"/>
        </w:rPr>
        <w:t xml:space="preserve">. </w:t>
      </w:r>
      <w:r w:rsidRPr="00A04865">
        <w:rPr>
          <w:sz w:val="24"/>
          <w:szCs w:val="24"/>
        </w:rPr>
        <w:t>The findings suggest that exclusion</w:t>
      </w:r>
      <w:r w:rsidRPr="00A04865">
        <w:rPr>
          <w:sz w:val="24"/>
          <w:szCs w:val="24"/>
        </w:rPr>
        <w:t>,</w:t>
      </w:r>
      <w:r w:rsidRPr="00A04865">
        <w:rPr>
          <w:sz w:val="24"/>
          <w:szCs w:val="24"/>
        </w:rPr>
        <w:t xml:space="preserve"> particularly when exclusions become repeated or escalate over time, should be viewed as an important indicator of vulnerability and future risk.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Evidence also indicates that many behavioural difficulties emerge earlier in childhood and may be identifiable before poor outcomes become entrenched. ADR UK-supported research found that socio-emotional difficulties in childhood were associated with lower educational attainment, greater risk of exclusion and an increased likelihood of later offending behaviour </w:t>
      </w:r>
      <w:r w:rsidRPr="005A4620">
        <w:rPr>
          <w:sz w:val="24"/>
          <w:szCs w:val="24"/>
        </w:rPr>
        <w:t>[14]</w:t>
      </w:r>
      <w:r w:rsidRPr="00A04865">
        <w:rPr>
          <w:sz w:val="24"/>
          <w:szCs w:val="24"/>
        </w:rPr>
        <w:t xml:space="preserve">. Research following more than four million pupils in England similarly found that declining educational performance over time was associated with poorer later outcomes </w:t>
      </w:r>
      <w:r w:rsidRPr="005A4620">
        <w:rPr>
          <w:sz w:val="24"/>
          <w:szCs w:val="24"/>
        </w:rPr>
        <w:t>[7]</w:t>
      </w:r>
      <w:r w:rsidRPr="00A04865">
        <w:rPr>
          <w:sz w:val="24"/>
          <w:szCs w:val="24"/>
        </w:rPr>
        <w:t xml:space="preserve">. These findings suggest that preventative approaches and early intervention may be more effective than responding only after behavioural difficulties have become established.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Evidence suggests that </w:t>
      </w:r>
      <w:r>
        <w:rPr>
          <w:sz w:val="24"/>
          <w:szCs w:val="24"/>
        </w:rPr>
        <w:t xml:space="preserve">educational </w:t>
      </w:r>
      <w:r>
        <w:rPr>
          <w:sz w:val="24"/>
          <w:szCs w:val="24"/>
        </w:rPr>
        <w:t xml:space="preserve">experiences during childhood can be </w:t>
      </w:r>
      <w:r>
        <w:rPr>
          <w:sz w:val="24"/>
          <w:szCs w:val="24"/>
        </w:rPr>
        <w:t xml:space="preserve">closely linked to longer-term </w:t>
      </w:r>
      <w:r w:rsidRPr="00A04865">
        <w:rPr>
          <w:sz w:val="24"/>
          <w:szCs w:val="24"/>
        </w:rPr>
        <w:t xml:space="preserve">outcomes. </w:t>
      </w:r>
      <w:r>
        <w:rPr>
          <w:sz w:val="24"/>
          <w:szCs w:val="24"/>
        </w:rPr>
        <w:t xml:space="preserve">Research </w:t>
      </w:r>
      <w:r w:rsidRPr="00A04865">
        <w:rPr>
          <w:sz w:val="24"/>
          <w:szCs w:val="24"/>
        </w:rPr>
        <w:t xml:space="preserve">on school performance trajectories found that pupils whose </w:t>
      </w:r>
      <w:r w:rsidRPr="00A04865">
        <w:rPr>
          <w:sz w:val="24"/>
          <w:szCs w:val="24"/>
        </w:rPr>
        <w:t xml:space="preserve">attainment declined </w:t>
      </w:r>
      <w:r w:rsidRPr="00A04865">
        <w:rPr>
          <w:sz w:val="24"/>
          <w:szCs w:val="24"/>
        </w:rPr>
        <w:t xml:space="preserve">over time experienced substantially poorer later outcomes </w:t>
      </w:r>
      <w:r w:rsidRPr="005A4620">
        <w:rPr>
          <w:sz w:val="24"/>
          <w:szCs w:val="24"/>
        </w:rPr>
        <w:t>[7]</w:t>
      </w:r>
      <w:r w:rsidRPr="00A04865">
        <w:rPr>
          <w:sz w:val="24"/>
          <w:szCs w:val="24"/>
        </w:rPr>
        <w:t xml:space="preserve">. </w:t>
      </w:r>
      <w:r>
        <w:rPr>
          <w:sz w:val="24"/>
          <w:szCs w:val="24"/>
        </w:rPr>
        <w:t xml:space="preserve">Together with evidence on socio-emotional development </w:t>
      </w:r>
      <w:r>
        <w:rPr>
          <w:sz w:val="24"/>
          <w:szCs w:val="24"/>
        </w:rPr>
        <w:t xml:space="preserve">and exclusion </w:t>
      </w:r>
      <w:r w:rsidRPr="005A4620">
        <w:rPr>
          <w:sz w:val="24"/>
          <w:szCs w:val="24"/>
        </w:rPr>
        <w:t>[14]</w:t>
      </w:r>
      <w:r>
        <w:rPr>
          <w:sz w:val="24"/>
          <w:szCs w:val="24"/>
        </w:rPr>
        <w:t>,</w:t>
      </w:r>
      <w:r>
        <w:rPr>
          <w:sz w:val="24"/>
          <w:szCs w:val="24"/>
        </w:rPr>
        <w:t xml:space="preserve"> t</w:t>
      </w:r>
      <w:r w:rsidRPr="00A04865">
        <w:rPr>
          <w:sz w:val="24"/>
          <w:szCs w:val="24"/>
        </w:rPr>
        <w:t xml:space="preserve">hese findings </w:t>
      </w:r>
      <w:r>
        <w:rPr>
          <w:sz w:val="24"/>
          <w:szCs w:val="24"/>
        </w:rPr>
        <w:t xml:space="preserve">highlight the importance of identifying and supporting pupils whose engagement with education begins to deteriorate.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Linked administrative data provides opportunities to assess engagement and belonging through a wider range of indicators than attainment alone. ADR UK-supported research shows that attendance, exclusion, attainment trajectories and progression outcomes </w:t>
      </w:r>
      <w:r w:rsidRPr="00A04865">
        <w:rPr>
          <w:sz w:val="24"/>
          <w:szCs w:val="24"/>
        </w:rPr>
        <w:t>may</w:t>
      </w:r>
      <w:r w:rsidRPr="00A04865">
        <w:rPr>
          <w:sz w:val="24"/>
          <w:szCs w:val="24"/>
        </w:rPr>
        <w:t xml:space="preserve"> provide valuable information about pupil engagement and educational participation </w:t>
      </w:r>
      <w:r w:rsidRPr="005A4620">
        <w:rPr>
          <w:sz w:val="24"/>
          <w:szCs w:val="24"/>
        </w:rPr>
        <w:t>[4][7]</w:t>
      </w:r>
      <w:r w:rsidRPr="00A04865">
        <w:rPr>
          <w:sz w:val="24"/>
          <w:szCs w:val="24"/>
        </w:rPr>
        <w:t xml:space="preserve">. This suggests that future accountability frameworks may benefit from considering a broader range of outcomes when assessing how successfully schools support pupil engagement and wellbeing.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Across these studies, </w:t>
      </w:r>
      <w:r w:rsidRPr="00A04865">
        <w:rPr>
          <w:sz w:val="24"/>
          <w:szCs w:val="24"/>
        </w:rPr>
        <w:t xml:space="preserve">suspension, exclusion and behavioural difficulties emerge not simply as disciplinary concerns but as indicators of wider vulnerability and disengagement. The evidence suggests that effective behaviour strategies are likely to combine early identification, support for disadvantaged pupils and a strong understanding of the wider factors shaping educational engagement. </w:t>
      </w:r>
      <w:r w:rsidRPr="005A4620">
        <w:rPr>
          <w:sz w:val="24"/>
          <w:szCs w:val="24"/>
        </w:rPr>
        <w:t>[7][12][13][14]</w:t>
      </w:r>
    </w:p>
    <w:p w:rsidR="00CF19C4" w:rsidRPr="00A04865" w:rsidP="00A04865">
      <w:pPr>
        <w:spacing w:after="0" w:line="240" w:lineRule="auto"/>
        <w:jc w:val="both"/>
        <w:rPr>
          <w:sz w:val="24"/>
          <w:szCs w:val="24"/>
        </w:rPr>
      </w:pPr>
    </w:p>
    <w:p w:rsidR="00CF19C4" w:rsidP="00A04865">
      <w:pPr>
        <w:spacing w:after="0" w:line="240" w:lineRule="auto"/>
        <w:jc w:val="both"/>
        <w:rPr>
          <w:b/>
          <w:bCs/>
          <w:sz w:val="24"/>
          <w:szCs w:val="24"/>
        </w:rPr>
      </w:pPr>
      <w:r w:rsidRPr="00A04865">
        <w:rPr>
          <w:b/>
          <w:bCs/>
          <w:sz w:val="24"/>
          <w:szCs w:val="24"/>
        </w:rPr>
        <w:t>Reducing Disadvantage Gaps</w:t>
      </w:r>
    </w:p>
    <w:p w:rsidR="00CF19C4" w:rsidRPr="00A04865" w:rsidP="00163DBC">
      <w:pPr>
        <w:spacing w:after="0" w:line="240" w:lineRule="auto"/>
        <w:jc w:val="both"/>
        <w:rPr>
          <w:sz w:val="24"/>
          <w:szCs w:val="24"/>
        </w:rPr>
      </w:pPr>
    </w:p>
    <w:p w:rsidR="00CF19C4" w:rsidRPr="00A04865" w:rsidP="00163DBC">
      <w:pPr>
        <w:pStyle w:val="ListParagraph"/>
        <w:numPr>
          <w:ilvl w:val="0"/>
          <w:numId w:val="4"/>
        </w:numPr>
        <w:spacing w:after="0" w:line="240" w:lineRule="auto"/>
        <w:jc w:val="both"/>
        <w:rPr>
          <w:sz w:val="24"/>
          <w:szCs w:val="24"/>
        </w:rPr>
      </w:pPr>
      <w:r w:rsidRPr="00A04865">
        <w:rPr>
          <w:sz w:val="24"/>
          <w:szCs w:val="24"/>
        </w:rPr>
        <w:t xml:space="preserve">Effectively reducing disadvantage gaps depends on accurately identifying the children and young people most at risk of poor outcomes. ADR UK-supported </w:t>
      </w:r>
      <w:r>
        <w:rPr>
          <w:sz w:val="24"/>
          <w:szCs w:val="24"/>
        </w:rPr>
        <w:t>work on measuring</w:t>
      </w:r>
      <w:r w:rsidRPr="00A04865">
        <w:rPr>
          <w:sz w:val="24"/>
          <w:szCs w:val="24"/>
        </w:rPr>
        <w:t xml:space="preserve"> </w:t>
      </w:r>
      <w:r w:rsidRPr="00A04865">
        <w:rPr>
          <w:sz w:val="24"/>
          <w:szCs w:val="24"/>
        </w:rPr>
        <w:t xml:space="preserve">educational disadvantage </w:t>
      </w:r>
      <w:r>
        <w:rPr>
          <w:sz w:val="24"/>
          <w:szCs w:val="24"/>
        </w:rPr>
        <w:t xml:space="preserve">highlights limitations in relying exclusively on free school meal eligibility as an indicator of deprivation, particularly where disadvantage </w:t>
      </w:r>
      <w:r w:rsidRPr="00A04865">
        <w:rPr>
          <w:sz w:val="24"/>
          <w:szCs w:val="24"/>
        </w:rPr>
        <w:t xml:space="preserve">changes over time or is experienced in different forms </w:t>
      </w:r>
      <w:r w:rsidRPr="005A4620">
        <w:rPr>
          <w:sz w:val="24"/>
          <w:szCs w:val="24"/>
        </w:rPr>
        <w:t>[15]</w:t>
      </w:r>
      <w:r w:rsidRPr="00A04865">
        <w:rPr>
          <w:sz w:val="24"/>
          <w:szCs w:val="24"/>
        </w:rPr>
        <w:t xml:space="preserve">. These findings are directly relevant to proposed reforms to disadvantage funding and suggest that a broader understanding of disadvantage may improve the targeting of support and resources. </w:t>
      </w:r>
    </w:p>
    <w:p w:rsidR="00CF19C4" w:rsidRPr="00A04865" w:rsidP="00163DBC">
      <w:pPr>
        <w:pStyle w:val="ListParagraph"/>
        <w:spacing w:after="0" w:line="240" w:lineRule="auto"/>
        <w:ind w:left="360"/>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Evidence also highlights the importance of using robust evidence when designing and evaluating interventions aimed at reducing disadvantage. Evaluation of the Pupil Learning Credits programme found positive impacts on mathematics attainment, </w:t>
      </w:r>
      <w:r w:rsidRPr="00A04865">
        <w:rPr>
          <w:sz w:val="24"/>
          <w:szCs w:val="24"/>
        </w:rPr>
        <w:t xml:space="preserve">particularly among pupils eligible for free school meals </w:t>
      </w:r>
      <w:r w:rsidRPr="005A4620">
        <w:rPr>
          <w:sz w:val="24"/>
          <w:szCs w:val="24"/>
        </w:rPr>
        <w:t>[6]</w:t>
      </w:r>
      <w:r w:rsidRPr="00A04865">
        <w:rPr>
          <w:sz w:val="24"/>
          <w:szCs w:val="24"/>
        </w:rPr>
        <w:t xml:space="preserve">. This suggests that </w:t>
      </w:r>
      <w:r w:rsidRPr="00A04865">
        <w:rPr>
          <w:sz w:val="24"/>
          <w:szCs w:val="24"/>
        </w:rPr>
        <w:t xml:space="preserve">targeted </w:t>
      </w:r>
      <w:r w:rsidRPr="00A04865">
        <w:rPr>
          <w:sz w:val="24"/>
          <w:szCs w:val="24"/>
        </w:rPr>
        <w:t>interventions</w:t>
      </w:r>
      <w:r w:rsidRPr="00A04865">
        <w:rPr>
          <w:sz w:val="24"/>
          <w:szCs w:val="24"/>
        </w:rPr>
        <w:t xml:space="preserve"> can improve outcomes when they are informed by evidence and directed towards pupils facing disadvantage.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Research from </w:t>
      </w:r>
      <w:r w:rsidRPr="00A04865">
        <w:rPr>
          <w:sz w:val="24"/>
          <w:szCs w:val="24"/>
        </w:rPr>
        <w:t xml:space="preserve">ADR </w:t>
      </w:r>
      <w:r w:rsidRPr="00A04865">
        <w:rPr>
          <w:sz w:val="24"/>
          <w:szCs w:val="24"/>
        </w:rPr>
        <w:t xml:space="preserve">Scotland </w:t>
      </w:r>
      <w:r w:rsidRPr="00A04865">
        <w:rPr>
          <w:sz w:val="24"/>
          <w:szCs w:val="24"/>
        </w:rPr>
        <w:t>suggest</w:t>
      </w:r>
      <w:r w:rsidRPr="00A04865">
        <w:rPr>
          <w:sz w:val="24"/>
          <w:szCs w:val="24"/>
        </w:rPr>
        <w:t xml:space="preserve">s </w:t>
      </w:r>
      <w:r w:rsidRPr="00A04865">
        <w:rPr>
          <w:sz w:val="24"/>
          <w:szCs w:val="24"/>
        </w:rPr>
        <w:t>that disadvantage is often cumulative rather than isolated</w:t>
      </w:r>
      <w:r w:rsidRPr="00A04865">
        <w:rPr>
          <w:sz w:val="24"/>
          <w:szCs w:val="24"/>
        </w:rPr>
        <w:t>. Children who became involved in offending at an early age were more likely to have experienced persistent poverty, neighbourhood deprivation, adverse childhood experiences, low parental monitoring and single-parent household</w:t>
      </w:r>
      <w:r w:rsidRPr="00A04865">
        <w:rPr>
          <w:sz w:val="24"/>
          <w:szCs w:val="24"/>
        </w:rPr>
        <w:t xml:space="preserve"> structures </w:t>
      </w:r>
      <w:r w:rsidRPr="005A4620">
        <w:rPr>
          <w:sz w:val="24"/>
          <w:szCs w:val="24"/>
        </w:rPr>
        <w:t>[</w:t>
      </w:r>
      <w:r w:rsidRPr="005A4620">
        <w:rPr>
          <w:sz w:val="24"/>
          <w:szCs w:val="24"/>
        </w:rPr>
        <w:t>16]</w:t>
      </w:r>
      <w:r w:rsidRPr="00A04865">
        <w:rPr>
          <w:sz w:val="24"/>
          <w:szCs w:val="24"/>
        </w:rPr>
        <w:t>. The</w:t>
      </w:r>
      <w:r w:rsidRPr="00A04865">
        <w:rPr>
          <w:sz w:val="24"/>
          <w:szCs w:val="24"/>
        </w:rPr>
        <w:t>se</w:t>
      </w:r>
      <w:r w:rsidRPr="00A04865">
        <w:rPr>
          <w:sz w:val="24"/>
          <w:szCs w:val="24"/>
        </w:rPr>
        <w:t xml:space="preserve"> findings suggest that disadvantage </w:t>
      </w:r>
      <w:r w:rsidRPr="00A04865">
        <w:rPr>
          <w:sz w:val="24"/>
          <w:szCs w:val="24"/>
        </w:rPr>
        <w:t>may be most effectively understood as a combination of interacting risk factors rather than a single measure of household income</w:t>
      </w:r>
      <w:r w:rsidRPr="00A04865">
        <w:rPr>
          <w:sz w:val="24"/>
          <w:szCs w:val="24"/>
        </w:rPr>
        <w:t xml:space="preserve">.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The evidence also </w:t>
      </w:r>
      <w:r w:rsidRPr="00A04865">
        <w:rPr>
          <w:sz w:val="24"/>
          <w:szCs w:val="24"/>
        </w:rPr>
        <w:t xml:space="preserve">indicates that disadvantage is shaped by both individual and environmental factors. </w:t>
      </w:r>
      <w:r>
        <w:rPr>
          <w:sz w:val="24"/>
          <w:szCs w:val="24"/>
        </w:rPr>
        <w:t xml:space="preserve">Evidence on the measurement of </w:t>
      </w:r>
      <w:r w:rsidRPr="00A04865">
        <w:rPr>
          <w:sz w:val="24"/>
          <w:szCs w:val="24"/>
        </w:rPr>
        <w:t>educational disadvantage</w:t>
      </w:r>
      <w:r>
        <w:rPr>
          <w:sz w:val="24"/>
          <w:szCs w:val="24"/>
        </w:rPr>
        <w:t xml:space="preserve">, together with research on </w:t>
      </w:r>
      <w:r w:rsidRPr="00A04865">
        <w:rPr>
          <w:sz w:val="24"/>
          <w:szCs w:val="24"/>
        </w:rPr>
        <w:t>childhood outcomes</w:t>
      </w:r>
      <w:r>
        <w:rPr>
          <w:sz w:val="24"/>
          <w:szCs w:val="24"/>
        </w:rPr>
        <w:t>,</w:t>
      </w:r>
      <w:r w:rsidRPr="00A04865">
        <w:rPr>
          <w:sz w:val="24"/>
          <w:szCs w:val="24"/>
        </w:rPr>
        <w:t xml:space="preserve"> suggests that family circumstances, neighbourhood context and broader life experiences can interact to influence children’s outcomes </w:t>
      </w:r>
      <w:r w:rsidRPr="005A4620">
        <w:rPr>
          <w:sz w:val="24"/>
          <w:szCs w:val="24"/>
        </w:rPr>
        <w:t>[15][16]</w:t>
      </w:r>
      <w:r w:rsidRPr="00A04865">
        <w:rPr>
          <w:sz w:val="24"/>
          <w:szCs w:val="24"/>
        </w:rPr>
        <w:t xml:space="preserve">. This may be relevant when considering </w:t>
      </w:r>
      <w:r w:rsidRPr="00A04865">
        <w:rPr>
          <w:sz w:val="24"/>
          <w:szCs w:val="24"/>
        </w:rPr>
        <w:t xml:space="preserve">place-based approaches to disadvantage, including initiatives focused on specific regions or communities. </w:t>
      </w:r>
      <w:r w:rsidRPr="00A04865">
        <w:rPr>
          <w:sz w:val="24"/>
          <w:szCs w:val="24"/>
        </w:rPr>
        <w:t xml:space="preserve"> </w:t>
      </w:r>
    </w:p>
    <w:p w:rsidR="00CF19C4" w:rsidRPr="00A04865" w:rsidP="00A04865">
      <w:pPr>
        <w:spacing w:after="0" w:line="240" w:lineRule="auto"/>
        <w:jc w:val="both"/>
        <w:rPr>
          <w:sz w:val="24"/>
          <w:szCs w:val="24"/>
        </w:rPr>
      </w:pPr>
    </w:p>
    <w:p w:rsidR="00CF19C4" w:rsidRPr="00A04865" w:rsidP="00A04865">
      <w:pPr>
        <w:pStyle w:val="ListParagraph"/>
        <w:numPr>
          <w:ilvl w:val="0"/>
          <w:numId w:val="4"/>
        </w:numPr>
        <w:spacing w:after="0" w:line="240" w:lineRule="auto"/>
        <w:jc w:val="both"/>
        <w:rPr>
          <w:sz w:val="24"/>
          <w:szCs w:val="24"/>
        </w:rPr>
      </w:pPr>
      <w:r w:rsidRPr="00A04865">
        <w:rPr>
          <w:sz w:val="24"/>
          <w:szCs w:val="24"/>
        </w:rPr>
        <w:t xml:space="preserve">Across these studies, disadvantage emerges as a complex and multidimensional issue that is unlikely to be captured fully by a single indicator. Linked administrative data provides opportunities to improve the identification of disadvantage, assess whether funding and support are reaching the intended groups, and evaluate the effectiveness of targeted interventions over time. </w:t>
      </w:r>
      <w:r w:rsidRPr="005A4620">
        <w:rPr>
          <w:sz w:val="24"/>
          <w:szCs w:val="24"/>
        </w:rPr>
        <w:t>[6][15]</w:t>
      </w:r>
      <w:r w:rsidRPr="005A4620">
        <w:rPr>
          <w:sz w:val="24"/>
          <w:szCs w:val="24"/>
        </w:rPr>
        <w:t>[16]</w:t>
      </w:r>
    </w:p>
    <w:p w:rsidR="00CF19C4" w:rsidRPr="00A04865" w:rsidP="00A04865">
      <w:pPr>
        <w:spacing w:after="0" w:line="240" w:lineRule="auto"/>
        <w:jc w:val="both"/>
        <w:rPr>
          <w:b/>
          <w:bCs/>
          <w:sz w:val="24"/>
          <w:szCs w:val="24"/>
        </w:rPr>
      </w:pPr>
    </w:p>
    <w:p w:rsidR="00CF19C4" w:rsidRPr="00A04865" w:rsidP="00A04865">
      <w:pPr>
        <w:spacing w:after="0" w:line="240" w:lineRule="auto"/>
        <w:jc w:val="both"/>
        <w:rPr>
          <w:b/>
          <w:bCs/>
          <w:sz w:val="24"/>
          <w:szCs w:val="24"/>
        </w:rPr>
      </w:pPr>
      <w:r w:rsidRPr="00A04865">
        <w:rPr>
          <w:b/>
          <w:bCs/>
          <w:sz w:val="24"/>
          <w:szCs w:val="24"/>
        </w:rPr>
        <w:t>Acknowledgements</w:t>
      </w:r>
    </w:p>
    <w:p w:rsidR="00CF19C4" w:rsidRPr="00A04865" w:rsidP="00A04865">
      <w:pPr>
        <w:spacing w:after="0" w:line="240" w:lineRule="auto"/>
        <w:jc w:val="both"/>
        <w:rPr>
          <w:sz w:val="24"/>
          <w:szCs w:val="24"/>
        </w:rPr>
      </w:pPr>
    </w:p>
    <w:p w:rsidR="00CF19C4" w:rsidRPr="00A04865" w:rsidP="00163DBC">
      <w:pPr>
        <w:pStyle w:val="ListParagraph"/>
        <w:numPr>
          <w:ilvl w:val="0"/>
          <w:numId w:val="4"/>
        </w:numPr>
        <w:spacing w:after="0" w:line="240" w:lineRule="auto"/>
        <w:jc w:val="both"/>
        <w:rPr>
          <w:sz w:val="24"/>
          <w:szCs w:val="24"/>
        </w:rPr>
      </w:pPr>
      <w:r w:rsidRPr="00A04865">
        <w:rPr>
          <w:sz w:val="24"/>
          <w:szCs w:val="24"/>
        </w:rPr>
        <w:t>This response has been prepared by Administrative Data Research UK</w:t>
      </w:r>
      <w:r w:rsidRPr="00A04865">
        <w:rPr>
          <w:sz w:val="24"/>
          <w:szCs w:val="24"/>
        </w:rPr>
        <w:t>. It draws upon evidence generated through ADR UK-funded and supported research and benefited from contributions across ADR England, ADR Northern Ireland, ADR Scotland, ADR Wales and the Behavioural Insights Team. The submission was coordinated by Jorge</w:t>
      </w:r>
      <w:r>
        <w:rPr>
          <w:sz w:val="24"/>
          <w:szCs w:val="24"/>
        </w:rPr>
        <w:t xml:space="preserve"> Humberto</w:t>
      </w:r>
      <w:r w:rsidRPr="00A04865">
        <w:rPr>
          <w:sz w:val="24"/>
          <w:szCs w:val="24"/>
        </w:rPr>
        <w:t xml:space="preserve"> Mayorga</w:t>
      </w:r>
      <w:r>
        <w:rPr>
          <w:sz w:val="24"/>
          <w:szCs w:val="24"/>
        </w:rPr>
        <w:t xml:space="preserve"> Arnaiz</w:t>
      </w:r>
      <w:r w:rsidRPr="00A04865">
        <w:rPr>
          <w:sz w:val="24"/>
          <w:szCs w:val="24"/>
        </w:rPr>
        <w:t xml:space="preserve"> (Policy Engagement Manager for ADR UK, funded by ESRC). </w:t>
      </w:r>
    </w:p>
    <w:p w:rsidR="00CF19C4" w:rsidRPr="00A04865" w:rsidP="00163DBC">
      <w:pPr>
        <w:pStyle w:val="ListParagraph"/>
        <w:spacing w:after="0" w:line="240" w:lineRule="auto"/>
        <w:ind w:left="360"/>
        <w:jc w:val="both"/>
        <w:rPr>
          <w:sz w:val="24"/>
          <w:szCs w:val="24"/>
        </w:rPr>
      </w:pPr>
    </w:p>
    <w:p w:rsidR="00CF19C4" w:rsidP="00163DBC">
      <w:pPr>
        <w:pStyle w:val="ListParagraph"/>
        <w:numPr>
          <w:ilvl w:val="0"/>
          <w:numId w:val="4"/>
        </w:numPr>
        <w:spacing w:after="0" w:line="240" w:lineRule="auto"/>
        <w:jc w:val="both"/>
        <w:rPr>
          <w:sz w:val="24"/>
          <w:szCs w:val="24"/>
        </w:rPr>
      </w:pPr>
      <w:r w:rsidRPr="00A04865">
        <w:rPr>
          <w:sz w:val="24"/>
          <w:szCs w:val="24"/>
        </w:rPr>
        <w:t xml:space="preserve">We would be pleased to </w:t>
      </w:r>
      <w:r>
        <w:rPr>
          <w:sz w:val="24"/>
          <w:szCs w:val="24"/>
        </w:rPr>
        <w:t>provide</w:t>
      </w:r>
      <w:r w:rsidRPr="00A04865">
        <w:rPr>
          <w:sz w:val="24"/>
          <w:szCs w:val="24"/>
        </w:rPr>
        <w:t xml:space="preserve"> further</w:t>
      </w:r>
      <w:r>
        <w:rPr>
          <w:sz w:val="24"/>
          <w:szCs w:val="24"/>
        </w:rPr>
        <w:t xml:space="preserve"> information on any aspect of this </w:t>
      </w:r>
      <w:r w:rsidRPr="00A04865">
        <w:rPr>
          <w:sz w:val="24"/>
          <w:szCs w:val="24"/>
        </w:rPr>
        <w:t>response. Please contact Administrative Data Research UK</w:t>
      </w:r>
      <w:r w:rsidRPr="00A04865">
        <w:rPr>
          <w:sz w:val="24"/>
          <w:szCs w:val="24"/>
        </w:rPr>
        <w:t xml:space="preserve"> for any enquiries relating to the evidence presented in this submission. </w:t>
      </w:r>
      <w:r w:rsidRPr="00A04865">
        <w:rPr>
          <w:sz w:val="24"/>
          <w:szCs w:val="24"/>
        </w:rPr>
        <w:t xml:space="preserve"> </w:t>
      </w:r>
    </w:p>
    <w:p w:rsidR="00686B56" w:rsidP="00686B56">
      <w:pPr>
        <w:spacing w:after="0" w:line="240" w:lineRule="auto"/>
        <w:jc w:val="both"/>
        <w:rPr>
          <w:sz w:val="24"/>
          <w:szCs w:val="24"/>
        </w:rPr>
      </w:pPr>
    </w:p>
    <w:p w:rsidR="00686B56" w:rsidRPr="00686B56" w:rsidP="00686B56">
      <w:pPr>
        <w:spacing w:after="0" w:line="240" w:lineRule="auto"/>
        <w:jc w:val="both"/>
        <w:rPr>
          <w:i/>
          <w:iCs/>
          <w:sz w:val="24"/>
          <w:szCs w:val="24"/>
        </w:rPr>
      </w:pPr>
      <w:r w:rsidRPr="00686B56">
        <w:rPr>
          <w:i/>
          <w:iCs/>
          <w:sz w:val="24"/>
          <w:szCs w:val="24"/>
        </w:rPr>
        <w:t>September 2026</w:t>
      </w:r>
    </w:p>
    <w:p w:rsidR="00CF19C4" w:rsidP="005A4620">
      <w:pPr>
        <w:spacing w:after="0" w:line="240" w:lineRule="auto"/>
        <w:rPr>
          <w:b/>
          <w:bCs/>
          <w:sz w:val="24"/>
          <w:szCs w:val="24"/>
        </w:rPr>
      </w:pPr>
      <w:r w:rsidRPr="00A04865">
        <w:rPr>
          <w:b/>
          <w:bCs/>
          <w:sz w:val="24"/>
          <w:szCs w:val="24"/>
        </w:rPr>
        <w:br w:type="page"/>
      </w:r>
      <w:bookmarkStart w:id="0" w:name="_References"/>
      <w:bookmarkEnd w:id="0"/>
    </w:p>
    <w:p w:rsidR="00CF19C4" w:rsidP="005A4620">
      <w:pPr>
        <w:spacing w:after="0" w:line="240" w:lineRule="auto"/>
        <w:rPr>
          <w:b/>
          <w:bCs/>
          <w:sz w:val="24"/>
          <w:szCs w:val="24"/>
        </w:rPr>
      </w:pPr>
      <w:r>
        <w:rPr>
          <w:b/>
          <w:bCs/>
          <w:sz w:val="24"/>
          <w:szCs w:val="24"/>
        </w:rPr>
        <w:t>References</w:t>
      </w:r>
    </w:p>
    <w:p w:rsidR="00CF19C4" w:rsidP="005A4620">
      <w:pPr>
        <w:spacing w:after="0" w:line="240" w:lineRule="auto"/>
        <w:rPr>
          <w:b/>
          <w:bCs/>
          <w:sz w:val="24"/>
          <w:szCs w:val="24"/>
        </w:rPr>
      </w:pPr>
    </w:p>
    <w:sdt>
      <w:sdtPr>
        <w:rPr>
          <w:sz w:val="24"/>
          <w:szCs w:val="24"/>
        </w:rPr>
        <w:id w:val="-573587230"/>
        <w:bibliography/>
      </w:sdtPr>
      <w:sdtContent>
        <w:p w:rsidR="00CF19C4" w:rsidP="005A4620">
          <w:pPr>
            <w:pStyle w:val="Bibliography"/>
            <w:spacing w:after="0" w:line="240" w:lineRule="auto"/>
            <w:rPr>
              <w:sz w:val="24"/>
              <w:szCs w:val="24"/>
            </w:rPr>
          </w:pPr>
          <w:r w:rsidRPr="00163DBC">
            <w:rPr>
              <w:sz w:val="24"/>
              <w:szCs w:val="24"/>
            </w:rPr>
            <w:t xml:space="preserve">[1] Early, E., Miller, S. and Dunne, L. (2021). </w:t>
          </w:r>
          <w:r w:rsidRPr="00163DBC">
            <w:rPr>
              <w:i/>
              <w:iCs/>
              <w:sz w:val="24"/>
              <w:szCs w:val="24"/>
            </w:rPr>
            <w:t>The influence of a pupil's socio-demographic profile and school factors on GCSE attainment outcomes</w:t>
          </w:r>
          <w:r w:rsidRPr="00163DBC">
            <w:rPr>
              <w:sz w:val="24"/>
              <w:szCs w:val="24"/>
            </w:rPr>
            <w:t>. ADR Northern Ireland.</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[2] Early, E., Miller, S., Dunne, L. and Nelson Gorman, E. (2025). </w:t>
          </w:r>
          <w:r w:rsidRPr="00163DBC">
            <w:rPr>
              <w:i/>
              <w:iCs/>
              <w:sz w:val="24"/>
              <w:szCs w:val="24"/>
            </w:rPr>
            <w:t>Understanding the impact of students' health on educational attainment: New evidence from linked administrative data in Northern Ireland</w:t>
          </w:r>
          <w:r w:rsidRPr="00163DBC">
            <w:rPr>
              <w:sz w:val="24"/>
              <w:szCs w:val="24"/>
            </w:rPr>
            <w:t>. ADR Northern Ireland.</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[3] Zhang, X. (2025). </w:t>
          </w:r>
          <w:r w:rsidRPr="00163DBC">
            <w:rPr>
              <w:i/>
              <w:iCs/>
              <w:sz w:val="24"/>
              <w:szCs w:val="24"/>
            </w:rPr>
            <w:t>Understanding the impact of time in care on educational attainment in England</w:t>
          </w:r>
          <w:r w:rsidRPr="00163DBC">
            <w:rPr>
              <w:sz w:val="24"/>
              <w:szCs w:val="24"/>
            </w:rPr>
            <w:t>. ADR UK.</w:t>
          </w:r>
        </w:p>
        <w:p w:rsidR="00CF19C4" w:rsidRPr="00A90B2C" w:rsidP="005A4620">
          <w:pPr>
            <w:spacing w:after="0"/>
          </w:pPr>
        </w:p>
        <w:p w:rsidR="00CF19C4" w:rsidRPr="000821ED" w:rsidP="005A4620">
          <w:pPr>
            <w:pStyle w:val="Bibliography"/>
            <w:spacing w:after="0" w:line="240" w:lineRule="auto"/>
            <w:rPr>
              <w:sz w:val="24"/>
              <w:szCs w:val="24"/>
            </w:rPr>
          </w:pPr>
          <w:r w:rsidRPr="000821ED">
            <w:rPr>
              <w:sz w:val="24"/>
              <w:szCs w:val="24"/>
            </w:rPr>
            <w:t>[4] Behavioural Insights Team (2022</w:t>
          </w:r>
          <w:r w:rsidRPr="000821ED">
            <w:rPr>
              <w:sz w:val="24"/>
              <w:szCs w:val="24"/>
            </w:rPr>
            <w:t>)</w:t>
          </w:r>
          <w:r w:rsidRPr="000821ED">
            <w:rPr>
              <w:sz w:val="24"/>
              <w:szCs w:val="24"/>
            </w:rPr>
            <w:t xml:space="preserve">. </w:t>
          </w:r>
          <w:r w:rsidRPr="000821ED">
            <w:rPr>
              <w:i/>
              <w:iCs/>
              <w:sz w:val="24"/>
              <w:szCs w:val="24"/>
            </w:rPr>
            <w:t>Reanalysing education experiments with linked administrative data.</w:t>
          </w:r>
          <w:r w:rsidRPr="000821ED">
            <w:rPr>
              <w:sz w:val="24"/>
              <w:szCs w:val="24"/>
            </w:rPr>
            <w:t xml:space="preserve"> Behavioural Insights Team and ADR UK. </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[5] Hampton, J.M. (2021). </w:t>
          </w:r>
          <w:r w:rsidRPr="00163DBC">
            <w:rPr>
              <w:i/>
              <w:iCs/>
              <w:sz w:val="24"/>
              <w:szCs w:val="24"/>
            </w:rPr>
            <w:t>Early and Multiple GCSE Entry: Grade Improvement</w:t>
          </w:r>
          <w:r w:rsidRPr="00163DBC">
            <w:rPr>
              <w:sz w:val="24"/>
              <w:szCs w:val="24"/>
            </w:rPr>
            <w:t>. ADR Wales.</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[6] Cook, W. (2023). </w:t>
          </w:r>
          <w:r w:rsidRPr="00163DBC">
            <w:rPr>
              <w:i/>
              <w:iCs/>
              <w:sz w:val="24"/>
              <w:szCs w:val="24"/>
            </w:rPr>
            <w:t>School funding, pupil performance and crime</w:t>
          </w:r>
          <w:r w:rsidRPr="00163DBC">
            <w:rPr>
              <w:sz w:val="24"/>
              <w:szCs w:val="24"/>
            </w:rPr>
            <w:t>. ADR UK.</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[7] Wickersham, A. (2024). </w:t>
          </w:r>
          <w:r w:rsidRPr="00163DBC">
            <w:rPr>
              <w:i/>
              <w:iCs/>
              <w:sz w:val="24"/>
              <w:szCs w:val="24"/>
            </w:rPr>
            <w:t>Changes in school performance and involvement in the criminal justice system</w:t>
          </w:r>
          <w:r w:rsidRPr="00163DBC">
            <w:rPr>
              <w:sz w:val="24"/>
              <w:szCs w:val="24"/>
            </w:rPr>
            <w:t>. ADR UK.</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[8] Huxley, K. and Davies, R. (2023). </w:t>
          </w:r>
          <w:r w:rsidRPr="00163DBC">
            <w:rPr>
              <w:i/>
              <w:iCs/>
              <w:sz w:val="24"/>
              <w:szCs w:val="24"/>
            </w:rPr>
            <w:t>Exploring transitions to post-compulsory education in Wales</w:t>
          </w:r>
          <w:r w:rsidRPr="00163DBC">
            <w:rPr>
              <w:sz w:val="24"/>
              <w:szCs w:val="24"/>
            </w:rPr>
            <w:t>. ADR Wales.</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[9] Buil-Gil, D. and Pease, K. (2025). </w:t>
          </w:r>
          <w:r w:rsidRPr="00163DBC">
            <w:rPr>
              <w:i/>
              <w:iCs/>
              <w:sz w:val="24"/>
              <w:szCs w:val="24"/>
            </w:rPr>
            <w:t>From school absences to crime involvement</w:t>
          </w:r>
          <w:r w:rsidRPr="00163DBC">
            <w:rPr>
              <w:sz w:val="24"/>
              <w:szCs w:val="24"/>
            </w:rPr>
            <w:t>. ADR UK.</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[10] Thomas, I. and Mackie, P. (2025). </w:t>
          </w:r>
          <w:r w:rsidRPr="00163DBC">
            <w:rPr>
              <w:i/>
              <w:iCs/>
              <w:sz w:val="24"/>
              <w:szCs w:val="24"/>
            </w:rPr>
            <w:t>Disengagement from school among pupils experiencing homelessness in Wales</w:t>
          </w:r>
          <w:r w:rsidRPr="00163DBC">
            <w:rPr>
              <w:sz w:val="24"/>
              <w:szCs w:val="24"/>
            </w:rPr>
            <w:t>. ADR Wales.</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[11] Thomas, I. (2020). </w:t>
          </w:r>
          <w:r w:rsidRPr="00163DBC">
            <w:rPr>
              <w:i/>
              <w:iCs/>
              <w:sz w:val="24"/>
              <w:szCs w:val="24"/>
            </w:rPr>
            <w:t>Patterns of school non-attendance over the educational life course</w:t>
          </w:r>
          <w:r w:rsidRPr="00163DBC">
            <w:rPr>
              <w:sz w:val="24"/>
              <w:szCs w:val="24"/>
            </w:rPr>
            <w:t>. ADR Wales.</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[12] Troncoso, P., Treanor, M., Williamson, L. and Macintyre, C. (2024). </w:t>
          </w:r>
          <w:r w:rsidRPr="00163DBC">
            <w:rPr>
              <w:i/>
              <w:iCs/>
              <w:sz w:val="24"/>
              <w:szCs w:val="24"/>
            </w:rPr>
            <w:t>Understanding exclusions in Scottish secondary schools</w:t>
          </w:r>
          <w:r w:rsidRPr="00163DBC">
            <w:rPr>
              <w:sz w:val="24"/>
              <w:szCs w:val="24"/>
            </w:rPr>
            <w:t>. ADR Scotland.</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[13] Barret</w:t>
          </w:r>
          <w:r>
            <w:rPr>
              <w:sz w:val="24"/>
              <w:szCs w:val="24"/>
            </w:rPr>
            <w:t>t</w:t>
          </w:r>
          <w:r w:rsidRPr="00163DBC">
            <w:rPr>
              <w:sz w:val="24"/>
              <w:szCs w:val="24"/>
            </w:rPr>
            <w:t xml:space="preserve">, V. and Stephenson, J. (2026). </w:t>
          </w:r>
          <w:r w:rsidRPr="00163DBC">
            <w:rPr>
              <w:i/>
              <w:iCs/>
              <w:sz w:val="24"/>
              <w:szCs w:val="24"/>
            </w:rPr>
            <w:t>School Exclusions and Criminal Justice System Involvement</w:t>
          </w:r>
          <w:r w:rsidRPr="00163DBC">
            <w:rPr>
              <w:sz w:val="24"/>
              <w:szCs w:val="24"/>
            </w:rPr>
            <w:t>. ADR UK.</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[14] Garcia, P. (2025). </w:t>
          </w:r>
          <w:r w:rsidRPr="00163DBC">
            <w:rPr>
              <w:i/>
              <w:iCs/>
              <w:sz w:val="24"/>
              <w:szCs w:val="24"/>
            </w:rPr>
            <w:t>Socio-emotional Characteristics in Early Childhood and Later Offending Behaviour</w:t>
          </w:r>
          <w:r w:rsidRPr="00163DBC">
            <w:rPr>
              <w:sz w:val="24"/>
              <w:szCs w:val="24"/>
            </w:rPr>
            <w:t>. ADR UK.</w:t>
          </w:r>
        </w:p>
        <w:p w:rsidR="00CF19C4" w:rsidRPr="00A90B2C" w:rsidP="005A4620">
          <w:pPr>
            <w:spacing w:after="0"/>
          </w:pPr>
        </w:p>
        <w:p w:rsidR="00CF19C4" w:rsidP="005A4620">
          <w:pPr>
            <w:pStyle w:val="Bibliography"/>
            <w:spacing w:after="0" w:line="240" w:lineRule="auto"/>
            <w:rPr>
              <w:sz w:val="24"/>
              <w:szCs w:val="24"/>
            </w:rPr>
          </w:pPr>
          <w:r w:rsidRPr="00163DBC">
            <w:rPr>
              <w:sz w:val="24"/>
              <w:szCs w:val="24"/>
            </w:rPr>
            <w:t xml:space="preserve">[15] Thomson, D. and </w:t>
          </w:r>
          <w:r>
            <w:rPr>
              <w:sz w:val="24"/>
              <w:szCs w:val="24"/>
            </w:rPr>
            <w:t>Urwin, P</w:t>
          </w:r>
          <w:r w:rsidRPr="00163DBC">
            <w:rPr>
              <w:sz w:val="24"/>
              <w:szCs w:val="24"/>
            </w:rPr>
            <w:t>.</w:t>
          </w:r>
          <w:r>
            <w:rPr>
              <w:sz w:val="24"/>
              <w:szCs w:val="24"/>
            </w:rPr>
            <w:t xml:space="preserve"> (2026).</w:t>
          </w:r>
          <w:r w:rsidRPr="00163DBC">
            <w:rPr>
              <w:sz w:val="24"/>
              <w:szCs w:val="24"/>
            </w:rPr>
            <w:t xml:space="preserve"> </w:t>
          </w:r>
          <w:r>
            <w:rPr>
              <w:i/>
              <w:iCs/>
              <w:sz w:val="24"/>
              <w:szCs w:val="24"/>
            </w:rPr>
            <w:t>Creating and Using Proxy Measures of Socioeconomic Background in LEO</w:t>
          </w:r>
          <w:r w:rsidRPr="00163DBC">
            <w:rPr>
              <w:sz w:val="24"/>
              <w:szCs w:val="24"/>
            </w:rPr>
            <w:t xml:space="preserve">. ADR </w:t>
          </w:r>
          <w:r>
            <w:rPr>
              <w:sz w:val="24"/>
              <w:szCs w:val="24"/>
            </w:rPr>
            <w:t>England Research Community Catalyst Youth Transitions Workshop presentation</w:t>
          </w:r>
          <w:r w:rsidRPr="00163DBC">
            <w:rPr>
              <w:sz w:val="24"/>
              <w:szCs w:val="24"/>
            </w:rPr>
            <w:t>.</w:t>
          </w:r>
        </w:p>
        <w:p w:rsidR="00CF19C4" w:rsidRPr="00A90B2C" w:rsidP="005A4620">
          <w:pPr>
            <w:spacing w:after="0"/>
          </w:pPr>
        </w:p>
        <w:p w:rsidR="00CF19C4" w:rsidRPr="005A4620" w:rsidP="005A4620">
          <w:pPr>
            <w:pStyle w:val="Bibliography"/>
            <w:spacing w:after="0" w:line="240" w:lineRule="auto"/>
          </w:pPr>
          <w:r w:rsidRPr="00163DBC">
            <w:rPr>
              <w:sz w:val="24"/>
              <w:szCs w:val="24"/>
            </w:rPr>
            <w:t xml:space="preserve">[16] Kurpiel, A. and McVie, S. (2025). </w:t>
          </w:r>
          <w:r w:rsidRPr="00163DBC">
            <w:rPr>
              <w:i/>
              <w:iCs/>
              <w:sz w:val="24"/>
              <w:szCs w:val="24"/>
            </w:rPr>
            <w:t>Experience of Poverty and Other Risk Factors Among Young People Who Offend in Scotland</w:t>
          </w:r>
          <w:r w:rsidRPr="00163DBC">
            <w:rPr>
              <w:sz w:val="24"/>
              <w:szCs w:val="24"/>
            </w:rPr>
            <w:t>. ADR Scotland.</w:t>
          </w:r>
        </w:p>
      </w:sdtContent>
    </w:sdt>
    <w:sectPr>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F748E3"/>
    <w:multiLevelType w:val="hybridMultilevel"/>
    <w:tmpl w:val="E3A86376"/>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2C9A53A2"/>
    <w:multiLevelType w:val="hybridMultilevel"/>
    <w:tmpl w:val="537E6D5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2056F82"/>
    <w:multiLevelType w:val="hybridMultilevel"/>
    <w:tmpl w:val="37588BD6"/>
    <w:lvl w:ilvl="0">
      <w:start w:val="1"/>
      <w:numFmt w:val="decimal"/>
      <w:lvlText w:val="%1."/>
      <w:lvlJc w:val="left"/>
      <w:pPr>
        <w:ind w:left="360" w:hanging="360"/>
      </w:pPr>
      <w:rPr>
        <w:rFonts w:ascii="Arial" w:hAnsi="Arial" w:hint="default"/>
        <w:b w:val="0"/>
        <w:i w:val="0"/>
        <w:sz w:val="24"/>
      </w:rPr>
    </w:lvl>
    <w:lvl w:ilvl="1">
      <w:start w:val="1"/>
      <w:numFmt w:val="lowerLetter"/>
      <w:lvlText w:val="%2."/>
      <w:lvlJc w:val="left"/>
      <w:pPr>
        <w:ind w:left="785"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DB60285"/>
    <w:multiLevelType w:val="hybridMultilevel"/>
    <w:tmpl w:val="9A88F97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5469"/>
    <w:rPr>
      <w:lang w:val="en-GB"/>
    </w:rPr>
  </w:style>
  <w:style w:type="paragraph" w:styleId="Heading1">
    <w:name w:val="heading 1"/>
    <w:basedOn w:val="Normal"/>
    <w:next w:val="Normal"/>
    <w:link w:val="Heading1Char"/>
    <w:uiPriority w:val="9"/>
    <w:qFormat/>
    <w:rsid w:val="009F17EE"/>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F17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F17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ListParagraph">
    <w:name w:val="List Paragraph"/>
    <w:basedOn w:val="Normal"/>
    <w:uiPriority w:val="34"/>
    <w:qFormat/>
    <w:rsid w:val="00B54E94"/>
    <w:pPr>
      <w:ind w:left="720"/>
      <w:contextualSpacing/>
    </w:pPr>
  </w:style>
  <w:style w:type="character" w:customStyle="1" w:styleId="Heading1Char">
    <w:name w:val="Heading 1 Char"/>
    <w:basedOn w:val="DefaultParagraphFont"/>
    <w:link w:val="Heading1"/>
    <w:uiPriority w:val="9"/>
    <w:rsid w:val="009F17EE"/>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semiHidden/>
    <w:rsid w:val="009F17E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F17EE"/>
    <w:rPr>
      <w:rFonts w:asciiTheme="majorHAnsi" w:eastAsiaTheme="majorEastAsia" w:hAnsiTheme="majorHAnsi" w:cstheme="majorBidi"/>
      <w:color w:val="243F60" w:themeColor="accent1" w:themeShade="7F"/>
      <w:sz w:val="24"/>
      <w:szCs w:val="24"/>
    </w:rPr>
  </w:style>
  <w:style w:type="paragraph" w:styleId="EndnoteText">
    <w:name w:val="endnote text"/>
    <w:basedOn w:val="Normal"/>
    <w:link w:val="EndnoteTextChar"/>
    <w:uiPriority w:val="99"/>
    <w:semiHidden/>
    <w:unhideWhenUsed/>
    <w:rsid w:val="009F17EE"/>
    <w:pPr>
      <w:spacing w:after="0" w:line="240" w:lineRule="auto"/>
    </w:pPr>
  </w:style>
  <w:style w:type="character" w:customStyle="1" w:styleId="EndnoteTextChar">
    <w:name w:val="Endnote Text Char"/>
    <w:basedOn w:val="DefaultParagraphFont"/>
    <w:link w:val="EndnoteText"/>
    <w:uiPriority w:val="99"/>
    <w:semiHidden/>
    <w:rsid w:val="009F17EE"/>
  </w:style>
  <w:style w:type="character" w:styleId="EndnoteReference">
    <w:name w:val="endnote reference"/>
    <w:basedOn w:val="DefaultParagraphFont"/>
    <w:uiPriority w:val="99"/>
    <w:semiHidden/>
    <w:unhideWhenUsed/>
    <w:rsid w:val="009F17EE"/>
    <w:rPr>
      <w:vertAlign w:val="superscript"/>
    </w:rPr>
  </w:style>
  <w:style w:type="paragraph" w:styleId="Bibliography">
    <w:name w:val="Bibliography"/>
    <w:basedOn w:val="Normal"/>
    <w:next w:val="Normal"/>
    <w:uiPriority w:val="37"/>
    <w:unhideWhenUsed/>
    <w:rsid w:val="009F17EE"/>
  </w:style>
  <w:style w:type="character" w:styleId="Hyperlink">
    <w:name w:val="Hyperlink"/>
    <w:basedOn w:val="DefaultParagraphFont"/>
    <w:uiPriority w:val="99"/>
    <w:unhideWhenUsed/>
    <w:rsid w:val="009509E7"/>
    <w:rPr>
      <w:color w:val="0000FF" w:themeColor="hyperlink"/>
      <w:u w:val="single"/>
    </w:rPr>
  </w:style>
  <w:style w:type="character" w:customStyle="1" w:styleId="UnresolvedMention1">
    <w:name w:val="Unresolved Mention1"/>
    <w:basedOn w:val="DefaultParagraphFont"/>
    <w:uiPriority w:val="99"/>
    <w:semiHidden/>
    <w:unhideWhenUsed/>
    <w:rsid w:val="009509E7"/>
    <w:rPr>
      <w:color w:val="605E5C"/>
      <w:shd w:val="clear" w:color="auto" w:fill="E1DFDD"/>
    </w:rPr>
  </w:style>
  <w:style w:type="character" w:styleId="FollowedHyperlink">
    <w:name w:val="FollowedHyperlink"/>
    <w:basedOn w:val="DefaultParagraphFont"/>
    <w:uiPriority w:val="99"/>
    <w:semiHidden/>
    <w:unhideWhenUsed/>
    <w:rsid w:val="009509E7"/>
    <w:rPr>
      <w:color w:val="800080" w:themeColor="followedHyperlink"/>
      <w:u w:val="single"/>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F3608"/>
    <w:rPr>
      <w:b/>
      <w:bCs/>
    </w:rPr>
  </w:style>
  <w:style w:type="character" w:customStyle="1" w:styleId="CommentSubjectChar">
    <w:name w:val="Comment Subject Char"/>
    <w:basedOn w:val="CommentTextChar"/>
    <w:link w:val="CommentSubject"/>
    <w:uiPriority w:val="99"/>
    <w:semiHidden/>
    <w:rsid w:val="00CF3608"/>
    <w:rPr>
      <w:b/>
      <w:bCs/>
      <w:lang w:val="en-GB"/>
    </w:rPr>
  </w:style>
  <w:style w:type="paragraph" w:styleId="Revision">
    <w:name w:val="Revision"/>
    <w:hidden/>
    <w:uiPriority w:val="99"/>
    <w:semiHidden/>
    <w:rsid w:val="008D2EC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Version="7">
  <b:Source>
    <b:Tag>Ear</b:Tag>
    <b:SourceType>Misc</b:SourceType>
    <b:Guid>{1F479D11-0895-4E9E-90F5-A9D2F3D5089B}</b:Guid>
    <b:Publisher>ADR Northern Ireland</b:Publisher>
    <b:Author>
      <b:Author>
        <b:NameList>
          <b:Person>
            <b:Last>Early</b:Last>
            <b:First>E.,</b:First>
            <b:Middle>Miller, S. and Dunne, L.</b:Middle>
          </b:Person>
        </b:NameList>
      </b:Author>
    </b:Author>
    <b:PublicationTitle>The influence of a pupil's demographic profile and school factors on GCSE attainment outcomes.</b:PublicationTitle>
    <b:Year>2021</b:Yea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82c4af-96df-4483-8978-63ebba1bbebc">
      <Terms xmlns="http://schemas.microsoft.com/office/infopath/2007/PartnerControls"/>
    </lcf76f155ced4ddcb4097134ff3c332f>
    <_Flow_SignoffStatus xmlns="b682c4af-96df-4483-8978-63ebba1bbebc" xsi:nil="true"/>
    <Worthattendingagain_x003f_ xmlns="b682c4af-96df-4483-8978-63ebba1bbebc" xsi:nil="true"/>
    <TaxCatchAll xmlns="9ef7cb6a-b6e0-417e-9b04-3d08a11965b7" xsi:nil="true"/>
    <Team xmlns="b682c4af-96df-4483-8978-63ebba1bbebc">
      <UserInfo>
        <DisplayName/>
        <AccountId xsi:nil="true"/>
        <AccountType/>
      </UserInfo>
    </Team>
    <Update xmlns="b682c4af-96df-4483-8978-63ebba1bbeb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8B80D9B3142D4E8C771D980DD8E453" ma:contentTypeVersion="21" ma:contentTypeDescription="Create a new document." ma:contentTypeScope="" ma:versionID="eb99f180f3eb7fb77e5be67eb2a59ba5">
  <xsd:schema xmlns:xsd="http://www.w3.org/2001/XMLSchema" xmlns:xs="http://www.w3.org/2001/XMLSchema" xmlns:p="http://schemas.microsoft.com/office/2006/metadata/properties" xmlns:ns2="b682c4af-96df-4483-8978-63ebba1bbebc" xmlns:ns3="9ef7cb6a-b6e0-417e-9b04-3d08a11965b7" targetNamespace="http://schemas.microsoft.com/office/2006/metadata/properties" ma:root="true" ma:fieldsID="8c1896fe06ff90aba0b1a2d7fe52d04c" ns2:_="" ns3:_="">
    <xsd:import namespace="b682c4af-96df-4483-8978-63ebba1bbebc"/>
    <xsd:import namespace="9ef7cb6a-b6e0-417e-9b04-3d08a11965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_Flow_SignoffStatus" minOccurs="0"/>
                <xsd:element ref="ns2:MediaServiceSearchProperties" minOccurs="0"/>
                <xsd:element ref="ns2:Team" minOccurs="0"/>
                <xsd:element ref="ns2:Worthattendingagain_x003f_" minOccurs="0"/>
                <xsd:element ref="ns2:Up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82c4af-96df-4483-8978-63ebba1bbe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Flow_SignoffStatus" ma:index="22" nillable="true" ma:displayName="Topic (to pick label, click edit in grid view)" ma:format="Dropdown" ma:internalName="Sign_x002d_off_x0020_status">
      <xsd:complexType>
        <xsd:complexContent>
          <xsd:extension base="dms:MultiChoiceFillIn">
            <xsd:sequence>
              <xsd:element name="Value" maxOccurs="unbounded" minOccurs="0" nillable="true">
                <xsd:simpleType>
                  <xsd:union memberTypes="dms:Text">
                    <xsd:simpleType>
                      <xsd:restriction base="dms:Choice">
                        <xsd:enumeration value="National Data Library"/>
                        <xsd:enumeration value="MoJ BOLD"/>
                        <xsd:enumeration value="ONS"/>
                        <xsd:enumeration value="AI"/>
                        <xsd:enumeration value="Project Plan"/>
                        <xsd:enumeration value="Health"/>
                        <xsd:enumeration value="Transport"/>
                        <xsd:enumeration value="Children &amp; Young people"/>
                        <xsd:enumeration value="Government data sharing"/>
                        <xsd:enumeration value="Researcher Journey"/>
                      </xsd:restriction>
                    </xsd:simpleType>
                  </xsd:union>
                </xsd:simpleType>
              </xsd:element>
            </xsd:sequence>
          </xsd:extension>
        </xsd:complexContent>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Team" ma:index="24" nillable="true" ma:displayName="Team attended" ma:format="Dropdown" ma:list="UserInfo" ma:SharePointGroup="0" ma:internalName="Team">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orthattendingagain_x003f_" ma:index="25" nillable="true" ma:displayName="Worth attending again?" ma:format="Dropdown" ma:internalName="Worthattendingagain_x003f_">
      <xsd:simpleType>
        <xsd:restriction base="dms:Choice">
          <xsd:enumeration value="YES"/>
          <xsd:enumeration value="NO"/>
          <xsd:enumeration value="MAYBE?"/>
          <xsd:enumeration value="Choice 5"/>
        </xsd:restriction>
      </xsd:simpleType>
    </xsd:element>
    <xsd:element name="Update" ma:index="26" nillable="true" ma:displayName="Update" ma:format="Dropdown" ma:internalName="Update">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f7cb6a-b6e0-417e-9b04-3d08a11965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77c5943-6d43-4b1e-a9c5-0edb3c900c58}" ma:internalName="TaxCatchAll" ma:showField="CatchAllData" ma:web="9ef7cb6a-b6e0-417e-9b04-3d08a11965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728058-E53E-4B3F-8B81-228BE4FCB8F6}">
  <ds:schemaRefs>
    <ds:schemaRef ds:uri="http://schemas.microsoft.com/sharepoint/v3/contenttype/forms"/>
  </ds:schemaRefs>
</ds:datastoreItem>
</file>

<file path=customXml/itemProps2.xml><?xml version="1.0" encoding="utf-8"?>
<ds:datastoreItem xmlns:ds="http://schemas.openxmlformats.org/officeDocument/2006/customXml" ds:itemID="{F6F09B88-F354-4D5F-973D-D5D45BE5C8A2}">
  <ds:schemaRefs>
    <ds:schemaRef ds:uri="http://schemas.openxmlformats.org/officeDocument/2006/bibliography"/>
  </ds:schemaRefs>
</ds:datastoreItem>
</file>

<file path=customXml/itemProps3.xml><?xml version="1.0" encoding="utf-8"?>
<ds:datastoreItem xmlns:ds="http://schemas.openxmlformats.org/officeDocument/2006/customXml" ds:itemID="{CD8CFF70-3F5B-4E5C-B0BB-51E984C6C41C}">
  <ds:schemaRefs>
    <ds:schemaRef ds:uri="http://schemas.microsoft.com/office/2006/metadata/properties"/>
    <ds:schemaRef ds:uri="http://schemas.microsoft.com/office/infopath/2007/PartnerControls"/>
    <ds:schemaRef ds:uri="b682c4af-96df-4483-8978-63ebba1bbebc"/>
    <ds:schemaRef ds:uri="9ef7cb6a-b6e0-417e-9b04-3d08a11965b7"/>
  </ds:schemaRefs>
</ds:datastoreItem>
</file>

<file path=customXml/itemProps4.xml><?xml version="1.0" encoding="utf-8"?>
<ds:datastoreItem xmlns:ds="http://schemas.openxmlformats.org/officeDocument/2006/customXml" ds:itemID="{A61C1449-66F1-4731-B97E-E684654FA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82c4af-96df-4483-8978-63ebba1bbebc"/>
    <ds:schemaRef ds:uri="9ef7cb6a-b6e0-417e-9b04-3d08a1196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ECA0145</dc:title>
  <cp:revision>0</cp:revision>
</cp:coreProperties>
</file>