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0267" w:rsidP="00A50267">
      <w:pPr>
        <w:ind w:left="643" w:hanging="360"/>
        <w:jc w:val="center"/>
        <w:rPr>
          <w:b/>
          <w:bCs/>
        </w:rPr>
      </w:pPr>
      <w:r w:rsidRPr="00A50267">
        <w:rPr>
          <w:b/>
          <w:bCs/>
        </w:rPr>
        <w:t xml:space="preserve">Written evidence by </w:t>
      </w:r>
      <w:r w:rsidRPr="00A50267">
        <w:rPr>
          <w:b/>
          <w:bCs/>
        </w:rPr>
        <w:t>Self Managed</w:t>
      </w:r>
      <w:r w:rsidRPr="00A50267">
        <w:rPr>
          <w:b/>
          <w:bCs/>
        </w:rPr>
        <w:t xml:space="preserve"> Learning Alliance CIC</w:t>
      </w:r>
      <w:r w:rsidRPr="00A50267">
        <w:rPr>
          <w:b/>
          <w:bCs/>
        </w:rPr>
        <w:t xml:space="preserve"> (ECA0144)</w:t>
      </w:r>
    </w:p>
    <w:p w:rsidR="00A50267" w:rsidRPr="00A50267" w:rsidP="00A50267">
      <w:pPr>
        <w:ind w:left="643" w:hanging="360"/>
        <w:jc w:val="center"/>
        <w:rPr>
          <w:b/>
          <w:bCs/>
        </w:rPr>
      </w:pPr>
    </w:p>
    <w:p w:rsidR="007B22B1" w:rsidP="007643BB">
      <w:pPr>
        <w:pStyle w:val="ListParagraph"/>
        <w:numPr>
          <w:ilvl w:val="0"/>
          <w:numId w:val="1"/>
        </w:numPr>
      </w:pPr>
      <w:r>
        <w:t xml:space="preserve">I am submitting evidence here in relation to the </w:t>
      </w:r>
      <w:r>
        <w:t>C</w:t>
      </w:r>
      <w:r>
        <w:t xml:space="preserve">ommittee’s call in and in relation to the </w:t>
      </w:r>
      <w:r>
        <w:t>‘E</w:t>
      </w:r>
      <w:r>
        <w:t xml:space="preserve">very </w:t>
      </w:r>
      <w:r>
        <w:t>C</w:t>
      </w:r>
      <w:r>
        <w:t xml:space="preserve">hild </w:t>
      </w:r>
      <w:r>
        <w:t>A</w:t>
      </w:r>
      <w:r>
        <w:t xml:space="preserve">chieving and </w:t>
      </w:r>
      <w:r>
        <w:t>T</w:t>
      </w:r>
      <w:r>
        <w:t>hriving</w:t>
      </w:r>
      <w:r>
        <w:t>’</w:t>
      </w:r>
      <w:r>
        <w:t xml:space="preserve"> White Paper. I will only comment on selected aspects of the terms of reference</w:t>
      </w:r>
      <w:r>
        <w:t>,</w:t>
      </w:r>
      <w:r>
        <w:t xml:space="preserve"> particularly </w:t>
      </w:r>
      <w:r>
        <w:t>R</w:t>
      </w:r>
      <w:r>
        <w:t>aising attainment</w:t>
      </w:r>
      <w:r>
        <w:t xml:space="preserve"> and</w:t>
      </w:r>
      <w:r>
        <w:t xml:space="preserve"> </w:t>
      </w:r>
      <w:r>
        <w:t>E</w:t>
      </w:r>
      <w:r>
        <w:t>nrichment</w:t>
      </w:r>
      <w:r>
        <w:t>,</w:t>
      </w:r>
      <w:r>
        <w:t xml:space="preserve"> belonging and behaviour.</w:t>
      </w:r>
    </w:p>
    <w:p w:rsidR="007B22B1" w:rsidP="007643BB">
      <w:pPr>
        <w:pStyle w:val="ListParagraph"/>
        <w:numPr>
          <w:ilvl w:val="0"/>
          <w:numId w:val="1"/>
        </w:numPr>
      </w:pPr>
      <w:r>
        <w:t xml:space="preserve">I comment here as a former chief executive of </w:t>
      </w:r>
      <w:r>
        <w:t>a</w:t>
      </w:r>
      <w:r>
        <w:t xml:space="preserve"> business school, a former chair of an international learning and development consultancy and more recently chair of</w:t>
      </w:r>
      <w:r>
        <w:t xml:space="preserve"> an educational </w:t>
      </w:r>
      <w:r>
        <w:t>charity working with young people out of school. These perspectives obviously orient the evidence I submit.</w:t>
      </w:r>
    </w:p>
    <w:p w:rsidR="007B22B1" w:rsidP="007643BB">
      <w:pPr>
        <w:pStyle w:val="ListParagraph"/>
        <w:numPr>
          <w:ilvl w:val="0"/>
          <w:numId w:val="1"/>
        </w:numPr>
      </w:pPr>
      <w:r w:rsidRPr="00EB3ABA">
        <w:rPr>
          <w:b/>
          <w:bCs/>
        </w:rPr>
        <w:t>Raising attainment</w:t>
      </w:r>
      <w:r>
        <w:t>. The first important issue is to</w:t>
      </w:r>
      <w:r>
        <w:t xml:space="preserve"> agree </w:t>
      </w:r>
      <w:r>
        <w:t>what attainment is necessary from schools. In evaluating attainment</w:t>
      </w:r>
      <w:r>
        <w:t xml:space="preserve"> it</w:t>
      </w:r>
      <w:r>
        <w:t xml:space="preserve"> is important</w:t>
      </w:r>
      <w:r>
        <w:t xml:space="preserve"> to base </w:t>
      </w:r>
      <w:r>
        <w:t>e</w:t>
      </w:r>
      <w:r>
        <w:t xml:space="preserve">valuation of schools </w:t>
      </w:r>
      <w:r>
        <w:t xml:space="preserve">on </w:t>
      </w:r>
      <w:r>
        <w:t xml:space="preserve">what </w:t>
      </w:r>
      <w:r>
        <w:t>are</w:t>
      </w:r>
      <w:r>
        <w:t xml:space="preserve"> generally agreed </w:t>
      </w:r>
      <w:r>
        <w:t>definitions</w:t>
      </w:r>
      <w:r>
        <w:t xml:space="preserve"> of what education is for</w:t>
      </w:r>
      <w:r>
        <w:t>,</w:t>
      </w:r>
      <w:r>
        <w:t xml:space="preserve"> specifically the ideal for all</w:t>
      </w:r>
      <w:r>
        <w:t xml:space="preserve"> ex-pupils </w:t>
      </w:r>
      <w:r>
        <w:t>to be able to live a full and rich life</w:t>
      </w:r>
      <w:r>
        <w:t xml:space="preserve"> a</w:t>
      </w:r>
      <w:r>
        <w:t>s autonomous citizens</w:t>
      </w:r>
      <w:r>
        <w:t xml:space="preserve"> within the society in which they are located.</w:t>
      </w:r>
    </w:p>
    <w:p w:rsidR="007B22B1" w:rsidP="007643BB">
      <w:pPr>
        <w:pStyle w:val="ListParagraph"/>
        <w:numPr>
          <w:ilvl w:val="0"/>
          <w:numId w:val="1"/>
        </w:numPr>
      </w:pPr>
      <w:r>
        <w:t>Currently school attainment is to</w:t>
      </w:r>
      <w:r>
        <w:t>o</w:t>
      </w:r>
      <w:r>
        <w:t xml:space="preserve"> much focused on intermediary measures which do not necessarily link to the aims of education. By using GCSE and A-level exam passes as a proxy for proper evaluation of schooling means that schools are not meeting the needs of the world of work</w:t>
      </w:r>
      <w:r>
        <w:t>, for instance</w:t>
      </w:r>
      <w:r>
        <w:t xml:space="preserve">. Every credible research project from employing organisations and others representing the organisational world </w:t>
      </w:r>
      <w:r>
        <w:t xml:space="preserve">has </w:t>
      </w:r>
      <w:r>
        <w:t>criticised the outcome</w:t>
      </w:r>
      <w:r>
        <w:t>s</w:t>
      </w:r>
      <w:r>
        <w:t xml:space="preserve"> from institutional education and emphasised what organisations are looking for in terms of attainment and abilities.</w:t>
      </w:r>
      <w:r>
        <w:t xml:space="preserve"> In summary </w:t>
      </w:r>
      <w:r>
        <w:t>the evidence point</w:t>
      </w:r>
      <w:r>
        <w:t>s</w:t>
      </w:r>
      <w:r>
        <w:t xml:space="preserve"> to the need for particular abilities such as team working</w:t>
      </w:r>
      <w:r>
        <w:t>,</w:t>
      </w:r>
      <w:r>
        <w:t xml:space="preserve"> innovation</w:t>
      </w:r>
      <w:r>
        <w:t>,</w:t>
      </w:r>
      <w:r>
        <w:t xml:space="preserve"> self managing</w:t>
      </w:r>
      <w:r>
        <w:t>,</w:t>
      </w:r>
      <w:r>
        <w:t xml:space="preserve"> problem-solving</w:t>
      </w:r>
      <w:r>
        <w:t>,</w:t>
      </w:r>
      <w:r>
        <w:t xml:space="preserve"> organisational skills and so on. No report that I’ve seen wishes to see improvements in GCSEs and A-levels as these proxy evaluation stages are unhelpful and orient young people to exam passing rather than </w:t>
      </w:r>
      <w:r>
        <w:t>preparing them</w:t>
      </w:r>
      <w:r>
        <w:t xml:space="preserve"> for life in society </w:t>
      </w:r>
      <w:r>
        <w:t xml:space="preserve">- </w:t>
      </w:r>
      <w:r>
        <w:t>which includes being able to work.</w:t>
      </w:r>
    </w:p>
    <w:p w:rsidR="007B22B1" w:rsidP="007643BB">
      <w:pPr>
        <w:pStyle w:val="ListParagraph"/>
        <w:numPr>
          <w:ilvl w:val="0"/>
          <w:numId w:val="1"/>
        </w:numPr>
      </w:pPr>
      <w:r>
        <w:t>It seems logical then to ask that schools</w:t>
      </w:r>
      <w:r>
        <w:t xml:space="preserve"> show that</w:t>
      </w:r>
      <w:r>
        <w:t xml:space="preserve"> they have contributed to achieving the aims of education. This would require significant </w:t>
      </w:r>
      <w:r>
        <w:t xml:space="preserve">follow-up </w:t>
      </w:r>
      <w:r>
        <w:t>research on the lives and careers of ex-pupils as a way of demonstrating attainment of</w:t>
      </w:r>
      <w:r>
        <w:t xml:space="preserve"> </w:t>
      </w:r>
      <w:r>
        <w:t xml:space="preserve">the </w:t>
      </w:r>
      <w:r>
        <w:t>proper aims of education.</w:t>
      </w:r>
    </w:p>
    <w:p w:rsidR="007B22B1" w:rsidP="007643BB">
      <w:pPr>
        <w:pStyle w:val="ListParagraph"/>
        <w:numPr>
          <w:ilvl w:val="0"/>
          <w:numId w:val="1"/>
        </w:numPr>
      </w:pPr>
      <w:r>
        <w:t>We have</w:t>
      </w:r>
      <w:r>
        <w:t xml:space="preserve"> also</w:t>
      </w:r>
      <w:r>
        <w:t xml:space="preserve"> the problem of Ofsted’s measures applied to schools. Just one example he</w:t>
      </w:r>
      <w:r>
        <w:t>re</w:t>
      </w:r>
      <w:r>
        <w:t xml:space="preserve"> might illuminate the issue. We know that we have a major social problem with excessive numbers of people in his Majesty’s prisons. Almost 50% of the prison population are functionally illiterate and they have almost all been to school. This 50% </w:t>
      </w:r>
      <w:r>
        <w:t>are</w:t>
      </w:r>
      <w:r>
        <w:t xml:space="preserve"> imprisoned largely because they are functionally illiterate and if you want to earn money in this world and are not literate then a life of crime is one of the only options </w:t>
      </w:r>
      <w:r>
        <w:t xml:space="preserve">that </w:t>
      </w:r>
      <w:r>
        <w:t xml:space="preserve">occurs to many young people. Ofsted </w:t>
      </w:r>
      <w:r>
        <w:t>should</w:t>
      </w:r>
      <w:r>
        <w:t xml:space="preserve"> demand</w:t>
      </w:r>
      <w:r>
        <w:t>,</w:t>
      </w:r>
      <w:r>
        <w:t xml:space="preserve"> at</w:t>
      </w:r>
      <w:r>
        <w:t xml:space="preserve"> inspection</w:t>
      </w:r>
      <w:r>
        <w:t>,</w:t>
      </w:r>
      <w:r>
        <w:t xml:space="preserve"> that all pupils leaving school carry out </w:t>
      </w:r>
      <w:r>
        <w:t>a</w:t>
      </w:r>
      <w:r>
        <w:t xml:space="preserve"> literacy test and </w:t>
      </w:r>
      <w:r>
        <w:t>the school should be judged on the extent to which</w:t>
      </w:r>
      <w:r>
        <w:t xml:space="preserve"> </w:t>
      </w:r>
      <w:r>
        <w:t xml:space="preserve">all </w:t>
      </w:r>
      <w:r>
        <w:t xml:space="preserve">their </w:t>
      </w:r>
      <w:r>
        <w:t>pupils</w:t>
      </w:r>
      <w:r>
        <w:t xml:space="preserve"> leave as </w:t>
      </w:r>
      <w:r>
        <w:t>literate individuals who can live as fully-functioning citizens</w:t>
      </w:r>
      <w:r>
        <w:t>.</w:t>
      </w:r>
      <w:r>
        <w:t xml:space="preserve"> Currently there is no</w:t>
      </w:r>
      <w:r>
        <w:t xml:space="preserve"> specific</w:t>
      </w:r>
      <w:r>
        <w:t xml:space="preserve"> test of literacy</w:t>
      </w:r>
      <w:r>
        <w:t>. The GCSE English is not</w:t>
      </w:r>
      <w:r>
        <w:t xml:space="preserve"> really</w:t>
      </w:r>
      <w:r>
        <w:t xml:space="preserve"> a test of literacy and in any case a </w:t>
      </w:r>
      <w:r>
        <w:t>third</w:t>
      </w:r>
      <w:r>
        <w:t xml:space="preserve"> of pupils</w:t>
      </w:r>
      <w:r>
        <w:t xml:space="preserve"> fail to achieve</w:t>
      </w:r>
      <w:r>
        <w:t xml:space="preserve"> a pass.</w:t>
      </w:r>
    </w:p>
    <w:p w:rsidR="007B22B1" w:rsidP="007643BB">
      <w:pPr>
        <w:pStyle w:val="ListParagraph"/>
        <w:numPr>
          <w:ilvl w:val="0"/>
          <w:numId w:val="1"/>
        </w:numPr>
      </w:pPr>
      <w:r>
        <w:t>We have the broader problem of the national curriculum</w:t>
      </w:r>
      <w:r>
        <w:t>. What is the logic of having a different curriculum for England, for Wales, for Scotland and for Northern Ireland. There is no evidence that young people are different</w:t>
      </w:r>
      <w:r>
        <w:t xml:space="preserve"> in each of these nations such that it justifies </w:t>
      </w:r>
      <w:r>
        <w:t xml:space="preserve">a </w:t>
      </w:r>
      <w:r>
        <w:t xml:space="preserve">different curriculum. What we do know is that curriculum decisions are </w:t>
      </w:r>
      <w:r>
        <w:t xml:space="preserve">subjective </w:t>
      </w:r>
      <w:r>
        <w:t>political judgements made by individuals</w:t>
      </w:r>
      <w:r>
        <w:t>.</w:t>
      </w:r>
    </w:p>
    <w:p w:rsidR="007B22B1" w:rsidP="007643BB">
      <w:pPr>
        <w:pStyle w:val="ListParagraph"/>
        <w:numPr>
          <w:ilvl w:val="0"/>
          <w:numId w:val="1"/>
        </w:numPr>
      </w:pPr>
      <w:r>
        <w:t xml:space="preserve">All of this links to the fact that we have a narrow and unbalanced curriculum as part of the </w:t>
      </w:r>
      <w:r>
        <w:t>N</w:t>
      </w:r>
      <w:r>
        <w:t xml:space="preserve">ational </w:t>
      </w:r>
      <w:r>
        <w:t>C</w:t>
      </w:r>
      <w:r>
        <w:t>urriculum. The recent announcements from the Prime Minister will start to address part of this problem. However the effort required is going to be huge given that reports on this issue of</w:t>
      </w:r>
      <w:r>
        <w:t xml:space="preserve"> practical </w:t>
      </w:r>
      <w:r>
        <w:t>and technical skills</w:t>
      </w:r>
      <w:r>
        <w:t xml:space="preserve"> has </w:t>
      </w:r>
      <w:r>
        <w:t>been occurring since Victorian times and we clearly haven’t solved it. The T levels are struggling and further education is still badly funded.</w:t>
      </w:r>
    </w:p>
    <w:p w:rsidR="007B22B1" w:rsidP="007643BB">
      <w:pPr>
        <w:pStyle w:val="ListParagraph"/>
        <w:numPr>
          <w:ilvl w:val="0"/>
          <w:numId w:val="1"/>
        </w:numPr>
      </w:pPr>
      <w:r>
        <w:t xml:space="preserve">In addressing the NEETs issue the focus on the job market is a distraction from addressing the failure of schools to prepare people for the world of work. It is a national scandal that we have nearly 1 million NEETs. It is quite wrong for the media and others to put the blame on young people or onto employers. </w:t>
      </w:r>
      <w:r>
        <w:t>Y</w:t>
      </w:r>
      <w:r>
        <w:t>oung people</w:t>
      </w:r>
      <w:r>
        <w:t xml:space="preserve"> have</w:t>
      </w:r>
      <w:r>
        <w:t xml:space="preserve"> not well prepared for the world of work which requires individuals to be able to be reliable</w:t>
      </w:r>
      <w:r>
        <w:t>,</w:t>
      </w:r>
      <w:r>
        <w:t xml:space="preserve"> socially able and well motivated to learn.</w:t>
      </w:r>
    </w:p>
    <w:p w:rsidR="007B22B1" w:rsidP="007643BB">
      <w:pPr>
        <w:pStyle w:val="ListParagraph"/>
        <w:numPr>
          <w:ilvl w:val="0"/>
          <w:numId w:val="1"/>
        </w:numPr>
      </w:pPr>
      <w:r>
        <w:t>A problem with what might well be the focus of the Prime Minister’s initiative is just a reliance on developing skills. Many of the skills that young people are developing in school or even in work will be potentially irrelevant in a few years time given the pace of change driven by new technologies such as AI. One fact that is important is that young people will need to be able to continue to be able to learn for themselves in the future. They cannot necessarily rely on the system but they have often been</w:t>
      </w:r>
      <w:r>
        <w:t xml:space="preserve"> persuaded </w:t>
      </w:r>
      <w:r>
        <w:t>into believing that there is a system out there</w:t>
      </w:r>
      <w:r>
        <w:t xml:space="preserve"> which </w:t>
      </w:r>
      <w:r>
        <w:t>they</w:t>
      </w:r>
      <w:r>
        <w:t xml:space="preserve"> have</w:t>
      </w:r>
      <w:r>
        <w:t xml:space="preserve"> just got to follow and everything will be fine.</w:t>
      </w:r>
    </w:p>
    <w:p w:rsidR="007B22B1" w:rsidP="007643BB">
      <w:pPr>
        <w:pStyle w:val="ListParagraph"/>
        <w:numPr>
          <w:ilvl w:val="0"/>
          <w:numId w:val="1"/>
        </w:numPr>
      </w:pPr>
      <w:r>
        <w:t>We also have to consider the wider issues of what makes people effective in work. We have some good examples of people who have been successful in the educational and training world but who have been disasters</w:t>
      </w:r>
      <w:r>
        <w:t xml:space="preserve"> at </w:t>
      </w:r>
      <w:r>
        <w:t xml:space="preserve">work. The adults who knew that the Grenfell </w:t>
      </w:r>
      <w:r>
        <w:t>T</w:t>
      </w:r>
      <w:r>
        <w:t>ower’s building was going to be covered in</w:t>
      </w:r>
      <w:r>
        <w:t xml:space="preserve"> inflammable </w:t>
      </w:r>
      <w:r>
        <w:t>material were clearly skilled and supposedly well-educated individuals who did not seem to have a moral compass. We also know from research in London how much lawyers</w:t>
      </w:r>
      <w:r>
        <w:t>,</w:t>
      </w:r>
      <w:r>
        <w:t xml:space="preserve"> accountants</w:t>
      </w:r>
      <w:r>
        <w:t>,</w:t>
      </w:r>
      <w:r>
        <w:t xml:space="preserve"> estate agents and others help criminals especially those coming from Eastern Europe to launder money and to engage in antisocial activities. Again these skilled well-educated people clearly have no interest in the ethical dimension of making society work .</w:t>
      </w:r>
    </w:p>
    <w:p w:rsidR="007B22B1" w:rsidP="007643BB">
      <w:pPr>
        <w:pStyle w:val="ListParagraph"/>
        <w:numPr>
          <w:ilvl w:val="0"/>
          <w:numId w:val="1"/>
        </w:numPr>
      </w:pPr>
      <w:r>
        <w:t>Good employers know these issues. The world’s most successful</w:t>
      </w:r>
      <w:r>
        <w:t xml:space="preserve"> investor </w:t>
      </w:r>
      <w:r>
        <w:t>and one of the world’s richest people</w:t>
      </w:r>
      <w:r>
        <w:t>,</w:t>
      </w:r>
      <w:r>
        <w:t xml:space="preserve"> Warren Buffett</w:t>
      </w:r>
      <w:r>
        <w:t>,</w:t>
      </w:r>
      <w:r>
        <w:t xml:space="preserve"> commented that there are two </w:t>
      </w:r>
      <w:r>
        <w:t xml:space="preserve">key factors in employing people </w:t>
      </w:r>
      <w:r>
        <w:t>-</w:t>
      </w:r>
      <w:r>
        <w:t xml:space="preserve"> trust and capability. However if there is someone who is highly capable but you can’t trust them</w:t>
      </w:r>
      <w:r>
        <w:t xml:space="preserve"> they are </w:t>
      </w:r>
      <w:r>
        <w:t>absolutely the last people you want to employ.</w:t>
      </w:r>
    </w:p>
    <w:p w:rsidR="007B22B1" w:rsidP="007643BB">
      <w:pPr>
        <w:pStyle w:val="ListParagraph"/>
        <w:numPr>
          <w:ilvl w:val="0"/>
          <w:numId w:val="1"/>
        </w:numPr>
      </w:pPr>
      <w:r>
        <w:t>Paradoxically the educational world</w:t>
      </w:r>
      <w:r>
        <w:t>,</w:t>
      </w:r>
      <w:r>
        <w:t xml:space="preserve"> especially that of the private education world</w:t>
      </w:r>
      <w:r>
        <w:t>,</w:t>
      </w:r>
      <w:r>
        <w:t xml:space="preserve"> has in the past emphasised what went</w:t>
      </w:r>
      <w:r>
        <w:t xml:space="preserve"> under </w:t>
      </w:r>
      <w:r>
        <w:t>labels like character building. It’s not that we should return to those old-fashioned and potentially elitist ideas</w:t>
      </w:r>
      <w:r>
        <w:t>,</w:t>
      </w:r>
      <w:r>
        <w:t xml:space="preserve"> but rather that if accountability</w:t>
      </w:r>
      <w:r>
        <w:t xml:space="preserve"> in</w:t>
      </w:r>
      <w:r>
        <w:t xml:space="preserve"> education is merely about knowledge and skills then we are missing a very important dimension.</w:t>
      </w:r>
    </w:p>
    <w:p w:rsidR="007B22B1" w:rsidP="007643BB">
      <w:pPr>
        <w:pStyle w:val="ListParagraph"/>
        <w:numPr>
          <w:ilvl w:val="0"/>
          <w:numId w:val="1"/>
        </w:numPr>
      </w:pPr>
      <w:r w:rsidRPr="00F146A1">
        <w:rPr>
          <w:b/>
          <w:bCs/>
        </w:rPr>
        <w:t xml:space="preserve">Enrichment belonging and behaviour. </w:t>
      </w:r>
      <w:r>
        <w:t>Clearly what I’ve started to address can be covered under this heading. However</w:t>
      </w:r>
      <w:r>
        <w:t xml:space="preserve"> there is </w:t>
      </w:r>
      <w:r>
        <w:t>a problem with the concept of enrichment</w:t>
      </w:r>
      <w:r>
        <w:t>,</w:t>
      </w:r>
      <w:r>
        <w:t xml:space="preserve"> which is attached to the idea of something that is an add-on to the central core of meeting the requirements of the </w:t>
      </w:r>
      <w:r>
        <w:t>N</w:t>
      </w:r>
      <w:r>
        <w:t xml:space="preserve">ational </w:t>
      </w:r>
      <w:r>
        <w:t>C</w:t>
      </w:r>
      <w:r>
        <w:t>urriculum.</w:t>
      </w:r>
    </w:p>
    <w:p w:rsidR="007B22B1" w:rsidP="007643BB">
      <w:pPr>
        <w:pStyle w:val="ListParagraph"/>
        <w:numPr>
          <w:ilvl w:val="0"/>
          <w:numId w:val="1"/>
        </w:numPr>
      </w:pPr>
      <w:r>
        <w:t>Whilst the ideas of</w:t>
      </w:r>
      <w:r>
        <w:t xml:space="preserve"> improving </w:t>
      </w:r>
      <w:r>
        <w:t>belonging and positive relationships are worthy aims</w:t>
      </w:r>
      <w:r>
        <w:t xml:space="preserve"> the </w:t>
      </w:r>
      <w:r>
        <w:t>issue is</w:t>
      </w:r>
      <w:r>
        <w:t xml:space="preserve"> that</w:t>
      </w:r>
      <w:r>
        <w:t xml:space="preserve"> within the current institutional structure </w:t>
      </w:r>
      <w:r>
        <w:t xml:space="preserve">it </w:t>
      </w:r>
      <w:r>
        <w:t>is very difficult to achieve changes. For many young people we know that research shows that they don’t feel they belong in school</w:t>
      </w:r>
      <w:r>
        <w:t xml:space="preserve"> and</w:t>
      </w:r>
      <w:r>
        <w:t xml:space="preserve"> that they don’t identify school as a positive factor in their lives. One interesting fact from our research showed that there were almost weekly arson attacks on schools through the UK</w:t>
      </w:r>
      <w:r>
        <w:t>,</w:t>
      </w:r>
      <w:r>
        <w:t xml:space="preserve"> usually perpetrated by current or ex-pupils. However other public buildings such as libraries</w:t>
      </w:r>
      <w:r>
        <w:t>,</w:t>
      </w:r>
      <w:r>
        <w:t xml:space="preserve"> museums </w:t>
      </w:r>
      <w:r>
        <w:t xml:space="preserve">and </w:t>
      </w:r>
      <w:r>
        <w:t>art galleries do not receive such maltreatment. The difference</w:t>
      </w:r>
      <w:r>
        <w:t>,</w:t>
      </w:r>
      <w:r>
        <w:t xml:space="preserve"> of course</w:t>
      </w:r>
      <w:r>
        <w:t>,</w:t>
      </w:r>
      <w:r>
        <w:t xml:space="preserve"> is that going to a library or museum or art gallery allows the individual to have freedom to learn what they want. In school young people are controlled through the day and have very little choice in what they learn and how they learn it.</w:t>
      </w:r>
    </w:p>
    <w:p w:rsidR="007B22B1" w:rsidP="007643BB">
      <w:pPr>
        <w:pStyle w:val="ListParagraph"/>
        <w:numPr>
          <w:ilvl w:val="0"/>
          <w:numId w:val="1"/>
        </w:numPr>
      </w:pPr>
      <w:r>
        <w:t>In relation to the latter point about how you</w:t>
      </w:r>
      <w:r>
        <w:t>ng</w:t>
      </w:r>
      <w:r>
        <w:t xml:space="preserve"> </w:t>
      </w:r>
      <w:r>
        <w:t xml:space="preserve">people </w:t>
      </w:r>
      <w:r>
        <w:t>learn</w:t>
      </w:r>
      <w:r>
        <w:t>,</w:t>
      </w:r>
      <w:r>
        <w:t xml:space="preserve"> in running </w:t>
      </w:r>
      <w:r>
        <w:t>a small</w:t>
      </w:r>
      <w:r>
        <w:t xml:space="preserve"> learning community for 24 years we used a variety of modes to help</w:t>
      </w:r>
      <w:r>
        <w:t xml:space="preserve"> young</w:t>
      </w:r>
      <w:r>
        <w:t xml:space="preserve"> people to learn</w:t>
      </w:r>
      <w:r>
        <w:t xml:space="preserve"> and </w:t>
      </w:r>
      <w:r>
        <w:t>those who</w:t>
      </w:r>
      <w:r>
        <w:t xml:space="preserve"> came </w:t>
      </w:r>
      <w:r>
        <w:t>out of the school system were very clear they did not want to recreate the classroom.</w:t>
      </w:r>
    </w:p>
    <w:p w:rsidR="007B22B1" w:rsidP="00116756">
      <w:pPr>
        <w:pStyle w:val="ListParagraph"/>
        <w:numPr>
          <w:ilvl w:val="0"/>
          <w:numId w:val="1"/>
        </w:numPr>
      </w:pPr>
      <w:r>
        <w:t>Young people used over 52 different ways of learning without necessary recourse to classroom and were able to go on to successful careers as</w:t>
      </w:r>
      <w:r>
        <w:t xml:space="preserve"> has </w:t>
      </w:r>
      <w:r>
        <w:t xml:space="preserve">been established from independent evaluations by various universities. We know that young people learn best by being able to have some level of individual attention but also the ability to access resources and all sorts of other modes of learning. Evidence of the use of such different learning modes and of the workings of a learning community is summarised in Cunningham I </w:t>
      </w:r>
      <w:r>
        <w:t>‘</w:t>
      </w:r>
      <w:r>
        <w:t>Self managed learning and the new educational paradigm</w:t>
      </w:r>
      <w:r>
        <w:t>’</w:t>
      </w:r>
      <w:r>
        <w:t>.</w:t>
      </w:r>
      <w:r w:rsidRPr="00C90AFC">
        <w:t xml:space="preserve"> </w:t>
      </w:r>
      <w:r>
        <w:t>(2021,</w:t>
      </w:r>
      <w:r>
        <w:t xml:space="preserve"> Routledge</w:t>
      </w:r>
      <w:r>
        <w:t>)</w:t>
      </w:r>
      <w:r>
        <w:t>.</w:t>
      </w:r>
    </w:p>
    <w:p w:rsidR="007B22B1" w:rsidP="00116756">
      <w:pPr>
        <w:pStyle w:val="ListParagraph"/>
        <w:numPr>
          <w:ilvl w:val="0"/>
          <w:numId w:val="1"/>
        </w:numPr>
      </w:pPr>
      <w:r>
        <w:t>The evidence from research is that if you want to improve the school culture and climate and a sense of belonging and care about the place then three factors are necessary. Every child needs to know every adult. Every adult</w:t>
      </w:r>
      <w:r>
        <w:t xml:space="preserve"> needs to know every child</w:t>
      </w:r>
      <w:r>
        <w:t>. And</w:t>
      </w:r>
      <w:r>
        <w:t>,</w:t>
      </w:r>
      <w:r>
        <w:t xml:space="preserve"> most important</w:t>
      </w:r>
      <w:r>
        <w:t>,</w:t>
      </w:r>
      <w:r>
        <w:t xml:space="preserve"> every child needs to know every other child.</w:t>
      </w:r>
    </w:p>
    <w:p w:rsidR="007B22B1" w:rsidP="00116756">
      <w:pPr>
        <w:pStyle w:val="ListParagraph"/>
        <w:numPr>
          <w:ilvl w:val="0"/>
          <w:numId w:val="1"/>
        </w:numPr>
      </w:pPr>
      <w:r>
        <w:t>These criteria can only be met in smaller environments than the typical large institutional secondary school.</w:t>
      </w:r>
      <w:r>
        <w:t xml:space="preserve"> However ways to break up</w:t>
      </w:r>
      <w:r>
        <w:t xml:space="preserve"> such large institutions </w:t>
      </w:r>
      <w:r>
        <w:t>such as the use of</w:t>
      </w:r>
      <w:r>
        <w:t xml:space="preserve"> mini-</w:t>
      </w:r>
      <w:r>
        <w:t>schools has been well documented. Ideally</w:t>
      </w:r>
      <w:r>
        <w:t>,</w:t>
      </w:r>
      <w:r>
        <w:t xml:space="preserve"> though</w:t>
      </w:r>
      <w:r>
        <w:t>,</w:t>
      </w:r>
      <w:r>
        <w:t xml:space="preserve"> use of smaller</w:t>
      </w:r>
      <w:r>
        <w:t xml:space="preserve"> settings such as learning communities need</w:t>
      </w:r>
      <w:r>
        <w:t>s</w:t>
      </w:r>
      <w:r>
        <w:t xml:space="preserve"> support so that </w:t>
      </w:r>
      <w:r>
        <w:t xml:space="preserve">the </w:t>
      </w:r>
      <w:r>
        <w:t xml:space="preserve">very many young people that cannot cope in a large institution </w:t>
      </w:r>
      <w:r>
        <w:t xml:space="preserve">are </w:t>
      </w:r>
      <w:r>
        <w:t>catered for.</w:t>
      </w:r>
      <w:r>
        <w:t xml:space="preserve"> Our learning community had at its largest 80 young people aged 9 to 16</w:t>
      </w:r>
      <w:r>
        <w:t>. I</w:t>
      </w:r>
      <w:r>
        <w:t>n the 24 years of its existence</w:t>
      </w:r>
      <w:r>
        <w:t>,</w:t>
      </w:r>
      <w:r>
        <w:t xml:space="preserve"> </w:t>
      </w:r>
      <w:r>
        <w:t>we had no NEETs. As part of that all</w:t>
      </w:r>
      <w:r>
        <w:t xml:space="preserve"> young people left at 16</w:t>
      </w:r>
      <w:r>
        <w:t xml:space="preserve"> as </w:t>
      </w:r>
      <w:r>
        <w:t>literate though not necessarily with a GCSE in English.</w:t>
      </w:r>
    </w:p>
    <w:p w:rsidR="007B22B1" w:rsidP="00116756">
      <w:pPr>
        <w:pStyle w:val="ListParagraph"/>
        <w:numPr>
          <w:ilvl w:val="0"/>
          <w:numId w:val="1"/>
        </w:numPr>
      </w:pPr>
      <w:r>
        <w:t>Researchers also demonstrated</w:t>
      </w:r>
      <w:r>
        <w:t xml:space="preserve"> how young people leaving the learning community</w:t>
      </w:r>
      <w:r>
        <w:t xml:space="preserve"> have</w:t>
      </w:r>
      <w:r>
        <w:t xml:space="preserve"> chosen to work in socially useful activities or as self-employed individuals.</w:t>
      </w:r>
      <w:r>
        <w:t xml:space="preserve"> Those that have not gone through traditional university routes have been shown to be able to pursue fulfilling careers.</w:t>
      </w:r>
    </w:p>
    <w:p w:rsidR="007B22B1" w:rsidP="00116756">
      <w:pPr>
        <w:pStyle w:val="ListParagraph"/>
        <w:numPr>
          <w:ilvl w:val="0"/>
          <w:numId w:val="1"/>
        </w:numPr>
      </w:pPr>
      <w:r>
        <w:t>In the learning community we recognise</w:t>
      </w:r>
      <w:r>
        <w:t>d</w:t>
      </w:r>
      <w:r>
        <w:t xml:space="preserve"> that every individual is different and therefore</w:t>
      </w:r>
      <w:r>
        <w:t xml:space="preserve"> can pursue a curriculum which is responsive to them as individuals whilst at the same time emphasising their responsibilities to be good citizens within a learning community and gain those personal qualities that will help them when leaving.</w:t>
      </w:r>
    </w:p>
    <w:p w:rsidR="007B22B1" w:rsidP="00116756">
      <w:pPr>
        <w:pStyle w:val="ListParagraph"/>
        <w:numPr>
          <w:ilvl w:val="0"/>
          <w:numId w:val="1"/>
        </w:numPr>
      </w:pPr>
      <w:r>
        <w:t>We have appreciated all along that they have been in the fortunate position of being outside the school system</w:t>
      </w:r>
      <w:r>
        <w:t xml:space="preserve">. However </w:t>
      </w:r>
      <w:r>
        <w:t xml:space="preserve">we have not welcomed attempts to close </w:t>
      </w:r>
      <w:r>
        <w:t xml:space="preserve">as </w:t>
      </w:r>
      <w:r>
        <w:t>down by Ofsted as though we were an illegal school when we had support from schools and local authorities and when we were clearly providing a real service.</w:t>
      </w:r>
    </w:p>
    <w:p w:rsidR="007B22B1" w:rsidP="00116756">
      <w:pPr>
        <w:pStyle w:val="ListParagraph"/>
        <w:numPr>
          <w:ilvl w:val="0"/>
          <w:numId w:val="1"/>
        </w:numPr>
      </w:pPr>
      <w:r>
        <w:t>I am not suggesting some utopian solution to the wider problems of schooling by raising</w:t>
      </w:r>
      <w:r>
        <w:t xml:space="preserve"> what we achieved. However we have been able to show that small setting</w:t>
      </w:r>
      <w:r>
        <w:t>s</w:t>
      </w:r>
      <w:r>
        <w:t xml:space="preserve"> can work to</w:t>
      </w:r>
      <w:r>
        <w:t xml:space="preserve"> a lower cost </w:t>
      </w:r>
      <w:r>
        <w:t>than traditional schools and this has been particularly impressive</w:t>
      </w:r>
      <w:r>
        <w:t xml:space="preserve"> because </w:t>
      </w:r>
      <w:r>
        <w:t>we had to pay rent when schools get their buildings given to them free and paid for by the taxpayer. We have had no such help.</w:t>
      </w:r>
    </w:p>
    <w:p w:rsidR="007B22B1" w:rsidP="004951CE">
      <w:pPr>
        <w:pStyle w:val="ListParagraph"/>
        <w:numPr>
          <w:ilvl w:val="0"/>
          <w:numId w:val="1"/>
        </w:numPr>
      </w:pPr>
      <w:r>
        <w:t xml:space="preserve">These </w:t>
      </w:r>
      <w:r>
        <w:t xml:space="preserve">brief comments here </w:t>
      </w:r>
      <w:r>
        <w:t xml:space="preserve">are </w:t>
      </w:r>
      <w:r>
        <w:t>offered</w:t>
      </w:r>
      <w:r>
        <w:t xml:space="preserve"> as a basis for considering</w:t>
      </w:r>
      <w:r>
        <w:t xml:space="preserve"> the need for a </w:t>
      </w:r>
      <w:r>
        <w:t>system which is open to different modes of provision. We have worked in schools with</w:t>
      </w:r>
      <w:r>
        <w:t xml:space="preserve"> a range of young people</w:t>
      </w:r>
      <w:r>
        <w:t xml:space="preserve"> including</w:t>
      </w:r>
      <w:r>
        <w:t xml:space="preserve"> in special schools</w:t>
      </w:r>
      <w:r>
        <w:t>.</w:t>
      </w:r>
      <w:r>
        <w:t xml:space="preserve"> We have been able to show that working with small groups of young people</w:t>
      </w:r>
      <w:r>
        <w:t>,</w:t>
      </w:r>
      <w:r>
        <w:t xml:space="preserve"> many of whom are having difficulty with school</w:t>
      </w:r>
      <w:r>
        <w:t>,</w:t>
      </w:r>
      <w:r>
        <w:t xml:space="preserve"> can work effectively</w:t>
      </w:r>
      <w:r>
        <w:t>.</w:t>
      </w:r>
      <w:r>
        <w:t xml:space="preserve"> An example is shown in a film of a joint project between</w:t>
      </w:r>
      <w:r>
        <w:t xml:space="preserve"> our charity </w:t>
      </w:r>
      <w:r>
        <w:t>and the University of Sussex</w:t>
      </w:r>
      <w:r>
        <w:t xml:space="preserve"> - </w:t>
      </w:r>
      <w:r>
        <w:fldChar w:fldCharType="begin"/>
      </w:r>
      <w:r>
        <w:instrText xml:space="preserve"> HYPERLINK "https://www.youtube.com/watch?v=TBybHthhwXE" </w:instrText>
      </w:r>
      <w:r>
        <w:fldChar w:fldCharType="separate"/>
      </w:r>
      <w:r w:rsidRPr="00D40394">
        <w:rPr>
          <w:rStyle w:val="Hyperlink"/>
        </w:rPr>
        <w:t>https://www.youtube.com/watch?v=TBybHthhwXE</w:t>
      </w:r>
      <w:r>
        <w:fldChar w:fldCharType="end"/>
      </w:r>
      <w:r>
        <w:t>.</w:t>
      </w:r>
    </w:p>
    <w:p w:rsidR="007B22B1" w:rsidP="004951CE">
      <w:pPr>
        <w:pStyle w:val="ListParagraph"/>
        <w:numPr>
          <w:ilvl w:val="0"/>
          <w:numId w:val="1"/>
        </w:numPr>
      </w:pPr>
      <w:r>
        <w:t xml:space="preserve"> These processes were developed in 40 years of working with organisations</w:t>
      </w:r>
      <w:r>
        <w:t xml:space="preserve"> including </w:t>
      </w:r>
      <w:r>
        <w:t>with business</w:t>
      </w:r>
      <w:r>
        <w:t>es,</w:t>
      </w:r>
      <w:r>
        <w:t xml:space="preserve"> </w:t>
      </w:r>
      <w:r>
        <w:t>G</w:t>
      </w:r>
      <w:r>
        <w:t>overnment departments</w:t>
      </w:r>
      <w:r>
        <w:t>,</w:t>
      </w:r>
      <w:r>
        <w:t xml:space="preserve"> the NHS </w:t>
      </w:r>
      <w:r>
        <w:t xml:space="preserve">and </w:t>
      </w:r>
      <w:r>
        <w:t>local authorities</w:t>
      </w:r>
      <w:r>
        <w:t xml:space="preserve"> and</w:t>
      </w:r>
      <w:r>
        <w:t xml:space="preserve"> </w:t>
      </w:r>
      <w:r>
        <w:t>have been evaluated by a number of universities</w:t>
      </w:r>
      <w:r>
        <w:t>. The book by Cunningham et al ‘Self Managed</w:t>
      </w:r>
      <w:r>
        <w:t xml:space="preserve"> Learning in Action’ (2017, Routledge) has examples of our approach as used by the following: Arun District Council, AXA, Barclays Bank, Ericsson, Ladbrokes, Reigate and District Council, Sainsbury’s, Shell and Vodaphone.</w:t>
      </w:r>
    </w:p>
    <w:p w:rsidR="007B22B1" w:rsidP="00116756">
      <w:pPr>
        <w:pStyle w:val="ListParagraph"/>
        <w:numPr>
          <w:ilvl w:val="0"/>
          <w:numId w:val="1"/>
        </w:numPr>
      </w:pPr>
      <w:r>
        <w:t>In summary the research evidence suggests that institutional</w:t>
      </w:r>
      <w:r>
        <w:t xml:space="preserve"> schooling cannot meet the needs of all young people and the</w:t>
      </w:r>
      <w:r>
        <w:t>re</w:t>
      </w:r>
      <w:r>
        <w:t xml:space="preserve"> needs to be a system which </w:t>
      </w:r>
      <w:r>
        <w:t>recognises multiple opportunities and where</w:t>
      </w:r>
      <w:r>
        <w:t xml:space="preserve"> different arrangements are</w:t>
      </w:r>
      <w:r>
        <w:t xml:space="preserve"> as</w:t>
      </w:r>
      <w:r>
        <w:t xml:space="preserve"> valued</w:t>
      </w:r>
      <w:r>
        <w:t>.</w:t>
      </w:r>
    </w:p>
    <w:p w:rsidR="00A50267" w:rsidP="00A50267"/>
    <w:p w:rsidR="00A50267" w:rsidRPr="00A50267" w:rsidP="00A50267">
      <w:pPr>
        <w:rPr>
          <w:i/>
          <w:iCs/>
        </w:rPr>
      </w:pPr>
      <w:r w:rsidRPr="00A50267">
        <w:rPr>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563CF8"/>
    <w:multiLevelType w:val="hybridMultilevel"/>
    <w:tmpl w:val="AA9EECE4"/>
    <w:lvl w:ilvl="0">
      <w:start w:val="1"/>
      <w:numFmt w:val="decimal"/>
      <w:lvlText w:val="%1."/>
      <w:lvlJc w:val="left"/>
      <w:pPr>
        <w:ind w:left="643"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DD37CBC"/>
    <w:multiLevelType w:val="hybridMultilevel"/>
    <w:tmpl w:val="F29613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60A3D41"/>
    <w:multiLevelType w:val="hybridMultilevel"/>
    <w:tmpl w:val="4590F7D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E98F342-3B63-4CBD-8E45-F36A87537D53}"/>
    <w:docVar w:name="dgnword-eventsink" w:val="368460224"/>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643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3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3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3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3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3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3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3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3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3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3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3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3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3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3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3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3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3BB"/>
    <w:rPr>
      <w:rFonts w:eastAsiaTheme="majorEastAsia" w:cstheme="majorBidi"/>
      <w:color w:val="272727" w:themeColor="text1" w:themeTint="D8"/>
    </w:rPr>
  </w:style>
  <w:style w:type="paragraph" w:styleId="Title">
    <w:name w:val="Title"/>
    <w:basedOn w:val="Normal"/>
    <w:next w:val="Normal"/>
    <w:link w:val="TitleChar"/>
    <w:uiPriority w:val="10"/>
    <w:qFormat/>
    <w:rsid w:val="007643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3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3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3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3BB"/>
    <w:pPr>
      <w:spacing w:before="160"/>
      <w:jc w:val="center"/>
    </w:pPr>
    <w:rPr>
      <w:i/>
      <w:iCs/>
      <w:color w:val="404040" w:themeColor="text1" w:themeTint="BF"/>
    </w:rPr>
  </w:style>
  <w:style w:type="character" w:customStyle="1" w:styleId="QuoteChar">
    <w:name w:val="Quote Char"/>
    <w:basedOn w:val="DefaultParagraphFont"/>
    <w:link w:val="Quote"/>
    <w:uiPriority w:val="29"/>
    <w:rsid w:val="007643BB"/>
    <w:rPr>
      <w:i/>
      <w:iCs/>
      <w:color w:val="404040" w:themeColor="text1" w:themeTint="BF"/>
    </w:rPr>
  </w:style>
  <w:style w:type="paragraph" w:styleId="ListParagraph">
    <w:name w:val="List Paragraph"/>
    <w:basedOn w:val="Normal"/>
    <w:uiPriority w:val="34"/>
    <w:qFormat/>
    <w:rsid w:val="007643BB"/>
    <w:pPr>
      <w:ind w:left="720"/>
      <w:contextualSpacing/>
    </w:pPr>
  </w:style>
  <w:style w:type="character" w:styleId="IntenseEmphasis">
    <w:name w:val="Intense Emphasis"/>
    <w:basedOn w:val="DefaultParagraphFont"/>
    <w:uiPriority w:val="21"/>
    <w:qFormat/>
    <w:rsid w:val="007643BB"/>
    <w:rPr>
      <w:i/>
      <w:iCs/>
      <w:color w:val="0F4761" w:themeColor="accent1" w:themeShade="BF"/>
    </w:rPr>
  </w:style>
  <w:style w:type="paragraph" w:styleId="IntenseQuote">
    <w:name w:val="Intense Quote"/>
    <w:basedOn w:val="Normal"/>
    <w:next w:val="Normal"/>
    <w:link w:val="IntenseQuoteChar"/>
    <w:uiPriority w:val="30"/>
    <w:qFormat/>
    <w:rsid w:val="00764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3BB"/>
    <w:rPr>
      <w:i/>
      <w:iCs/>
      <w:color w:val="0F4761" w:themeColor="accent1" w:themeShade="BF"/>
    </w:rPr>
  </w:style>
  <w:style w:type="character" w:styleId="IntenseReference">
    <w:name w:val="Intense Reference"/>
    <w:basedOn w:val="DefaultParagraphFont"/>
    <w:uiPriority w:val="32"/>
    <w:qFormat/>
    <w:rsid w:val="007643BB"/>
    <w:rPr>
      <w:b/>
      <w:bCs/>
      <w:smallCaps/>
      <w:color w:val="0F4761" w:themeColor="accent1" w:themeShade="BF"/>
      <w:spacing w:val="5"/>
    </w:rPr>
  </w:style>
  <w:style w:type="character" w:styleId="Hyperlink">
    <w:name w:val="Hyperlink"/>
    <w:basedOn w:val="DefaultParagraphFont"/>
    <w:uiPriority w:val="99"/>
    <w:unhideWhenUsed/>
    <w:rsid w:val="00B06F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E355C-E4FD-4F8E-BC90-9946041B1722}">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ECA0144</dc:title>
  <cp:revision>0</cp:revision>
</cp:coreProperties>
</file>