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53372" w:rsidP="00A41DE6">
      <w:pPr>
        <w:spacing w:after="200"/>
        <w:jc w:val="center"/>
        <w:rPr>
          <w:rFonts w:ascii="Poppins" w:hAnsi="Poppins" w:cs="Poppins"/>
          <w:b/>
          <w:bCs/>
        </w:rPr>
      </w:pPr>
      <w:r w:rsidRPr="00A41DE6">
        <w:rPr>
          <w:rFonts w:ascii="Poppins" w:hAnsi="Poppins" w:cs="Poppins"/>
          <w:b/>
          <w:bCs/>
        </w:rPr>
        <w:t xml:space="preserve">Written evidence by </w:t>
      </w:r>
      <w:r w:rsidRPr="00A41DE6">
        <w:rPr>
          <w:rFonts w:ascii="Poppins" w:hAnsi="Poppins" w:cs="Poppins"/>
          <w:b/>
          <w:bCs/>
        </w:rPr>
        <w:t>Girlguiding UK</w:t>
      </w:r>
      <w:r w:rsidRPr="00A41DE6">
        <w:rPr>
          <w:rFonts w:ascii="Poppins" w:hAnsi="Poppins" w:cs="Poppins"/>
          <w:b/>
          <w:bCs/>
        </w:rPr>
        <w:t xml:space="preserve"> (ECA0139)</w:t>
      </w:r>
    </w:p>
    <w:p w:rsidR="00A41DE6" w:rsidRPr="00A41DE6" w:rsidP="00A41DE6">
      <w:pPr>
        <w:spacing w:after="200"/>
        <w:jc w:val="center"/>
        <w:rPr>
          <w:rFonts w:ascii="Poppins" w:hAnsi="Poppins" w:cs="Poppins"/>
          <w:b/>
          <w:bCs/>
        </w:rPr>
      </w:pPr>
    </w:p>
    <w:p w:rsidR="00653372" w:rsidRPr="007D6BFD">
      <w:pPr>
        <w:spacing w:after="300"/>
        <w:rPr>
          <w:rFonts w:ascii="Poppins" w:hAnsi="Poppins" w:cs="Poppins"/>
          <w:sz w:val="18"/>
          <w:szCs w:val="18"/>
        </w:rPr>
      </w:pPr>
      <w:r w:rsidRPr="007D6BFD">
        <w:rPr>
          <w:rFonts w:ascii="Poppins" w:hAnsi="Poppins" w:cs="Poppins"/>
          <w:b/>
          <w:bCs/>
          <w:sz w:val="24"/>
          <w:szCs w:val="24"/>
        </w:rPr>
        <w:t>Girlguiding's response to the Education Committee call for evidence on the 'Every Child Achieving and Thriving' White Paper</w:t>
      </w:r>
    </w:p>
    <w:p w:rsidR="00653372" w:rsidRPr="004F51E5">
      <w:pPr>
        <w:spacing w:before="300" w:after="150"/>
        <w:rPr>
          <w:rFonts w:ascii="Poppins" w:hAnsi="Poppins" w:cs="Poppins"/>
        </w:rPr>
      </w:pPr>
      <w:r w:rsidRPr="004F51E5">
        <w:rPr>
          <w:rFonts w:ascii="Poppins" w:hAnsi="Poppins" w:cs="Poppins"/>
          <w:b/>
          <w:bCs/>
          <w:sz w:val="24"/>
          <w:szCs w:val="24"/>
        </w:rPr>
        <w:t>Overview</w:t>
      </w:r>
    </w:p>
    <w:p w:rsidR="00653372" w:rsidRPr="004F51E5">
      <w:pPr>
        <w:pStyle w:val="ListParagraph"/>
        <w:numPr>
          <w:ilvl w:val="0"/>
          <w:numId w:val="1"/>
        </w:numPr>
        <w:spacing w:after="200"/>
        <w:rPr>
          <w:rFonts w:ascii="Poppins" w:hAnsi="Poppins" w:cs="Poppins"/>
        </w:rPr>
      </w:pPr>
      <w:r w:rsidRPr="004F51E5">
        <w:rPr>
          <w:rFonts w:ascii="Poppins" w:hAnsi="Poppins" w:cs="Poppins"/>
        </w:rPr>
        <w:t>Girlguiding is the UK's largest youth organisation dedicated to girls and young women, with around 300,000 young members and 80,000 volunteers delivering activities through 23,000 local groups across the UK. This submission focuses on the sections of the White Paper concerning enrichment, belonging and behaviour, and the alignment of the reforms with wider Government policy affecting children and young people. In line with the Committee's guidance, we have not commented on every point in the Terms of Refere</w:t>
      </w:r>
      <w:r w:rsidRPr="004F51E5">
        <w:rPr>
          <w:rFonts w:ascii="Poppins" w:hAnsi="Poppins" w:cs="Poppins"/>
        </w:rPr>
        <w:t>nce.</w:t>
      </w:r>
    </w:p>
    <w:p w:rsidR="00653372" w:rsidRPr="004F51E5">
      <w:pPr>
        <w:pStyle w:val="ListParagraph"/>
        <w:numPr>
          <w:ilvl w:val="0"/>
          <w:numId w:val="1"/>
        </w:numPr>
        <w:spacing w:after="200"/>
        <w:rPr>
          <w:rFonts w:ascii="Poppins" w:hAnsi="Poppins" w:cs="Poppins"/>
        </w:rPr>
      </w:pPr>
      <w:r w:rsidRPr="004F51E5">
        <w:rPr>
          <w:rFonts w:ascii="Poppins" w:hAnsi="Poppins" w:cs="Poppins"/>
        </w:rPr>
        <w:t xml:space="preserve">Through existing and new </w:t>
      </w:r>
      <w:r w:rsidRPr="004F51E5">
        <w:rPr>
          <w:rFonts w:ascii="Poppins" w:hAnsi="Poppins" w:cs="Poppins"/>
        </w:rPr>
        <w:t>Girlguiding</w:t>
      </w:r>
      <w:r w:rsidRPr="004F51E5">
        <w:rPr>
          <w:rFonts w:ascii="Poppins" w:hAnsi="Poppins" w:cs="Poppins"/>
        </w:rPr>
        <w:t xml:space="preserve"> </w:t>
      </w:r>
      <w:r w:rsidRPr="004F51E5">
        <w:rPr>
          <w:rFonts w:ascii="Poppins" w:hAnsi="Poppins" w:cs="Poppins"/>
        </w:rPr>
        <w:t>delivery model</w:t>
      </w:r>
      <w:r w:rsidRPr="004F51E5">
        <w:rPr>
          <w:rFonts w:ascii="Poppins" w:hAnsi="Poppins" w:cs="Poppins"/>
        </w:rPr>
        <w:t>s</w:t>
      </w:r>
      <w:r w:rsidRPr="004F51E5">
        <w:rPr>
          <w:rFonts w:ascii="Poppins" w:hAnsi="Poppins" w:cs="Poppins"/>
        </w:rPr>
        <w:t xml:space="preserve"> – girl-led enrichment activity, delivered by volunteers, </w:t>
      </w:r>
      <w:r w:rsidRPr="004F51E5">
        <w:rPr>
          <w:rFonts w:ascii="Poppins" w:hAnsi="Poppins" w:cs="Poppins"/>
        </w:rPr>
        <w:t xml:space="preserve">inside and </w:t>
      </w:r>
      <w:r w:rsidRPr="004F51E5">
        <w:rPr>
          <w:rFonts w:ascii="Poppins" w:hAnsi="Poppins" w:cs="Poppins"/>
        </w:rPr>
        <w:t xml:space="preserve">outside the school day – </w:t>
      </w:r>
      <w:r>
        <w:rPr>
          <w:rFonts w:ascii="Poppins" w:hAnsi="Poppins" w:cs="Poppins"/>
        </w:rPr>
        <w:t>we have</w:t>
      </w:r>
      <w:r w:rsidRPr="004F51E5">
        <w:rPr>
          <w:rFonts w:ascii="Poppins" w:hAnsi="Poppins" w:cs="Poppins"/>
        </w:rPr>
        <w:t xml:space="preserve"> </w:t>
      </w:r>
      <w:r w:rsidRPr="004F51E5">
        <w:rPr>
          <w:rFonts w:ascii="Poppins" w:hAnsi="Poppins" w:cs="Poppins"/>
        </w:rPr>
        <w:t>a direct evidence base on what builds belonging, confidence and engagement for girls specifically. We believe this evidence should inform how the Enrichment Framework, the Pupil Engagement Framework, and complementary reforms such as Youth Matters: Your National Youth Strategy are designed and implemented, so that they reinforce one another rather than landing on the same children separately.</w:t>
      </w:r>
    </w:p>
    <w:p w:rsidR="00653372" w:rsidRPr="004F51E5">
      <w:pPr>
        <w:spacing w:before="300" w:after="150"/>
        <w:rPr>
          <w:rFonts w:ascii="Poppins" w:hAnsi="Poppins" w:cs="Poppins"/>
        </w:rPr>
      </w:pPr>
      <w:r w:rsidRPr="004F51E5">
        <w:rPr>
          <w:rFonts w:ascii="Poppins" w:hAnsi="Poppins" w:cs="Poppins"/>
          <w:b/>
          <w:bCs/>
          <w:sz w:val="24"/>
          <w:szCs w:val="24"/>
        </w:rPr>
        <w:t>Relevant evidence</w:t>
      </w:r>
    </w:p>
    <w:p w:rsidR="00653372" w:rsidRPr="004F51E5">
      <w:pPr>
        <w:pStyle w:val="ListParagraph"/>
        <w:numPr>
          <w:ilvl w:val="0"/>
          <w:numId w:val="1"/>
        </w:numPr>
        <w:spacing w:after="200"/>
        <w:rPr>
          <w:rFonts w:ascii="Poppins" w:hAnsi="Poppins" w:cs="Poppins"/>
        </w:rPr>
      </w:pPr>
      <w:r w:rsidRPr="004F51E5">
        <w:rPr>
          <w:rFonts w:ascii="Poppins" w:hAnsi="Poppins" w:cs="Poppins"/>
        </w:rPr>
        <w:t>Our response draws on the Girls’ Attitudes Survey 2025, our 17th annual survey into the lives of girls and young women, which gathered the views of over 2,500 girls and young women aged 7 to 21 from across the UK. We also draw on Girlguiding’s Impact &amp; Experience Study 2024–2026, conducted in partnership with the University of Bristol, which measures outcomes for our own members against a UK-wide comparator group of girls.</w:t>
      </w:r>
    </w:p>
    <w:p w:rsidR="00653372" w:rsidRPr="004F51E5">
      <w:pPr>
        <w:spacing w:before="300" w:after="150"/>
        <w:rPr>
          <w:rFonts w:ascii="Poppins" w:hAnsi="Poppins" w:cs="Poppins"/>
        </w:rPr>
      </w:pPr>
      <w:r w:rsidRPr="004F51E5">
        <w:rPr>
          <w:rFonts w:ascii="Poppins" w:hAnsi="Poppins" w:cs="Poppins"/>
          <w:b/>
          <w:bCs/>
          <w:sz w:val="24"/>
          <w:szCs w:val="24"/>
        </w:rPr>
        <w:t>Our response</w:t>
      </w:r>
    </w:p>
    <w:p w:rsidR="00653372" w:rsidRPr="004F51E5">
      <w:pPr>
        <w:spacing w:before="200" w:after="100"/>
        <w:rPr>
          <w:rFonts w:ascii="Poppins" w:hAnsi="Poppins" w:cs="Poppins"/>
        </w:rPr>
      </w:pPr>
      <w:r w:rsidRPr="004F51E5">
        <w:rPr>
          <w:rFonts w:ascii="Poppins" w:hAnsi="Poppins" w:cs="Poppins"/>
          <w:b/>
          <w:bCs/>
          <w:i/>
          <w:iCs/>
          <w:sz w:val="22"/>
          <w:szCs w:val="22"/>
        </w:rPr>
        <w:t>Enrichment, belonging and behaviour</w:t>
      </w:r>
    </w:p>
    <w:p w:rsidR="00653372" w:rsidRPr="004F51E5">
      <w:pPr>
        <w:spacing w:after="200"/>
        <w:rPr>
          <w:rFonts w:ascii="Poppins" w:hAnsi="Poppins" w:cs="Poppins"/>
        </w:rPr>
      </w:pPr>
      <w:r w:rsidRPr="004F51E5">
        <w:rPr>
          <w:rFonts w:ascii="Poppins" w:hAnsi="Poppins" w:cs="Poppins"/>
          <w:b/>
          <w:bCs/>
        </w:rPr>
        <w:t>What role do enrichment activities play in improving pupil outcomes and wellbeing?</w:t>
      </w:r>
    </w:p>
    <w:p w:rsidR="00653372" w:rsidRPr="004F51E5">
      <w:pPr>
        <w:pStyle w:val="ListParagraph"/>
        <w:numPr>
          <w:ilvl w:val="0"/>
          <w:numId w:val="1"/>
        </w:numPr>
        <w:spacing w:after="200"/>
        <w:rPr>
          <w:rFonts w:ascii="Poppins" w:hAnsi="Poppins" w:cs="Poppins"/>
        </w:rPr>
      </w:pPr>
      <w:r w:rsidRPr="004F51E5">
        <w:rPr>
          <w:rFonts w:ascii="Poppins" w:hAnsi="Poppins" w:cs="Poppins"/>
        </w:rPr>
        <w:t xml:space="preserve">Our evidence shows a strong and consistent relationship between enrichment activity and both wellbeing and belonging for girls. Girlguiding members aged 11–18 are, on average, 28% more confident than other girls in the UK and 22% happier with school. 89% of our young members say they feel part of a team, and 87% say Girlguiding makes them feel good about themselves. 77% of girls explored nature with their unit in the last year and 74% took part in an outdoor adventure activity – </w:t>
      </w:r>
      <w:r w:rsidRPr="004F51E5">
        <w:rPr>
          <w:rFonts w:ascii="Poppins" w:hAnsi="Poppins" w:cs="Poppins"/>
        </w:rPr>
        <w:t>precisely the kind of nature, outdoor and adventure activity the new Enrichment Framework is designed to embed in every school.</w:t>
      </w:r>
    </w:p>
    <w:p w:rsidR="00653372" w:rsidRPr="004F51E5">
      <w:pPr>
        <w:pStyle w:val="ListParagraph"/>
        <w:numPr>
          <w:ilvl w:val="0"/>
          <w:numId w:val="1"/>
        </w:numPr>
        <w:spacing w:after="200"/>
        <w:rPr>
          <w:rFonts w:ascii="Poppins" w:hAnsi="Poppins" w:cs="Poppins"/>
        </w:rPr>
      </w:pPr>
      <w:r w:rsidRPr="004F51E5">
        <w:rPr>
          <w:rFonts w:ascii="Poppins" w:hAnsi="Poppins" w:cs="Poppins"/>
        </w:rPr>
        <w:t>This matters because girls tell us school is becoming harder to bear on its own terms. 46% of girls aged 11–16 say school is stressful, and the proportion of 7–10-year-olds who describe school as stressful has risen from 14% in 2009 to 26% today. Six in ten girls aged 11–16 say schoolwork is the factor most likely to negatively affect their mental health. Structured enrichment gives girls a route to confidence and belonging that is not tied to academic performance, and our evidence suggests it measurably im</w:t>
      </w:r>
      <w:r w:rsidRPr="004F51E5">
        <w:rPr>
          <w:rFonts w:ascii="Poppins" w:hAnsi="Poppins" w:cs="Poppins"/>
        </w:rPr>
        <w:t>proves how girls experience the rest of their week, including school itself.</w:t>
      </w:r>
    </w:p>
    <w:p w:rsidR="00653372" w:rsidRPr="004F51E5">
      <w:pPr>
        <w:pStyle w:val="ListParagraph"/>
        <w:numPr>
          <w:ilvl w:val="0"/>
          <w:numId w:val="1"/>
        </w:numPr>
        <w:spacing w:after="200"/>
        <w:rPr>
          <w:rFonts w:ascii="Poppins" w:hAnsi="Poppins" w:cs="Poppins"/>
        </w:rPr>
      </w:pPr>
      <w:r w:rsidRPr="004F51E5">
        <w:rPr>
          <w:rFonts w:ascii="Poppins" w:hAnsi="Poppins" w:cs="Poppins"/>
        </w:rPr>
        <w:t>We support the principle of a universal enrichment entitlement and the £22.5 million committed to help up to 400 schools in the most deprived areas meet the new benchmarks. However, girls in the most disadvantaged areas are also disproportionately likely to lack access to extracurricular provision outside school, so funding aimed at schools alone risks missing girls whose main access point to enrichment is through community and youth organisations rather than the school gate. We would ask the Committee to p</w:t>
      </w:r>
      <w:r w:rsidRPr="004F51E5">
        <w:rPr>
          <w:rFonts w:ascii="Poppins" w:hAnsi="Poppins" w:cs="Poppins"/>
        </w:rPr>
        <w:t>ress the Department on how schools will be expected, and resourced, to partner with organisations like Girlguiding to meet the enrichment entitlement, rather than duplicate delivery that already exists. Our volunteer-led model already reaches girls in the most deprived areas well enough that 92% of them say Girlguiding is a place they can be themselves, with similarly high figures for girls of colour (88%) and disabled girls (87%).</w:t>
      </w:r>
    </w:p>
    <w:p w:rsidR="00653372" w:rsidRPr="004F51E5">
      <w:pPr>
        <w:pStyle w:val="ListParagraph"/>
        <w:numPr>
          <w:ilvl w:val="0"/>
          <w:numId w:val="1"/>
        </w:numPr>
        <w:spacing w:after="200"/>
        <w:rPr>
          <w:rFonts w:ascii="Poppins" w:hAnsi="Poppins" w:cs="Poppins"/>
        </w:rPr>
      </w:pPr>
      <w:r w:rsidRPr="004F51E5">
        <w:rPr>
          <w:rFonts w:ascii="Poppins" w:hAnsi="Poppins" w:cs="Poppins"/>
        </w:rPr>
        <w:t xml:space="preserve">Opportunities to explore the outdoors and access to nature are crucial to the development of children and young people. </w:t>
      </w:r>
      <w:r w:rsidRPr="004F51E5">
        <w:rPr>
          <w:rFonts w:ascii="Poppins" w:hAnsi="Poppins" w:cs="Poppins"/>
          <w:color w:val="1F1F1F"/>
        </w:rPr>
        <w:t>Unfortunately, opportunities for outdoor learning and outdoor residentials are becoming increasingly difficult to participate in without funding. Girlguiding was previously a recipient of Defra’s Generation Green funding that aimed to deliver 41,500 nights under the stars for children. Phase 2 of the funding was targeted at children from socially disadvantaged backgrounds. Girlguiding’s current offer enables girls and young women to enjoy activities outdoors such as adventure, high ropes, climbing and absei</w:t>
      </w:r>
      <w:r w:rsidRPr="004F51E5">
        <w:rPr>
          <w:rFonts w:ascii="Poppins" w:hAnsi="Poppins" w:cs="Poppins"/>
          <w:color w:val="1F1F1F"/>
        </w:rPr>
        <w:t xml:space="preserve">ling, through our external partnerships, whilst we also offer volunteers </w:t>
      </w:r>
      <w:r>
        <w:fldChar w:fldCharType="begin"/>
      </w:r>
      <w:r>
        <w:instrText xml:space="preserve"> HYPERLINK "https://www.girlguiding.org.uk/information-for-volunteers/learning-and-development/leading-outdoor-adventures/walking-scheme/" </w:instrText>
      </w:r>
      <w:r>
        <w:fldChar w:fldCharType="separate"/>
      </w:r>
      <w:r w:rsidRPr="004F51E5">
        <w:rPr>
          <w:rStyle w:val="Hyperlink"/>
          <w:rFonts w:ascii="Poppins" w:hAnsi="Poppins" w:cs="Poppins"/>
        </w:rPr>
        <w:t>further training</w:t>
      </w:r>
      <w:r>
        <w:fldChar w:fldCharType="end"/>
      </w:r>
      <w:r w:rsidRPr="004F51E5">
        <w:rPr>
          <w:rFonts w:ascii="Poppins" w:hAnsi="Poppins" w:cs="Poppins"/>
          <w:color w:val="1F1F1F"/>
        </w:rPr>
        <w:t xml:space="preserve"> to support girls on walks and hikes. </w:t>
      </w:r>
      <w:r w:rsidRPr="004F51E5">
        <w:rPr>
          <w:rFonts w:ascii="Poppins" w:hAnsi="Poppins" w:cs="Poppins"/>
          <w:color w:val="1F1F1F"/>
        </w:rPr>
        <w:t xml:space="preserve">Through one of our ‘Girlguiding Inspired’ delivery models, we discovered that a number of girls, from socially disadvantaged areas, had never spent a night away from home. </w:t>
      </w:r>
    </w:p>
    <w:p w:rsidR="00653372" w:rsidRPr="004F51E5">
      <w:pPr>
        <w:pStyle w:val="ListParagraph"/>
        <w:numPr>
          <w:ilvl w:val="0"/>
          <w:numId w:val="1"/>
        </w:numPr>
        <w:spacing w:after="200"/>
        <w:rPr>
          <w:rFonts w:ascii="Poppins" w:hAnsi="Poppins" w:cs="Poppins"/>
        </w:rPr>
      </w:pPr>
      <w:r w:rsidRPr="004F51E5">
        <w:rPr>
          <w:rFonts w:ascii="Poppins" w:hAnsi="Poppins" w:cs="Poppins"/>
          <w:color w:val="1F1F1F"/>
        </w:rPr>
        <w:t xml:space="preserve">Time spent outdoors </w:t>
      </w:r>
      <w:r w:rsidRPr="004F51E5">
        <w:rPr>
          <w:rFonts w:ascii="Poppins" w:hAnsi="Poppins" w:cs="Poppins"/>
          <w:color w:val="1F1F1F"/>
        </w:rPr>
        <w:t>during in-school or out of school enrichment has a huge impact on girls’ confidence, skills development and communication. When asked what skills are essential to a successful career, 67% of girls aged 11-21 said communication skills, 65% said confidence and 59% said teamwork. Being outside also has a positive impact on girls’ mental health and wellbeing. Overwhelmingly, 72% of girls aged 7-21 say they want more opportunities to be outdoors and in nature. It also supports their learning and understanding of</w:t>
      </w:r>
      <w:r w:rsidRPr="004F51E5">
        <w:rPr>
          <w:rFonts w:ascii="Poppins" w:hAnsi="Poppins" w:cs="Poppins"/>
          <w:color w:val="1F1F1F"/>
        </w:rPr>
        <w:t xml:space="preserve"> the natural environment and the impact of climate change</w:t>
      </w:r>
      <w:r w:rsidRPr="004F51E5">
        <w:rPr>
          <w:rFonts w:ascii="Poppins" w:hAnsi="Poppins" w:cs="Poppins"/>
          <w:color w:val="1F1F1F"/>
        </w:rPr>
        <w:t xml:space="preserve">, which is particularly important for </w:t>
      </w:r>
      <w:r w:rsidRPr="004F51E5">
        <w:rPr>
          <w:rFonts w:ascii="Poppins" w:hAnsi="Poppins" w:cs="Poppins"/>
          <w:color w:val="1F1F1F"/>
        </w:rPr>
        <w:t xml:space="preserve">children and young people, as over half (51%) of 7-10-year-olds say their top concern around the environment is the loss of nature and animal habitats. </w:t>
      </w:r>
    </w:p>
    <w:p w:rsidR="00653372" w:rsidRPr="004F51E5">
      <w:pPr>
        <w:spacing w:after="200"/>
        <w:rPr>
          <w:rFonts w:ascii="Poppins" w:hAnsi="Poppins" w:cs="Poppins"/>
        </w:rPr>
      </w:pPr>
      <w:r w:rsidRPr="004F51E5">
        <w:rPr>
          <w:rFonts w:ascii="Poppins" w:hAnsi="Poppins" w:cs="Poppins"/>
          <w:b/>
          <w:bCs/>
        </w:rPr>
        <w:t>How can schools promote belonging while addressing bullying and discrimination?</w:t>
      </w:r>
    </w:p>
    <w:p w:rsidR="00653372" w:rsidRPr="004F51E5">
      <w:pPr>
        <w:pStyle w:val="ListParagraph"/>
        <w:numPr>
          <w:ilvl w:val="0"/>
          <w:numId w:val="1"/>
        </w:numPr>
        <w:spacing w:after="200"/>
        <w:rPr>
          <w:rFonts w:ascii="Poppins" w:hAnsi="Poppins" w:cs="Poppins"/>
        </w:rPr>
      </w:pPr>
      <w:r w:rsidRPr="004F51E5">
        <w:rPr>
          <w:rFonts w:ascii="Poppins" w:hAnsi="Poppins" w:cs="Poppins"/>
        </w:rPr>
        <w:t>Girls’ sense of belonging in school cannot be separated from their experience of gendered bullying and harassment. Although the proportion of girls aged 11–16 who say they feel safe in school has risen from 68% in 2022 to 73%, more than a quarter still do not, rising to over 2 in 10 for LGBTQ+ girls and 3 in 10 for disabled girls. 58% of girls aged 11–18 have experienced comments from boys at school they would describe as toxic, and 1 in 10 girls aged 11–16 have missed or avoided school specifically to avoi</w:t>
      </w:r>
      <w:r w:rsidRPr="004F51E5">
        <w:rPr>
          <w:rFonts w:ascii="Poppins" w:hAnsi="Poppins" w:cs="Poppins"/>
        </w:rPr>
        <w:t>d sexual harassment – a direct and measurable driver of the attendance problem the White Paper seeks to address elsewhere.</w:t>
      </w:r>
    </w:p>
    <w:p w:rsidR="00653372" w:rsidRPr="004F51E5">
      <w:pPr>
        <w:pStyle w:val="ListParagraph"/>
        <w:numPr>
          <w:ilvl w:val="0"/>
          <w:numId w:val="1"/>
        </w:numPr>
        <w:spacing w:after="200"/>
        <w:rPr>
          <w:rFonts w:ascii="Poppins" w:hAnsi="Poppins" w:cs="Poppins"/>
        </w:rPr>
      </w:pPr>
      <w:r w:rsidRPr="004F51E5">
        <w:rPr>
          <w:rFonts w:ascii="Poppins" w:hAnsi="Poppins" w:cs="Poppins"/>
        </w:rPr>
        <w:t>76% of girls aged 11–16 want more discussion and education with boys in school about the impact of sexism and misogyny, and 72% want more discussion of consent. Girls have told us what they want schools to do: listen to girls and treat misogynistic behaviour as a genuine safeguarding concern rather than harmless banter; publish plans to tackle it that are specific to their own school community; and work with organisations like Girlguiding to widen education on this issue rather than delivering it in isolati</w:t>
      </w:r>
      <w:r w:rsidRPr="004F51E5">
        <w:rPr>
          <w:rFonts w:ascii="Poppins" w:hAnsi="Poppins" w:cs="Poppins"/>
        </w:rPr>
        <w:t>on. We would encourage the Committee to ensure that any guidance on promoting belonging names gendered bullying and misogyny as a distinct issue, rather than folding it into general anti-bullying policy, given how early – and how differently to boys – girls experience it.</w:t>
      </w:r>
    </w:p>
    <w:p w:rsidR="00653372" w:rsidRPr="004F51E5">
      <w:pPr>
        <w:spacing w:after="200"/>
        <w:rPr>
          <w:rFonts w:ascii="Poppins" w:hAnsi="Poppins" w:cs="Poppins"/>
        </w:rPr>
      </w:pPr>
      <w:r w:rsidRPr="004F51E5">
        <w:rPr>
          <w:rFonts w:ascii="Poppins" w:hAnsi="Poppins" w:cs="Poppins"/>
          <w:b/>
          <w:bCs/>
        </w:rPr>
        <w:t>What role should the Pupil Engagement Framework play?</w:t>
      </w:r>
    </w:p>
    <w:p w:rsidR="00653372" w:rsidRPr="004F51E5">
      <w:pPr>
        <w:pStyle w:val="ListParagraph"/>
        <w:numPr>
          <w:ilvl w:val="0"/>
          <w:numId w:val="1"/>
        </w:numPr>
        <w:spacing w:after="200"/>
        <w:rPr>
          <w:rFonts w:ascii="Poppins" w:hAnsi="Poppins" w:cs="Poppins"/>
        </w:rPr>
      </w:pPr>
      <w:r w:rsidRPr="004F51E5">
        <w:rPr>
          <w:rFonts w:ascii="Poppins" w:hAnsi="Poppins" w:cs="Poppins"/>
        </w:rPr>
        <w:t>We support the principle of a standardised way to measure belonging and engagement, and the ambition for every school to be monitoring this by 2029. For the Framework to be useful for girls specifically, results should be disaggregated by gender and by other protected characteristics at the point of publication, not just collection. Our evidence shows belonging outcomes for disabled, neurodivergent and LGBTQ+ girls diverge sharply from the average, and a framework that reports only a single school-level sco</w:t>
      </w:r>
      <w:r w:rsidRPr="004F51E5">
        <w:rPr>
          <w:rFonts w:ascii="Poppins" w:hAnsi="Poppins" w:cs="Poppins"/>
        </w:rPr>
        <w:t>re risks masking exactly the gaps the White Paper says it wants to close.</w:t>
      </w:r>
    </w:p>
    <w:p w:rsidR="00653372" w:rsidRPr="004F51E5">
      <w:pPr>
        <w:pStyle w:val="ListParagraph"/>
        <w:numPr>
          <w:ilvl w:val="0"/>
          <w:numId w:val="1"/>
        </w:numPr>
        <w:spacing w:after="200"/>
        <w:rPr>
          <w:rFonts w:ascii="Poppins" w:hAnsi="Poppins" w:cs="Poppins"/>
        </w:rPr>
      </w:pPr>
      <w:r w:rsidRPr="004F51E5">
        <w:rPr>
          <w:rFonts w:ascii="Poppins" w:hAnsi="Poppins" w:cs="Poppins"/>
        </w:rPr>
        <w:t>We would also encourage the Department to test framework questions with girls themselves before it is finalised, in the way the National Youth Strategy was developed with the direct involvement of over 14,000 young people. Girlguiding’s advocate panel, made up of members aged 14 to 25 who lead our advocacy and research, would be well placed to contribute to that testing.</w:t>
      </w:r>
    </w:p>
    <w:p w:rsidR="00653372" w:rsidRPr="004F51E5">
      <w:pPr>
        <w:spacing w:before="200" w:after="100"/>
        <w:rPr>
          <w:rFonts w:ascii="Poppins" w:hAnsi="Poppins" w:cs="Poppins"/>
        </w:rPr>
      </w:pPr>
      <w:r w:rsidRPr="004F51E5">
        <w:rPr>
          <w:rFonts w:ascii="Poppins" w:hAnsi="Poppins" w:cs="Poppins"/>
          <w:b/>
          <w:bCs/>
          <w:i/>
          <w:iCs/>
          <w:sz w:val="22"/>
          <w:szCs w:val="22"/>
        </w:rPr>
        <w:t>Wider Government policy</w:t>
      </w:r>
    </w:p>
    <w:p w:rsidR="00653372" w:rsidRPr="004F51E5">
      <w:pPr>
        <w:spacing w:after="200"/>
        <w:rPr>
          <w:rFonts w:ascii="Poppins" w:hAnsi="Poppins" w:cs="Poppins"/>
        </w:rPr>
      </w:pPr>
      <w:r w:rsidRPr="004F51E5">
        <w:rPr>
          <w:rFonts w:ascii="Poppins" w:hAnsi="Poppins" w:cs="Poppins"/>
          <w:b/>
          <w:bCs/>
        </w:rPr>
        <w:t xml:space="preserve">How do the reforms align with </w:t>
      </w:r>
      <w:r w:rsidRPr="003E1476">
        <w:rPr>
          <w:rFonts w:ascii="Poppins" w:hAnsi="Poppins" w:cs="Poppins"/>
          <w:b/>
          <w:bCs/>
        </w:rPr>
        <w:t xml:space="preserve">other Government policies affecting children and young people, </w:t>
      </w:r>
      <w:r>
        <w:rPr>
          <w:rFonts w:ascii="Poppins" w:hAnsi="Poppins" w:cs="Poppins"/>
          <w:b/>
          <w:bCs/>
        </w:rPr>
        <w:t xml:space="preserve">including </w:t>
      </w:r>
      <w:r w:rsidRPr="004F51E5">
        <w:rPr>
          <w:rFonts w:ascii="Poppins" w:hAnsi="Poppins" w:cs="Poppins"/>
          <w:b/>
          <w:bCs/>
        </w:rPr>
        <w:t>the National Youth Strategy and proposals to extend voting rights to 16 and 17-year-olds?</w:t>
      </w:r>
    </w:p>
    <w:p w:rsidR="00653372">
      <w:pPr>
        <w:pStyle w:val="ListParagraph"/>
        <w:numPr>
          <w:ilvl w:val="0"/>
          <w:numId w:val="1"/>
        </w:numPr>
        <w:spacing w:after="200"/>
        <w:rPr>
          <w:rFonts w:ascii="Poppins" w:hAnsi="Poppins" w:cs="Poppins"/>
        </w:rPr>
      </w:pPr>
      <w:r>
        <w:rPr>
          <w:rFonts w:ascii="Poppins" w:hAnsi="Poppins" w:cs="Poppins"/>
        </w:rPr>
        <w:t>We w</w:t>
      </w:r>
      <w:r>
        <w:rPr>
          <w:rFonts w:ascii="Poppins" w:hAnsi="Poppins" w:cs="Poppins"/>
        </w:rPr>
        <w:t>elcome the Whit</w:t>
      </w:r>
      <w:r>
        <w:rPr>
          <w:rFonts w:ascii="Poppins" w:hAnsi="Poppins" w:cs="Poppins"/>
        </w:rPr>
        <w:t>e Paper</w:t>
      </w:r>
      <w:r>
        <w:rPr>
          <w:rFonts w:ascii="Poppins" w:hAnsi="Poppins" w:cs="Poppins"/>
        </w:rPr>
        <w:t xml:space="preserve">’s </w:t>
      </w:r>
      <w:r>
        <w:rPr>
          <w:rFonts w:ascii="Poppins" w:hAnsi="Poppins" w:cs="Poppins"/>
        </w:rPr>
        <w:t xml:space="preserve">focus </w:t>
      </w:r>
      <w:r>
        <w:rPr>
          <w:rFonts w:ascii="Poppins" w:hAnsi="Poppins" w:cs="Poppins"/>
        </w:rPr>
        <w:t xml:space="preserve">on </w:t>
      </w:r>
      <w:r>
        <w:rPr>
          <w:rFonts w:ascii="Poppins" w:hAnsi="Poppins" w:cs="Poppins"/>
        </w:rPr>
        <w:t>work</w:t>
      </w:r>
      <w:r>
        <w:rPr>
          <w:rFonts w:ascii="Poppins" w:hAnsi="Poppins" w:cs="Poppins"/>
        </w:rPr>
        <w:t>force refo</w:t>
      </w:r>
      <w:r>
        <w:rPr>
          <w:rFonts w:ascii="Poppins" w:hAnsi="Poppins" w:cs="Poppins"/>
        </w:rPr>
        <w:t>rms and te</w:t>
      </w:r>
      <w:r>
        <w:rPr>
          <w:rFonts w:ascii="Poppins" w:hAnsi="Poppins" w:cs="Poppins"/>
        </w:rPr>
        <w:t>acher recr</w:t>
      </w:r>
      <w:r>
        <w:rPr>
          <w:rFonts w:ascii="Poppins" w:hAnsi="Poppins" w:cs="Poppins"/>
        </w:rPr>
        <w:t>uitment and r</w:t>
      </w:r>
      <w:r>
        <w:rPr>
          <w:rFonts w:ascii="Poppins" w:hAnsi="Poppins" w:cs="Poppins"/>
        </w:rPr>
        <w:t>etentio</w:t>
      </w:r>
      <w:r>
        <w:rPr>
          <w:rFonts w:ascii="Poppins" w:hAnsi="Poppins" w:cs="Poppins"/>
        </w:rPr>
        <w:t xml:space="preserve">n. </w:t>
      </w:r>
      <w:r>
        <w:rPr>
          <w:rFonts w:ascii="Poppins" w:hAnsi="Poppins" w:cs="Poppins"/>
        </w:rPr>
        <w:t>However,</w:t>
      </w:r>
      <w:r>
        <w:rPr>
          <w:rFonts w:ascii="Poppins" w:hAnsi="Poppins" w:cs="Poppins"/>
        </w:rPr>
        <w:t xml:space="preserve"> we </w:t>
      </w:r>
      <w:r>
        <w:rPr>
          <w:rFonts w:ascii="Poppins" w:hAnsi="Poppins" w:cs="Poppins"/>
        </w:rPr>
        <w:t>would lik</w:t>
      </w:r>
      <w:r>
        <w:rPr>
          <w:rFonts w:ascii="Poppins" w:hAnsi="Poppins" w:cs="Poppins"/>
        </w:rPr>
        <w:t xml:space="preserve">e to see </w:t>
      </w:r>
      <w:r>
        <w:rPr>
          <w:rFonts w:ascii="Poppins" w:hAnsi="Poppins" w:cs="Poppins"/>
        </w:rPr>
        <w:t xml:space="preserve">more </w:t>
      </w:r>
      <w:r>
        <w:rPr>
          <w:rFonts w:ascii="Poppins" w:hAnsi="Poppins" w:cs="Poppins"/>
        </w:rPr>
        <w:t>a</w:t>
      </w:r>
      <w:r>
        <w:rPr>
          <w:rFonts w:ascii="Poppins" w:hAnsi="Poppins" w:cs="Poppins"/>
        </w:rPr>
        <w:t>lignment</w:t>
      </w:r>
      <w:r>
        <w:rPr>
          <w:rFonts w:ascii="Poppins" w:hAnsi="Poppins" w:cs="Poppins"/>
        </w:rPr>
        <w:t xml:space="preserve"> in thi</w:t>
      </w:r>
      <w:r>
        <w:rPr>
          <w:rFonts w:ascii="Poppins" w:hAnsi="Poppins" w:cs="Poppins"/>
        </w:rPr>
        <w:t>s area</w:t>
      </w:r>
      <w:r>
        <w:rPr>
          <w:rFonts w:ascii="Poppins" w:hAnsi="Poppins" w:cs="Poppins"/>
        </w:rPr>
        <w:t xml:space="preserve"> </w:t>
      </w:r>
      <w:r>
        <w:rPr>
          <w:rFonts w:ascii="Poppins" w:hAnsi="Poppins" w:cs="Poppins"/>
        </w:rPr>
        <w:t xml:space="preserve">between the </w:t>
      </w:r>
      <w:r>
        <w:rPr>
          <w:rFonts w:ascii="Poppins" w:hAnsi="Poppins" w:cs="Poppins"/>
        </w:rPr>
        <w:t xml:space="preserve">White Paper and </w:t>
      </w:r>
      <w:r>
        <w:rPr>
          <w:rFonts w:ascii="Poppins" w:hAnsi="Poppins" w:cs="Poppins"/>
        </w:rPr>
        <w:t xml:space="preserve">the </w:t>
      </w:r>
      <w:r>
        <w:rPr>
          <w:rFonts w:ascii="Poppins" w:hAnsi="Poppins" w:cs="Poppins"/>
        </w:rPr>
        <w:t>governmen</w:t>
      </w:r>
      <w:r>
        <w:rPr>
          <w:rFonts w:ascii="Poppins" w:hAnsi="Poppins" w:cs="Poppins"/>
        </w:rPr>
        <w:t>t’s land</w:t>
      </w:r>
      <w:r>
        <w:rPr>
          <w:rFonts w:ascii="Poppins" w:hAnsi="Poppins" w:cs="Poppins"/>
        </w:rPr>
        <w:t>mark Vio</w:t>
      </w:r>
      <w:r>
        <w:rPr>
          <w:rFonts w:ascii="Poppins" w:hAnsi="Poppins" w:cs="Poppins"/>
        </w:rPr>
        <w:t>lence Ag</w:t>
      </w:r>
      <w:r>
        <w:rPr>
          <w:rFonts w:ascii="Poppins" w:hAnsi="Poppins" w:cs="Poppins"/>
        </w:rPr>
        <w:t>ai</w:t>
      </w:r>
      <w:r>
        <w:rPr>
          <w:rFonts w:ascii="Poppins" w:hAnsi="Poppins" w:cs="Poppins"/>
        </w:rPr>
        <w:t xml:space="preserve">nst </w:t>
      </w:r>
      <w:r>
        <w:rPr>
          <w:rFonts w:ascii="Poppins" w:hAnsi="Poppins" w:cs="Poppins"/>
        </w:rPr>
        <w:t xml:space="preserve">Women and </w:t>
      </w:r>
      <w:r>
        <w:rPr>
          <w:rFonts w:ascii="Poppins" w:hAnsi="Poppins" w:cs="Poppins"/>
        </w:rPr>
        <w:t xml:space="preserve">Girls </w:t>
      </w:r>
      <w:r>
        <w:rPr>
          <w:rFonts w:ascii="Poppins" w:hAnsi="Poppins" w:cs="Poppins"/>
        </w:rPr>
        <w:t>(V</w:t>
      </w:r>
      <w:r>
        <w:rPr>
          <w:rFonts w:ascii="Poppins" w:hAnsi="Poppins" w:cs="Poppins"/>
        </w:rPr>
        <w:t xml:space="preserve">AWG) </w:t>
      </w:r>
      <w:r>
        <w:rPr>
          <w:rFonts w:ascii="Poppins" w:hAnsi="Poppins" w:cs="Poppins"/>
        </w:rPr>
        <w:t>strategy</w:t>
      </w:r>
      <w:r>
        <w:rPr>
          <w:rFonts w:ascii="Poppins" w:hAnsi="Poppins" w:cs="Poppins"/>
        </w:rPr>
        <w:t>,</w:t>
      </w:r>
      <w:r>
        <w:rPr>
          <w:rFonts w:ascii="Poppins" w:hAnsi="Poppins" w:cs="Poppins"/>
        </w:rPr>
        <w:t xml:space="preserve"> </w:t>
      </w:r>
      <w:r>
        <w:rPr>
          <w:rFonts w:ascii="Poppins" w:hAnsi="Poppins" w:cs="Poppins"/>
        </w:rPr>
        <w:t>‘Free</w:t>
      </w:r>
      <w:r>
        <w:rPr>
          <w:rFonts w:ascii="Poppins" w:hAnsi="Poppins" w:cs="Poppins"/>
        </w:rPr>
        <w:t xml:space="preserve">dom </w:t>
      </w:r>
      <w:r>
        <w:rPr>
          <w:rFonts w:ascii="Poppins" w:hAnsi="Poppins" w:cs="Poppins"/>
        </w:rPr>
        <w:t>from violen</w:t>
      </w:r>
      <w:r>
        <w:rPr>
          <w:rFonts w:ascii="Poppins" w:hAnsi="Poppins" w:cs="Poppins"/>
        </w:rPr>
        <w:t>ce and abuse’</w:t>
      </w:r>
      <w:r>
        <w:rPr>
          <w:rFonts w:ascii="Poppins" w:hAnsi="Poppins" w:cs="Poppins"/>
        </w:rPr>
        <w:t>. In the</w:t>
      </w:r>
      <w:r>
        <w:rPr>
          <w:rFonts w:ascii="Poppins" w:hAnsi="Poppins" w:cs="Poppins"/>
        </w:rPr>
        <w:t xml:space="preserve"> VAWG </w:t>
      </w:r>
      <w:r>
        <w:rPr>
          <w:rFonts w:ascii="Poppins" w:hAnsi="Poppins" w:cs="Poppins"/>
        </w:rPr>
        <w:t>strategy</w:t>
      </w:r>
      <w:r>
        <w:rPr>
          <w:rFonts w:ascii="Poppins" w:hAnsi="Poppins" w:cs="Poppins"/>
        </w:rPr>
        <w:t xml:space="preserve"> acti</w:t>
      </w:r>
      <w:r>
        <w:rPr>
          <w:rFonts w:ascii="Poppins" w:hAnsi="Poppins" w:cs="Poppins"/>
        </w:rPr>
        <w:t xml:space="preserve">on plan, </w:t>
      </w:r>
      <w:r>
        <w:rPr>
          <w:rFonts w:ascii="Poppins" w:hAnsi="Poppins" w:cs="Poppins"/>
        </w:rPr>
        <w:t>there i</w:t>
      </w:r>
      <w:r>
        <w:rPr>
          <w:rFonts w:ascii="Poppins" w:hAnsi="Poppins" w:cs="Poppins"/>
        </w:rPr>
        <w:t>s a commi</w:t>
      </w:r>
      <w:r>
        <w:rPr>
          <w:rFonts w:ascii="Poppins" w:hAnsi="Poppins" w:cs="Poppins"/>
        </w:rPr>
        <w:t xml:space="preserve">tment </w:t>
      </w:r>
      <w:r>
        <w:rPr>
          <w:rFonts w:ascii="Poppins" w:hAnsi="Poppins" w:cs="Poppins"/>
        </w:rPr>
        <w:t xml:space="preserve">to </w:t>
      </w:r>
      <w:r>
        <w:rPr>
          <w:rFonts w:ascii="Poppins" w:hAnsi="Poppins" w:cs="Poppins"/>
        </w:rPr>
        <w:t>suppo</w:t>
      </w:r>
      <w:r>
        <w:rPr>
          <w:rFonts w:ascii="Poppins" w:hAnsi="Poppins" w:cs="Poppins"/>
        </w:rPr>
        <w:t xml:space="preserve">rt more men to </w:t>
      </w:r>
      <w:r>
        <w:rPr>
          <w:rFonts w:ascii="Poppins" w:hAnsi="Poppins" w:cs="Poppins"/>
        </w:rPr>
        <w:t xml:space="preserve">enter </w:t>
      </w:r>
      <w:r>
        <w:rPr>
          <w:rFonts w:ascii="Poppins" w:hAnsi="Poppins" w:cs="Poppins"/>
        </w:rPr>
        <w:t>the teaching</w:t>
      </w:r>
      <w:r>
        <w:rPr>
          <w:rFonts w:ascii="Poppins" w:hAnsi="Poppins" w:cs="Poppins"/>
        </w:rPr>
        <w:t xml:space="preserve"> profession,</w:t>
      </w:r>
      <w:r>
        <w:rPr>
          <w:rFonts w:ascii="Poppins" w:hAnsi="Poppins" w:cs="Poppins"/>
        </w:rPr>
        <w:t xml:space="preserve"> </w:t>
      </w:r>
      <w:r>
        <w:rPr>
          <w:rFonts w:ascii="Poppins" w:hAnsi="Poppins" w:cs="Poppins"/>
        </w:rPr>
        <w:t xml:space="preserve">and an </w:t>
      </w:r>
      <w:r>
        <w:rPr>
          <w:rFonts w:ascii="Poppins" w:hAnsi="Poppins" w:cs="Poppins"/>
        </w:rPr>
        <w:t>ackn</w:t>
      </w:r>
      <w:r>
        <w:rPr>
          <w:rFonts w:ascii="Poppins" w:hAnsi="Poppins" w:cs="Poppins"/>
        </w:rPr>
        <w:t>owled</w:t>
      </w:r>
      <w:r>
        <w:rPr>
          <w:rFonts w:ascii="Poppins" w:hAnsi="Poppins" w:cs="Poppins"/>
        </w:rPr>
        <w:t xml:space="preserve">gement </w:t>
      </w:r>
      <w:r>
        <w:rPr>
          <w:rFonts w:ascii="Poppins" w:hAnsi="Poppins" w:cs="Poppins"/>
        </w:rPr>
        <w:t>of the i</w:t>
      </w:r>
      <w:r>
        <w:rPr>
          <w:rFonts w:ascii="Poppins" w:hAnsi="Poppins" w:cs="Poppins"/>
        </w:rPr>
        <w:t xml:space="preserve">mportance </w:t>
      </w:r>
      <w:r>
        <w:rPr>
          <w:rFonts w:ascii="Poppins" w:hAnsi="Poppins" w:cs="Poppins"/>
        </w:rPr>
        <w:t>of</w:t>
      </w:r>
      <w:r>
        <w:rPr>
          <w:rFonts w:ascii="Poppins" w:hAnsi="Poppins" w:cs="Poppins"/>
        </w:rPr>
        <w:t xml:space="preserve"> boys </w:t>
      </w:r>
      <w:r>
        <w:rPr>
          <w:rFonts w:ascii="Poppins" w:hAnsi="Poppins" w:cs="Poppins"/>
        </w:rPr>
        <w:t xml:space="preserve">seeing men in </w:t>
      </w:r>
      <w:r>
        <w:rPr>
          <w:rFonts w:ascii="Poppins" w:hAnsi="Poppins" w:cs="Poppins"/>
        </w:rPr>
        <w:t>early year</w:t>
      </w:r>
      <w:r>
        <w:rPr>
          <w:rFonts w:ascii="Poppins" w:hAnsi="Poppins" w:cs="Poppins"/>
        </w:rPr>
        <w:t xml:space="preserve">s </w:t>
      </w:r>
      <w:r>
        <w:rPr>
          <w:rFonts w:ascii="Poppins" w:hAnsi="Poppins" w:cs="Poppins"/>
        </w:rPr>
        <w:t xml:space="preserve">teaching </w:t>
      </w:r>
      <w:r>
        <w:rPr>
          <w:rFonts w:ascii="Poppins" w:hAnsi="Poppins" w:cs="Poppins"/>
        </w:rPr>
        <w:t>ro</w:t>
      </w:r>
      <w:r>
        <w:rPr>
          <w:rFonts w:ascii="Poppins" w:hAnsi="Poppins" w:cs="Poppins"/>
        </w:rPr>
        <w:t>les</w:t>
      </w:r>
      <w:r>
        <w:rPr>
          <w:rFonts w:ascii="Poppins" w:hAnsi="Poppins" w:cs="Poppins"/>
        </w:rPr>
        <w:t xml:space="preserve"> in p</w:t>
      </w:r>
      <w:r>
        <w:rPr>
          <w:rFonts w:ascii="Poppins" w:hAnsi="Poppins" w:cs="Poppins"/>
        </w:rPr>
        <w:t>articula</w:t>
      </w:r>
      <w:r>
        <w:rPr>
          <w:rFonts w:ascii="Poppins" w:hAnsi="Poppins" w:cs="Poppins"/>
        </w:rPr>
        <w:t>r</w:t>
      </w:r>
      <w:r>
        <w:rPr>
          <w:rFonts w:ascii="Poppins" w:hAnsi="Poppins" w:cs="Poppins"/>
        </w:rPr>
        <w:t>, which</w:t>
      </w:r>
      <w:r>
        <w:rPr>
          <w:rFonts w:ascii="Poppins" w:hAnsi="Poppins" w:cs="Poppins"/>
        </w:rPr>
        <w:t xml:space="preserve"> would </w:t>
      </w:r>
      <w:r>
        <w:rPr>
          <w:rFonts w:ascii="Poppins" w:hAnsi="Poppins" w:cs="Poppins"/>
        </w:rPr>
        <w:t xml:space="preserve">help </w:t>
      </w:r>
      <w:r>
        <w:rPr>
          <w:rFonts w:ascii="Poppins" w:hAnsi="Poppins" w:cs="Poppins"/>
        </w:rPr>
        <w:t xml:space="preserve">to </w:t>
      </w:r>
      <w:r w:rsidRPr="006C7752">
        <w:rPr>
          <w:rFonts w:ascii="Poppins" w:hAnsi="Poppins" w:cs="Poppins"/>
        </w:rPr>
        <w:t>provid</w:t>
      </w:r>
      <w:r>
        <w:rPr>
          <w:rFonts w:ascii="Poppins" w:hAnsi="Poppins" w:cs="Poppins"/>
        </w:rPr>
        <w:t>e</w:t>
      </w:r>
      <w:r w:rsidRPr="006C7752">
        <w:rPr>
          <w:rFonts w:ascii="Poppins" w:hAnsi="Poppins" w:cs="Poppins"/>
        </w:rPr>
        <w:t xml:space="preserve"> </w:t>
      </w:r>
      <w:r>
        <w:rPr>
          <w:rFonts w:ascii="Poppins" w:hAnsi="Poppins" w:cs="Poppins"/>
        </w:rPr>
        <w:t>‘</w:t>
      </w:r>
      <w:r w:rsidRPr="006C7752">
        <w:rPr>
          <w:rFonts w:ascii="Poppins" w:hAnsi="Poppins" w:cs="Poppins"/>
        </w:rPr>
        <w:t>the essential positive early example for boys to learn from and emulate as they develop.</w:t>
      </w:r>
      <w:r>
        <w:rPr>
          <w:rFonts w:ascii="Poppins" w:hAnsi="Poppins" w:cs="Poppins"/>
        </w:rPr>
        <w:t>’</w:t>
      </w:r>
      <w:r>
        <w:rPr>
          <w:rFonts w:ascii="Poppins" w:hAnsi="Poppins" w:cs="Poppins"/>
        </w:rPr>
        <w:t xml:space="preserve"> </w:t>
      </w:r>
      <w:r>
        <w:rPr>
          <w:rFonts w:ascii="Poppins" w:hAnsi="Poppins" w:cs="Poppins"/>
        </w:rPr>
        <w:t>T</w:t>
      </w:r>
      <w:r>
        <w:rPr>
          <w:rFonts w:ascii="Poppins" w:hAnsi="Poppins" w:cs="Poppins"/>
        </w:rPr>
        <w:t>h</w:t>
      </w:r>
      <w:r>
        <w:rPr>
          <w:rFonts w:ascii="Poppins" w:hAnsi="Poppins" w:cs="Poppins"/>
        </w:rPr>
        <w:t>i</w:t>
      </w:r>
      <w:r>
        <w:rPr>
          <w:rFonts w:ascii="Poppins" w:hAnsi="Poppins" w:cs="Poppins"/>
        </w:rPr>
        <w:t>s commitment i</w:t>
      </w:r>
      <w:r>
        <w:rPr>
          <w:rFonts w:ascii="Poppins" w:hAnsi="Poppins" w:cs="Poppins"/>
        </w:rPr>
        <w:t>s not refle</w:t>
      </w:r>
      <w:r>
        <w:rPr>
          <w:rFonts w:ascii="Poppins" w:hAnsi="Poppins" w:cs="Poppins"/>
        </w:rPr>
        <w:t>cted in the la</w:t>
      </w:r>
      <w:r>
        <w:rPr>
          <w:rFonts w:ascii="Poppins" w:hAnsi="Poppins" w:cs="Poppins"/>
        </w:rPr>
        <w:t xml:space="preserve">nguage of the </w:t>
      </w:r>
      <w:r>
        <w:rPr>
          <w:rFonts w:ascii="Poppins" w:hAnsi="Poppins" w:cs="Poppins"/>
        </w:rPr>
        <w:t xml:space="preserve">White Paper. </w:t>
      </w:r>
      <w:r>
        <w:rPr>
          <w:rFonts w:ascii="Poppins" w:hAnsi="Poppins" w:cs="Poppins"/>
        </w:rPr>
        <w:t>W</w:t>
      </w:r>
      <w:r>
        <w:rPr>
          <w:rFonts w:ascii="Poppins" w:hAnsi="Poppins" w:cs="Poppins"/>
        </w:rPr>
        <w:t>e are also aware</w:t>
      </w:r>
      <w:r>
        <w:rPr>
          <w:rFonts w:ascii="Poppins" w:hAnsi="Poppins" w:cs="Poppins"/>
        </w:rPr>
        <w:t xml:space="preserve"> that </w:t>
      </w:r>
      <w:r>
        <w:rPr>
          <w:rFonts w:ascii="Poppins" w:hAnsi="Poppins" w:cs="Poppins"/>
        </w:rPr>
        <w:t>misogyn</w:t>
      </w:r>
      <w:r>
        <w:rPr>
          <w:rFonts w:ascii="Poppins" w:hAnsi="Poppins" w:cs="Poppins"/>
        </w:rPr>
        <w:t>y</w:t>
      </w:r>
      <w:r>
        <w:rPr>
          <w:rFonts w:ascii="Poppins" w:hAnsi="Poppins" w:cs="Poppins"/>
        </w:rPr>
        <w:t xml:space="preserve"> is </w:t>
      </w:r>
      <w:r>
        <w:rPr>
          <w:rFonts w:ascii="Poppins" w:hAnsi="Poppins" w:cs="Poppins"/>
        </w:rPr>
        <w:t xml:space="preserve">fast </w:t>
      </w:r>
      <w:r>
        <w:rPr>
          <w:rFonts w:ascii="Poppins" w:hAnsi="Poppins" w:cs="Poppins"/>
        </w:rPr>
        <w:t>becoming a</w:t>
      </w:r>
      <w:r>
        <w:rPr>
          <w:rFonts w:ascii="Poppins" w:hAnsi="Poppins" w:cs="Poppins"/>
        </w:rPr>
        <w:t xml:space="preserve"> </w:t>
      </w:r>
      <w:r>
        <w:rPr>
          <w:rFonts w:ascii="Poppins" w:hAnsi="Poppins" w:cs="Poppins"/>
        </w:rPr>
        <w:t>wellbeing</w:t>
      </w:r>
      <w:r>
        <w:rPr>
          <w:rFonts w:ascii="Poppins" w:hAnsi="Poppins" w:cs="Poppins"/>
        </w:rPr>
        <w:t xml:space="preserve"> issue </w:t>
      </w:r>
      <w:r>
        <w:rPr>
          <w:rFonts w:ascii="Poppins" w:hAnsi="Poppins" w:cs="Poppins"/>
        </w:rPr>
        <w:t>for fe</w:t>
      </w:r>
      <w:r>
        <w:rPr>
          <w:rFonts w:ascii="Poppins" w:hAnsi="Poppins" w:cs="Poppins"/>
        </w:rPr>
        <w:t>male teache</w:t>
      </w:r>
      <w:r>
        <w:rPr>
          <w:rFonts w:ascii="Poppins" w:hAnsi="Poppins" w:cs="Poppins"/>
        </w:rPr>
        <w:t>rs</w:t>
      </w:r>
      <w:r>
        <w:rPr>
          <w:rFonts w:ascii="Poppins" w:hAnsi="Poppins" w:cs="Poppins"/>
        </w:rPr>
        <w:t>.</w:t>
      </w:r>
      <w:r>
        <w:rPr>
          <w:rFonts w:ascii="Poppins" w:hAnsi="Poppins" w:cs="Poppins"/>
        </w:rPr>
        <w:t xml:space="preserve"> Ac</w:t>
      </w:r>
      <w:r>
        <w:rPr>
          <w:rFonts w:ascii="Poppins" w:hAnsi="Poppins" w:cs="Poppins"/>
        </w:rPr>
        <w:t xml:space="preserve">cording to </w:t>
      </w:r>
      <w:r>
        <w:rPr>
          <w:rFonts w:ascii="Poppins" w:hAnsi="Poppins" w:cs="Poppins"/>
        </w:rPr>
        <w:t xml:space="preserve">a </w:t>
      </w:r>
      <w:r>
        <w:rPr>
          <w:rFonts w:ascii="Poppins" w:hAnsi="Poppins" w:cs="Poppins"/>
        </w:rPr>
        <w:t>rece</w:t>
      </w:r>
      <w:r>
        <w:rPr>
          <w:rFonts w:ascii="Poppins" w:hAnsi="Poppins" w:cs="Poppins"/>
        </w:rPr>
        <w:t xml:space="preserve">nt </w:t>
      </w:r>
      <w:r w:rsidRPr="001F587D">
        <w:rPr>
          <w:rFonts w:ascii="Poppins" w:hAnsi="Poppins" w:cs="Poppins"/>
        </w:rPr>
        <w:t>poll by the NASUWT teachers’ union</w:t>
      </w:r>
      <w:r>
        <w:rPr>
          <w:rFonts w:ascii="Poppins" w:hAnsi="Poppins" w:cs="Poppins"/>
        </w:rPr>
        <w:t>,</w:t>
      </w:r>
      <w:r>
        <w:rPr>
          <w:rFonts w:ascii="Poppins" w:hAnsi="Poppins" w:cs="Poppins"/>
        </w:rPr>
        <w:t xml:space="preserve"> </w:t>
      </w:r>
      <w:r>
        <w:rPr>
          <w:rFonts w:ascii="Poppins" w:hAnsi="Poppins" w:cs="Poppins"/>
        </w:rPr>
        <w:t>t</w:t>
      </w:r>
      <w:r>
        <w:rPr>
          <w:rFonts w:ascii="Poppins" w:hAnsi="Poppins" w:cs="Poppins"/>
        </w:rPr>
        <w:t>here is</w:t>
      </w:r>
      <w:r>
        <w:rPr>
          <w:rFonts w:ascii="Poppins" w:hAnsi="Poppins" w:cs="Poppins"/>
        </w:rPr>
        <w:t xml:space="preserve"> a </w:t>
      </w:r>
      <w:r w:rsidRPr="001F587D">
        <w:rPr>
          <w:rFonts w:ascii="Poppins" w:hAnsi="Poppins" w:cs="Poppins"/>
        </w:rPr>
        <w:t>rising trend in misogyny directed at female teachers in recent years</w:t>
      </w:r>
      <w:r>
        <w:rPr>
          <w:rFonts w:ascii="Poppins" w:hAnsi="Poppins" w:cs="Poppins"/>
        </w:rPr>
        <w:t>,</w:t>
      </w:r>
      <w:r w:rsidRPr="001F587D">
        <w:rPr>
          <w:rFonts w:ascii="Poppins" w:hAnsi="Poppins" w:cs="Poppins"/>
        </w:rPr>
        <w:t xml:space="preserve"> from 17.4% in 2023</w:t>
      </w:r>
      <w:r>
        <w:rPr>
          <w:rFonts w:ascii="Poppins" w:hAnsi="Poppins" w:cs="Poppins"/>
        </w:rPr>
        <w:t xml:space="preserve"> </w:t>
      </w:r>
      <w:r w:rsidRPr="001F587D">
        <w:rPr>
          <w:rFonts w:ascii="Poppins" w:hAnsi="Poppins" w:cs="Poppins"/>
        </w:rPr>
        <w:t xml:space="preserve">to 23.4% </w:t>
      </w:r>
      <w:r>
        <w:rPr>
          <w:rFonts w:ascii="Poppins" w:hAnsi="Poppins" w:cs="Poppins"/>
        </w:rPr>
        <w:t>in 202</w:t>
      </w:r>
      <w:r>
        <w:rPr>
          <w:rFonts w:ascii="Poppins" w:hAnsi="Poppins" w:cs="Poppins"/>
        </w:rPr>
        <w:t xml:space="preserve">6. </w:t>
      </w:r>
      <w:r>
        <w:rPr>
          <w:rFonts w:ascii="Poppins" w:hAnsi="Poppins" w:cs="Poppins"/>
        </w:rPr>
        <w:t>F</w:t>
      </w:r>
      <w:r>
        <w:rPr>
          <w:rFonts w:ascii="Poppins" w:hAnsi="Poppins" w:cs="Poppins"/>
        </w:rPr>
        <w:t>emale teac</w:t>
      </w:r>
      <w:r>
        <w:rPr>
          <w:rFonts w:ascii="Poppins" w:hAnsi="Poppins" w:cs="Poppins"/>
        </w:rPr>
        <w:t xml:space="preserve">hers </w:t>
      </w:r>
      <w:r>
        <w:rPr>
          <w:rFonts w:ascii="Poppins" w:hAnsi="Poppins" w:cs="Poppins"/>
        </w:rPr>
        <w:t xml:space="preserve">report </w:t>
      </w:r>
      <w:r>
        <w:rPr>
          <w:rFonts w:ascii="Poppins" w:hAnsi="Poppins" w:cs="Poppins"/>
        </w:rPr>
        <w:t xml:space="preserve">a </w:t>
      </w:r>
      <w:r>
        <w:rPr>
          <w:rFonts w:ascii="Poppins" w:hAnsi="Poppins" w:cs="Poppins"/>
        </w:rPr>
        <w:t>lack of support fro</w:t>
      </w:r>
      <w:r>
        <w:rPr>
          <w:rFonts w:ascii="Poppins" w:hAnsi="Poppins" w:cs="Poppins"/>
        </w:rPr>
        <w:t>m manageme</w:t>
      </w:r>
      <w:r>
        <w:rPr>
          <w:rFonts w:ascii="Poppins" w:hAnsi="Poppins" w:cs="Poppins"/>
        </w:rPr>
        <w:t xml:space="preserve">nt </w:t>
      </w:r>
      <w:r>
        <w:rPr>
          <w:rFonts w:ascii="Poppins" w:hAnsi="Poppins" w:cs="Poppins"/>
        </w:rPr>
        <w:t xml:space="preserve">and </w:t>
      </w:r>
      <w:r>
        <w:rPr>
          <w:rFonts w:ascii="Poppins" w:hAnsi="Poppins" w:cs="Poppins"/>
        </w:rPr>
        <w:t>a res</w:t>
      </w:r>
      <w:r>
        <w:rPr>
          <w:rFonts w:ascii="Poppins" w:hAnsi="Poppins" w:cs="Poppins"/>
        </w:rPr>
        <w:t>ulting n</w:t>
      </w:r>
      <w:r>
        <w:rPr>
          <w:rFonts w:ascii="Poppins" w:hAnsi="Poppins" w:cs="Poppins"/>
        </w:rPr>
        <w:t>egative im</w:t>
      </w:r>
      <w:r>
        <w:rPr>
          <w:rFonts w:ascii="Poppins" w:hAnsi="Poppins" w:cs="Poppins"/>
        </w:rPr>
        <w:t>pact on thei</w:t>
      </w:r>
      <w:r>
        <w:rPr>
          <w:rFonts w:ascii="Poppins" w:hAnsi="Poppins" w:cs="Poppins"/>
        </w:rPr>
        <w:t>r wellbei</w:t>
      </w:r>
      <w:r>
        <w:rPr>
          <w:rFonts w:ascii="Poppins" w:hAnsi="Poppins" w:cs="Poppins"/>
        </w:rPr>
        <w:t xml:space="preserve">ng. </w:t>
      </w:r>
      <w:r>
        <w:rPr>
          <w:rFonts w:ascii="Poppins" w:hAnsi="Poppins" w:cs="Poppins"/>
        </w:rPr>
        <w:t>W</w:t>
      </w:r>
      <w:r>
        <w:rPr>
          <w:rFonts w:ascii="Poppins" w:hAnsi="Poppins" w:cs="Poppins"/>
        </w:rPr>
        <w:t>e</w:t>
      </w:r>
      <w:r>
        <w:rPr>
          <w:rFonts w:ascii="Poppins" w:hAnsi="Poppins" w:cs="Poppins"/>
        </w:rPr>
        <w:t xml:space="preserve"> </w:t>
      </w:r>
      <w:r>
        <w:rPr>
          <w:rFonts w:ascii="Poppins" w:hAnsi="Poppins" w:cs="Poppins"/>
        </w:rPr>
        <w:t>do not beli</w:t>
      </w:r>
      <w:r>
        <w:rPr>
          <w:rFonts w:ascii="Poppins" w:hAnsi="Poppins" w:cs="Poppins"/>
        </w:rPr>
        <w:t xml:space="preserve">eve that </w:t>
      </w:r>
      <w:r>
        <w:rPr>
          <w:rFonts w:ascii="Poppins" w:hAnsi="Poppins" w:cs="Poppins"/>
        </w:rPr>
        <w:t>the</w:t>
      </w:r>
      <w:r>
        <w:rPr>
          <w:rFonts w:ascii="Poppins" w:hAnsi="Poppins" w:cs="Poppins"/>
        </w:rPr>
        <w:t xml:space="preserve"> White Pap</w:t>
      </w:r>
      <w:r>
        <w:rPr>
          <w:rFonts w:ascii="Poppins" w:hAnsi="Poppins" w:cs="Poppins"/>
        </w:rPr>
        <w:t xml:space="preserve">er </w:t>
      </w:r>
      <w:r>
        <w:rPr>
          <w:rFonts w:ascii="Poppins" w:hAnsi="Poppins" w:cs="Poppins"/>
        </w:rPr>
        <w:t>currentl</w:t>
      </w:r>
      <w:r>
        <w:rPr>
          <w:rFonts w:ascii="Poppins" w:hAnsi="Poppins" w:cs="Poppins"/>
        </w:rPr>
        <w:t xml:space="preserve">y </w:t>
      </w:r>
      <w:r>
        <w:rPr>
          <w:rFonts w:ascii="Poppins" w:hAnsi="Poppins" w:cs="Poppins"/>
        </w:rPr>
        <w:t>reflects th</w:t>
      </w:r>
      <w:r>
        <w:rPr>
          <w:rFonts w:ascii="Poppins" w:hAnsi="Poppins" w:cs="Poppins"/>
        </w:rPr>
        <w:t>e growing</w:t>
      </w:r>
      <w:r>
        <w:rPr>
          <w:rFonts w:ascii="Poppins" w:hAnsi="Poppins" w:cs="Poppins"/>
        </w:rPr>
        <w:t xml:space="preserve"> issue of</w:t>
      </w:r>
      <w:r>
        <w:rPr>
          <w:rFonts w:ascii="Poppins" w:hAnsi="Poppins" w:cs="Poppins"/>
        </w:rPr>
        <w:t xml:space="preserve"> misogyny in s</w:t>
      </w:r>
      <w:r>
        <w:rPr>
          <w:rFonts w:ascii="Poppins" w:hAnsi="Poppins" w:cs="Poppins"/>
        </w:rPr>
        <w:t>chools</w:t>
      </w:r>
      <w:r>
        <w:rPr>
          <w:rFonts w:ascii="Poppins" w:hAnsi="Poppins" w:cs="Poppins"/>
        </w:rPr>
        <w:t xml:space="preserve"> </w:t>
      </w:r>
      <w:r>
        <w:rPr>
          <w:rFonts w:ascii="Poppins" w:hAnsi="Poppins" w:cs="Poppins"/>
        </w:rPr>
        <w:t>as a</w:t>
      </w:r>
      <w:r>
        <w:rPr>
          <w:rFonts w:ascii="Poppins" w:hAnsi="Poppins" w:cs="Poppins"/>
        </w:rPr>
        <w:t xml:space="preserve"> </w:t>
      </w:r>
      <w:r>
        <w:rPr>
          <w:rFonts w:ascii="Poppins" w:hAnsi="Poppins" w:cs="Poppins"/>
        </w:rPr>
        <w:t>we</w:t>
      </w:r>
      <w:r>
        <w:rPr>
          <w:rFonts w:ascii="Poppins" w:hAnsi="Poppins" w:cs="Poppins"/>
        </w:rPr>
        <w:t xml:space="preserve">llbeing and </w:t>
      </w:r>
      <w:r>
        <w:rPr>
          <w:rFonts w:ascii="Poppins" w:hAnsi="Poppins" w:cs="Poppins"/>
        </w:rPr>
        <w:t>ret</w:t>
      </w:r>
      <w:r>
        <w:rPr>
          <w:rFonts w:ascii="Poppins" w:hAnsi="Poppins" w:cs="Poppins"/>
        </w:rPr>
        <w:t>ention issue</w:t>
      </w:r>
      <w:r>
        <w:rPr>
          <w:rFonts w:ascii="Poppins" w:hAnsi="Poppins" w:cs="Poppins"/>
        </w:rPr>
        <w:t xml:space="preserve"> for female t</w:t>
      </w:r>
      <w:r>
        <w:rPr>
          <w:rFonts w:ascii="Poppins" w:hAnsi="Poppins" w:cs="Poppins"/>
        </w:rPr>
        <w:t xml:space="preserve">eachers, and </w:t>
      </w:r>
      <w:r>
        <w:rPr>
          <w:rFonts w:ascii="Poppins" w:hAnsi="Poppins" w:cs="Poppins"/>
        </w:rPr>
        <w:t>how recru</w:t>
      </w:r>
      <w:r>
        <w:rPr>
          <w:rFonts w:ascii="Poppins" w:hAnsi="Poppins" w:cs="Poppins"/>
        </w:rPr>
        <w:t>iting m</w:t>
      </w:r>
      <w:r>
        <w:rPr>
          <w:rFonts w:ascii="Poppins" w:hAnsi="Poppins" w:cs="Poppins"/>
        </w:rPr>
        <w:t xml:space="preserve">en in </w:t>
      </w:r>
      <w:r>
        <w:rPr>
          <w:rFonts w:ascii="Poppins" w:hAnsi="Poppins" w:cs="Poppins"/>
        </w:rPr>
        <w:t>teac</w:t>
      </w:r>
      <w:r>
        <w:rPr>
          <w:rFonts w:ascii="Poppins" w:hAnsi="Poppins" w:cs="Poppins"/>
        </w:rPr>
        <w:t xml:space="preserve">hing roles </w:t>
      </w:r>
      <w:r>
        <w:rPr>
          <w:rFonts w:ascii="Poppins" w:hAnsi="Poppins" w:cs="Poppins"/>
        </w:rPr>
        <w:t>earlier in a</w:t>
      </w:r>
      <w:r>
        <w:rPr>
          <w:rFonts w:ascii="Poppins" w:hAnsi="Poppins" w:cs="Poppins"/>
        </w:rPr>
        <w:t xml:space="preserve"> child’</w:t>
      </w:r>
      <w:r>
        <w:rPr>
          <w:rFonts w:ascii="Poppins" w:hAnsi="Poppins" w:cs="Poppins"/>
        </w:rPr>
        <w:t xml:space="preserve">s life </w:t>
      </w:r>
      <w:r>
        <w:rPr>
          <w:rFonts w:ascii="Poppins" w:hAnsi="Poppins" w:cs="Poppins"/>
        </w:rPr>
        <w:t xml:space="preserve">could help </w:t>
      </w:r>
      <w:r>
        <w:rPr>
          <w:rFonts w:ascii="Poppins" w:hAnsi="Poppins" w:cs="Poppins"/>
        </w:rPr>
        <w:t xml:space="preserve">to </w:t>
      </w:r>
      <w:r>
        <w:rPr>
          <w:rFonts w:ascii="Poppins" w:hAnsi="Poppins" w:cs="Poppins"/>
        </w:rPr>
        <w:t>tac</w:t>
      </w:r>
      <w:r>
        <w:rPr>
          <w:rFonts w:ascii="Poppins" w:hAnsi="Poppins" w:cs="Poppins"/>
        </w:rPr>
        <w:t>kle g</w:t>
      </w:r>
      <w:r>
        <w:rPr>
          <w:rFonts w:ascii="Poppins" w:hAnsi="Poppins" w:cs="Poppins"/>
        </w:rPr>
        <w:t>ender ste</w:t>
      </w:r>
      <w:r>
        <w:rPr>
          <w:rFonts w:ascii="Poppins" w:hAnsi="Poppins" w:cs="Poppins"/>
        </w:rPr>
        <w:t>reotyp</w:t>
      </w:r>
      <w:r>
        <w:rPr>
          <w:rFonts w:ascii="Poppins" w:hAnsi="Poppins" w:cs="Poppins"/>
        </w:rPr>
        <w:t>es from an e</w:t>
      </w:r>
      <w:r>
        <w:rPr>
          <w:rFonts w:ascii="Poppins" w:hAnsi="Poppins" w:cs="Poppins"/>
        </w:rPr>
        <w:t>arly age</w:t>
      </w:r>
      <w:r>
        <w:rPr>
          <w:rFonts w:ascii="Poppins" w:hAnsi="Poppins" w:cs="Poppins"/>
        </w:rPr>
        <w:t>, alon</w:t>
      </w:r>
      <w:r>
        <w:rPr>
          <w:rFonts w:ascii="Poppins" w:hAnsi="Poppins" w:cs="Poppins"/>
        </w:rPr>
        <w:t xml:space="preserve">gside </w:t>
      </w:r>
      <w:r>
        <w:rPr>
          <w:rFonts w:ascii="Poppins" w:hAnsi="Poppins" w:cs="Poppins"/>
        </w:rPr>
        <w:t>a</w:t>
      </w:r>
      <w:r>
        <w:rPr>
          <w:rFonts w:ascii="Poppins" w:hAnsi="Poppins" w:cs="Poppins"/>
        </w:rPr>
        <w:t xml:space="preserve"> whole </w:t>
      </w:r>
      <w:r>
        <w:rPr>
          <w:rFonts w:ascii="Poppins" w:hAnsi="Poppins" w:cs="Poppins"/>
        </w:rPr>
        <w:t>school a</w:t>
      </w:r>
      <w:r>
        <w:rPr>
          <w:rFonts w:ascii="Poppins" w:hAnsi="Poppins" w:cs="Poppins"/>
        </w:rPr>
        <w:t>pproach to</w:t>
      </w:r>
      <w:r>
        <w:rPr>
          <w:rFonts w:ascii="Poppins" w:hAnsi="Poppins" w:cs="Poppins"/>
        </w:rPr>
        <w:t xml:space="preserve"> </w:t>
      </w:r>
      <w:r>
        <w:rPr>
          <w:rFonts w:ascii="Poppins" w:hAnsi="Poppins" w:cs="Poppins"/>
        </w:rPr>
        <w:t>chang</w:t>
      </w:r>
      <w:r>
        <w:rPr>
          <w:rFonts w:ascii="Poppins" w:hAnsi="Poppins" w:cs="Poppins"/>
        </w:rPr>
        <w:t xml:space="preserve">ing </w:t>
      </w:r>
      <w:r>
        <w:rPr>
          <w:rFonts w:ascii="Poppins" w:hAnsi="Poppins" w:cs="Poppins"/>
        </w:rPr>
        <w:t>at</w:t>
      </w:r>
      <w:r>
        <w:rPr>
          <w:rFonts w:ascii="Poppins" w:hAnsi="Poppins" w:cs="Poppins"/>
        </w:rPr>
        <w:t>titudes</w:t>
      </w:r>
      <w:r>
        <w:rPr>
          <w:rFonts w:ascii="Poppins" w:hAnsi="Poppins" w:cs="Poppins"/>
        </w:rPr>
        <w:t xml:space="preserve"> and beha</w:t>
      </w:r>
      <w:r>
        <w:rPr>
          <w:rFonts w:ascii="Poppins" w:hAnsi="Poppins" w:cs="Poppins"/>
        </w:rPr>
        <w:t>v</w:t>
      </w:r>
      <w:r>
        <w:rPr>
          <w:rFonts w:ascii="Poppins" w:hAnsi="Poppins" w:cs="Poppins"/>
        </w:rPr>
        <w:t>iour towa</w:t>
      </w:r>
      <w:r>
        <w:rPr>
          <w:rFonts w:ascii="Poppins" w:hAnsi="Poppins" w:cs="Poppins"/>
        </w:rPr>
        <w:t>rds women</w:t>
      </w:r>
    </w:p>
    <w:p w:rsidR="00653372" w:rsidRPr="004F51E5">
      <w:pPr>
        <w:pStyle w:val="ListParagraph"/>
        <w:numPr>
          <w:ilvl w:val="0"/>
          <w:numId w:val="1"/>
        </w:numPr>
        <w:spacing w:after="200"/>
        <w:rPr>
          <w:rFonts w:ascii="Poppins" w:hAnsi="Poppins" w:cs="Poppins"/>
        </w:rPr>
      </w:pPr>
      <w:r w:rsidRPr="004F51E5">
        <w:rPr>
          <w:rFonts w:ascii="Poppins" w:hAnsi="Poppins" w:cs="Poppins"/>
        </w:rPr>
        <w:t>The White Paper’s ambitions for belonging, enrichment and pupil voice sit close to two other significant reforms currently working their way through Government: Youth Matters: Your National Youth Strategy, published in December 2025 with a £500 million commitment including a £350 million Better Youth Spaces programme and a national network of Young Futures Hubs; and the Representation of the People Bill, introduced on 12 February 2026, which will lower the voting age to 16 for UK Parliamentary and local ele</w:t>
      </w:r>
      <w:r w:rsidRPr="004F51E5">
        <w:rPr>
          <w:rFonts w:ascii="Poppins" w:hAnsi="Poppins" w:cs="Poppins"/>
        </w:rPr>
        <w:t>ctions in England.</w:t>
      </w:r>
    </w:p>
    <w:p w:rsidR="00653372" w:rsidRPr="004F51E5">
      <w:pPr>
        <w:pStyle w:val="ListParagraph"/>
        <w:numPr>
          <w:ilvl w:val="0"/>
          <w:numId w:val="1"/>
        </w:numPr>
        <w:spacing w:after="200"/>
        <w:rPr>
          <w:rFonts w:ascii="Poppins" w:hAnsi="Poppins" w:cs="Poppins"/>
        </w:rPr>
      </w:pPr>
      <w:r w:rsidRPr="004F51E5">
        <w:rPr>
          <w:rFonts w:ascii="Poppins" w:hAnsi="Poppins" w:cs="Poppins"/>
        </w:rPr>
        <w:t>We welcome both reforms, but are concerned that they are being delivered through separate parts of Government – the Department for Education, the Department for Culture, Media and Sport, and the Ministry of Housing, Communities and Local Government – without a clear mechanism for ensuring they reinforce, rather than duplicate, one another for the same children and young people. A young person’s sense of civic belonging does not separate neatly along departmental lines: the same girl who is asked, through th</w:t>
      </w:r>
      <w:r w:rsidRPr="004F51E5">
        <w:rPr>
          <w:rFonts w:ascii="Poppins" w:hAnsi="Poppins" w:cs="Poppins"/>
        </w:rPr>
        <w:t>e Enrichment Framework, to take part in civic engagement activity at school will in many cases be eligible to vote for the first time at the next general election, and would benefit from an enrichment offer and citizenship curriculum designed with that in mind.</w:t>
      </w:r>
    </w:p>
    <w:p w:rsidR="00653372" w:rsidRPr="004F51E5">
      <w:pPr>
        <w:pStyle w:val="ListParagraph"/>
        <w:numPr>
          <w:ilvl w:val="0"/>
          <w:numId w:val="1"/>
        </w:numPr>
        <w:spacing w:after="200"/>
        <w:rPr>
          <w:rFonts w:ascii="Poppins" w:hAnsi="Poppins" w:cs="Poppins"/>
        </w:rPr>
      </w:pPr>
      <w:r w:rsidRPr="004F51E5">
        <w:rPr>
          <w:rFonts w:ascii="Poppins" w:hAnsi="Poppins" w:cs="Poppins"/>
        </w:rPr>
        <w:t>We would encourage the Committee to ask the Department how it intends to join up delivery of the enrichment entitlement, the compulsory citizenship curriculum due for first teaching from 2028, and the National Youth Strategy’s youth voice and participation commitments, so that a 16- or 17-year-old encountering the ballot box for the first time has had a genuinely joined-up experience of civic education, rather than three separate initiatives landing on the same age group without reference to each other. Our</w:t>
      </w:r>
      <w:r w:rsidRPr="004F51E5">
        <w:rPr>
          <w:rFonts w:ascii="Poppins" w:hAnsi="Poppins" w:cs="Poppins"/>
        </w:rPr>
        <w:t xml:space="preserve"> own evidence suggests there is real appetite for this to work: 40% of young people aged 10–16 say social media helps them speak out </w:t>
      </w:r>
      <w:r w:rsidRPr="004F51E5">
        <w:rPr>
          <w:rFonts w:ascii="Poppins" w:hAnsi="Poppins" w:cs="Poppins"/>
        </w:rPr>
        <w:t>on issues they care about, and 30% of girls and young women aged 11–21 have made their views known on an issue by posting online. Young people already want to participate in civic life; school-based enrichment and citizenship provision, delivered coherently alongside the National Youth Strategy’s community-based youth work, has an opportunity to convert that appetite into last</w:t>
      </w:r>
      <w:r w:rsidRPr="004F51E5">
        <w:rPr>
          <w:rFonts w:ascii="Poppins" w:hAnsi="Poppins" w:cs="Poppins"/>
        </w:rPr>
        <w:t>ing civic habits ahead of the change in the voting age.</w:t>
      </w:r>
      <w:r>
        <w:rPr>
          <w:rFonts w:ascii="Poppins" w:hAnsi="Poppins" w:cs="Poppins"/>
        </w:rPr>
        <w:t xml:space="preserve"> </w:t>
      </w:r>
      <w:r>
        <w:rPr>
          <w:rFonts w:ascii="Poppins" w:hAnsi="Poppins" w:cs="Poppins"/>
        </w:rPr>
        <w:t>This</w:t>
      </w:r>
      <w:r>
        <w:rPr>
          <w:rFonts w:ascii="Poppins" w:hAnsi="Poppins" w:cs="Poppins"/>
        </w:rPr>
        <w:t xml:space="preserve"> </w:t>
      </w:r>
      <w:r>
        <w:rPr>
          <w:rFonts w:ascii="Poppins" w:hAnsi="Poppins" w:cs="Poppins"/>
        </w:rPr>
        <w:t xml:space="preserve">is also </w:t>
      </w:r>
      <w:r>
        <w:rPr>
          <w:rFonts w:ascii="Poppins" w:hAnsi="Poppins" w:cs="Poppins"/>
        </w:rPr>
        <w:t>e</w:t>
      </w:r>
      <w:r>
        <w:rPr>
          <w:rFonts w:ascii="Poppins" w:hAnsi="Poppins" w:cs="Poppins"/>
        </w:rPr>
        <w:t>spe</w:t>
      </w:r>
      <w:r>
        <w:rPr>
          <w:rFonts w:ascii="Poppins" w:hAnsi="Poppins" w:cs="Poppins"/>
        </w:rPr>
        <w:t>cially i</w:t>
      </w:r>
      <w:r>
        <w:rPr>
          <w:rFonts w:ascii="Poppins" w:hAnsi="Poppins" w:cs="Poppins"/>
        </w:rPr>
        <w:t>mportant</w:t>
      </w:r>
      <w:r>
        <w:rPr>
          <w:rFonts w:ascii="Poppins" w:hAnsi="Poppins" w:cs="Poppins"/>
        </w:rPr>
        <w:t xml:space="preserve"> to </w:t>
      </w:r>
      <w:r>
        <w:rPr>
          <w:rFonts w:ascii="Poppins" w:hAnsi="Poppins" w:cs="Poppins"/>
        </w:rPr>
        <w:t>del</w:t>
      </w:r>
      <w:r>
        <w:rPr>
          <w:rFonts w:ascii="Poppins" w:hAnsi="Poppins" w:cs="Poppins"/>
        </w:rPr>
        <w:t xml:space="preserve">iver </w:t>
      </w:r>
      <w:r>
        <w:rPr>
          <w:rFonts w:ascii="Poppins" w:hAnsi="Poppins" w:cs="Poppins"/>
        </w:rPr>
        <w:t>following</w:t>
      </w:r>
      <w:r>
        <w:rPr>
          <w:rFonts w:ascii="Poppins" w:hAnsi="Poppins" w:cs="Poppins"/>
        </w:rPr>
        <w:t xml:space="preserve"> the </w:t>
      </w:r>
      <w:r>
        <w:rPr>
          <w:rFonts w:ascii="Poppins" w:hAnsi="Poppins" w:cs="Poppins"/>
        </w:rPr>
        <w:t>de</w:t>
      </w:r>
      <w:r>
        <w:rPr>
          <w:rFonts w:ascii="Poppins" w:hAnsi="Poppins" w:cs="Poppins"/>
        </w:rPr>
        <w:t>cision to</w:t>
      </w:r>
      <w:r>
        <w:rPr>
          <w:rFonts w:ascii="Poppins" w:hAnsi="Poppins" w:cs="Poppins"/>
        </w:rPr>
        <w:t xml:space="preserve"> ban </w:t>
      </w:r>
      <w:r>
        <w:rPr>
          <w:rFonts w:ascii="Poppins" w:hAnsi="Poppins" w:cs="Poppins"/>
        </w:rPr>
        <w:t>under 16</w:t>
      </w:r>
      <w:r>
        <w:rPr>
          <w:rFonts w:ascii="Poppins" w:hAnsi="Poppins" w:cs="Poppins"/>
        </w:rPr>
        <w:t>s f</w:t>
      </w:r>
      <w:r>
        <w:rPr>
          <w:rFonts w:ascii="Poppins" w:hAnsi="Poppins" w:cs="Poppins"/>
        </w:rPr>
        <w:t>rom</w:t>
      </w:r>
      <w:r>
        <w:rPr>
          <w:rFonts w:ascii="Poppins" w:hAnsi="Poppins" w:cs="Poppins"/>
        </w:rPr>
        <w:t xml:space="preserve"> social m</w:t>
      </w:r>
      <w:r>
        <w:rPr>
          <w:rFonts w:ascii="Poppins" w:hAnsi="Poppins" w:cs="Poppins"/>
        </w:rPr>
        <w:t>edia, remov</w:t>
      </w:r>
      <w:r>
        <w:rPr>
          <w:rFonts w:ascii="Poppins" w:hAnsi="Poppins" w:cs="Poppins"/>
        </w:rPr>
        <w:t>ing a</w:t>
      </w:r>
      <w:r>
        <w:rPr>
          <w:rFonts w:ascii="Poppins" w:hAnsi="Poppins" w:cs="Poppins"/>
        </w:rPr>
        <w:t xml:space="preserve"> </w:t>
      </w:r>
      <w:r>
        <w:rPr>
          <w:rFonts w:ascii="Poppins" w:hAnsi="Poppins" w:cs="Poppins"/>
        </w:rPr>
        <w:t xml:space="preserve">political </w:t>
      </w:r>
      <w:r>
        <w:rPr>
          <w:rFonts w:ascii="Poppins" w:hAnsi="Poppins" w:cs="Poppins"/>
        </w:rPr>
        <w:t>news and edu</w:t>
      </w:r>
      <w:r>
        <w:rPr>
          <w:rFonts w:ascii="Poppins" w:hAnsi="Poppins" w:cs="Poppins"/>
        </w:rPr>
        <w:t>cation so</w:t>
      </w:r>
      <w:r>
        <w:rPr>
          <w:rFonts w:ascii="Poppins" w:hAnsi="Poppins" w:cs="Poppins"/>
        </w:rPr>
        <w:t xml:space="preserve">urce from </w:t>
      </w:r>
      <w:r>
        <w:rPr>
          <w:rFonts w:ascii="Poppins" w:hAnsi="Poppins" w:cs="Poppins"/>
        </w:rPr>
        <w:t>young people</w:t>
      </w:r>
      <w:r>
        <w:rPr>
          <w:rFonts w:ascii="Poppins" w:hAnsi="Poppins" w:cs="Poppins"/>
        </w:rPr>
        <w:t>’s lives.</w:t>
      </w:r>
      <w:r>
        <w:rPr>
          <w:rFonts w:ascii="Poppins" w:hAnsi="Poppins" w:cs="Poppins"/>
        </w:rPr>
        <w:t xml:space="preserve"> </w:t>
      </w:r>
    </w:p>
    <w:p w:rsidR="00653372" w:rsidRPr="004F51E5">
      <w:pPr>
        <w:pStyle w:val="ListParagraph"/>
        <w:numPr>
          <w:ilvl w:val="0"/>
          <w:numId w:val="1"/>
        </w:numPr>
        <w:spacing w:after="200"/>
        <w:rPr>
          <w:rFonts w:ascii="Poppins" w:hAnsi="Poppins" w:cs="Poppins"/>
        </w:rPr>
      </w:pPr>
      <w:r w:rsidRPr="004F51E5">
        <w:rPr>
          <w:rFonts w:ascii="Poppins" w:hAnsi="Poppins" w:cs="Poppins"/>
        </w:rPr>
        <w:t>Girls’ trust in decision-makers should not be taken for granted. Girls repeatedly tell us they want to be heard and want politicians to do more to address the inequalities that affect them. A joined-up approach across these three reforms – visibly shaped by children and young people themselves, as the National Youth Strategy was – would do more to build that trust than any one of them delivered in isolation.</w:t>
      </w:r>
    </w:p>
    <w:p w:rsidR="00653372" w:rsidRPr="004F51E5">
      <w:pPr>
        <w:spacing w:before="300" w:after="150"/>
        <w:rPr>
          <w:rFonts w:ascii="Poppins" w:hAnsi="Poppins" w:cs="Poppins"/>
        </w:rPr>
      </w:pPr>
      <w:r w:rsidRPr="004F51E5">
        <w:rPr>
          <w:rFonts w:ascii="Poppins" w:hAnsi="Poppins" w:cs="Poppins"/>
          <w:b/>
          <w:bCs/>
          <w:sz w:val="24"/>
          <w:szCs w:val="24"/>
        </w:rPr>
        <w:t>Girlguiding activity</w:t>
      </w:r>
    </w:p>
    <w:p w:rsidR="00653372" w:rsidRPr="004F51E5">
      <w:pPr>
        <w:pStyle w:val="ListParagraph"/>
        <w:numPr>
          <w:ilvl w:val="0"/>
          <w:numId w:val="1"/>
        </w:numPr>
        <w:spacing w:after="200"/>
        <w:rPr>
          <w:rFonts w:ascii="Poppins" w:hAnsi="Poppins" w:cs="Poppins"/>
        </w:rPr>
      </w:pPr>
      <w:r w:rsidRPr="004F51E5">
        <w:rPr>
          <w:rFonts w:ascii="Poppins" w:hAnsi="Poppins" w:cs="Poppins"/>
        </w:rPr>
        <w:t>Girlguiding’s programme gives girls and young women a space to be themselves, gain skills and have fun, and already delivers much of the enrichment, belonging and civic engagement activity the White Paper is seeking to embed in schools:</w:t>
      </w:r>
    </w:p>
    <w:p w:rsidR="00653372" w:rsidRPr="004F51E5">
      <w:pPr>
        <w:pStyle w:val="ListParagraph"/>
        <w:numPr>
          <w:ilvl w:val="0"/>
          <w:numId w:val="1"/>
        </w:numPr>
        <w:spacing w:after="200"/>
        <w:rPr>
          <w:rFonts w:ascii="Poppins" w:hAnsi="Poppins" w:cs="Poppins"/>
        </w:rPr>
      </w:pPr>
      <w:r w:rsidRPr="004F51E5">
        <w:rPr>
          <w:rFonts w:ascii="Poppins" w:hAnsi="Poppins" w:cs="Poppins"/>
        </w:rPr>
        <w:t>Girls take part in badges and activities covering the arts, sport, outdoor adventure and civic engagement, from the</w:t>
      </w:r>
      <w:r w:rsidRPr="004F51E5">
        <w:rPr>
          <w:rFonts w:ascii="Poppins" w:hAnsi="Poppins" w:cs="Poppins"/>
        </w:rPr>
        <w:t xml:space="preserve"> Eco Award to Take Action Skills Builder badges</w:t>
      </w:r>
      <w:r w:rsidRPr="004F51E5">
        <w:rPr>
          <w:rFonts w:ascii="Poppins" w:hAnsi="Poppins" w:cs="Poppins"/>
        </w:rPr>
        <w:t>, which encourages girls to research and campaign on a cause they care about.</w:t>
      </w:r>
    </w:p>
    <w:p w:rsidR="00653372" w:rsidRPr="004F51E5">
      <w:pPr>
        <w:pStyle w:val="ListParagraph"/>
        <w:numPr>
          <w:ilvl w:val="0"/>
          <w:numId w:val="1"/>
        </w:numPr>
        <w:spacing w:after="200"/>
        <w:rPr>
          <w:rFonts w:ascii="Poppins" w:hAnsi="Poppins" w:cs="Poppins"/>
        </w:rPr>
      </w:pPr>
      <w:r w:rsidRPr="004F51E5">
        <w:rPr>
          <w:rFonts w:ascii="Poppins" w:hAnsi="Poppins" w:cs="Poppins"/>
        </w:rPr>
        <w:t xml:space="preserve">Our </w:t>
      </w:r>
      <w:r>
        <w:fldChar w:fldCharType="begin"/>
      </w:r>
      <w:r>
        <w:instrText xml:space="preserve"> HYPERLINK "https://www.girlguiding.org.uk/girls-making-change/were-speaking-out/advocates/" </w:instrText>
      </w:r>
      <w:r>
        <w:fldChar w:fldCharType="separate"/>
      </w:r>
      <w:r w:rsidRPr="004F51E5">
        <w:rPr>
          <w:rStyle w:val="Hyperlink"/>
          <w:rFonts w:ascii="Poppins" w:hAnsi="Poppins" w:cs="Poppins"/>
        </w:rPr>
        <w:t>advocate panel</w:t>
      </w:r>
      <w:r>
        <w:fldChar w:fldCharType="end"/>
      </w:r>
      <w:r w:rsidRPr="004F51E5">
        <w:rPr>
          <w:rFonts w:ascii="Poppins" w:hAnsi="Poppins" w:cs="Poppins"/>
        </w:rPr>
        <w:t xml:space="preserve"> gives girls aged 1</w:t>
      </w:r>
      <w:r w:rsidRPr="004F51E5">
        <w:rPr>
          <w:rFonts w:ascii="Poppins" w:hAnsi="Poppins" w:cs="Poppins"/>
        </w:rPr>
        <w:t>3</w:t>
      </w:r>
      <w:r w:rsidRPr="004F51E5">
        <w:rPr>
          <w:rFonts w:ascii="Poppins" w:hAnsi="Poppins" w:cs="Poppins"/>
        </w:rPr>
        <w:t xml:space="preserve"> to </w:t>
      </w:r>
      <w:r w:rsidRPr="004F51E5">
        <w:rPr>
          <w:rFonts w:ascii="Poppins" w:hAnsi="Poppins" w:cs="Poppins"/>
        </w:rPr>
        <w:t>19</w:t>
      </w:r>
      <w:r w:rsidRPr="004F51E5">
        <w:rPr>
          <w:rFonts w:ascii="Poppins" w:hAnsi="Poppins" w:cs="Poppins"/>
        </w:rPr>
        <w:t xml:space="preserve"> a platform to </w:t>
      </w:r>
      <w:r w:rsidRPr="00A73B09">
        <w:rPr>
          <w:rFonts w:ascii="Poppins" w:hAnsi="Poppins" w:cs="Poppins"/>
        </w:rPr>
        <w:t xml:space="preserve">shape our research, speak out on the issues that matter to </w:t>
      </w:r>
      <w:r>
        <w:rPr>
          <w:rFonts w:ascii="Poppins" w:hAnsi="Poppins" w:cs="Poppins"/>
        </w:rPr>
        <w:t>them</w:t>
      </w:r>
      <w:r w:rsidRPr="00A73B09">
        <w:rPr>
          <w:rFonts w:ascii="Poppins" w:hAnsi="Poppins" w:cs="Poppins"/>
        </w:rPr>
        <w:t>, and push for meaningful change.</w:t>
      </w:r>
    </w:p>
    <w:p w:rsidR="00653372" w:rsidRPr="004F51E5">
      <w:pPr>
        <w:pStyle w:val="ListParagraph"/>
        <w:numPr>
          <w:ilvl w:val="0"/>
          <w:numId w:val="1"/>
        </w:numPr>
        <w:spacing w:after="200"/>
        <w:rPr>
          <w:rFonts w:ascii="Poppins" w:hAnsi="Poppins" w:cs="Poppins"/>
        </w:rPr>
      </w:pPr>
      <w:r w:rsidRPr="004F51E5">
        <w:rPr>
          <w:rFonts w:ascii="Poppins" w:hAnsi="Poppins" w:cs="Poppins"/>
        </w:rPr>
        <w:t>Our unit meetings run every week in 23,000 local groups, giving girls a consistent, all-girl space to build friendships and be led by trusted women volunteers – a model with a strong evidence base for improving self-esteem and resilience.</w:t>
      </w:r>
    </w:p>
    <w:p w:rsidR="00653372" w:rsidRPr="004F51E5">
      <w:pPr>
        <w:spacing w:before="300" w:after="150"/>
        <w:rPr>
          <w:rFonts w:ascii="Poppins" w:hAnsi="Poppins" w:cs="Poppins"/>
        </w:rPr>
      </w:pPr>
      <w:r w:rsidRPr="004F51E5">
        <w:rPr>
          <w:rFonts w:ascii="Poppins" w:hAnsi="Poppins" w:cs="Poppins"/>
          <w:b/>
          <w:bCs/>
          <w:sz w:val="24"/>
          <w:szCs w:val="24"/>
        </w:rPr>
        <w:t>About us</w:t>
      </w:r>
    </w:p>
    <w:p w:rsidR="00653372" w:rsidRPr="004F51E5">
      <w:pPr>
        <w:pStyle w:val="ListParagraph"/>
        <w:numPr>
          <w:ilvl w:val="0"/>
          <w:numId w:val="1"/>
        </w:numPr>
        <w:spacing w:after="200"/>
        <w:rPr>
          <w:rFonts w:ascii="Poppins" w:hAnsi="Poppins" w:cs="Poppins"/>
        </w:rPr>
      </w:pPr>
      <w:r w:rsidRPr="004F51E5">
        <w:rPr>
          <w:rFonts w:ascii="Poppins" w:hAnsi="Poppins" w:cs="Poppins"/>
        </w:rPr>
        <w:t>Girlguiding is the leading charity for girls and young women in the UK. Thanks to the dedication of our volunteers, we are active in every part of the UK, giving girls and young women a space where they can be themselves, have fun, build friendships, gain valuable life skills and make a positive difference to their lives and communities. We run Rainbows (4–7 years), Brownies (7–10 years), Guides (10–14 years) and Rangers (14–18 years).</w:t>
      </w:r>
    </w:p>
    <w:p w:rsidR="00653372" w:rsidRPr="004F51E5">
      <w:pPr>
        <w:spacing w:before="300" w:after="150"/>
        <w:rPr>
          <w:rFonts w:ascii="Poppins" w:hAnsi="Poppins" w:cs="Poppins"/>
        </w:rPr>
      </w:pPr>
      <w:r w:rsidRPr="004F51E5">
        <w:rPr>
          <w:rFonts w:ascii="Poppins" w:hAnsi="Poppins" w:cs="Poppins"/>
          <w:b/>
          <w:bCs/>
          <w:sz w:val="24"/>
          <w:szCs w:val="24"/>
        </w:rPr>
        <w:t>Contact details</w:t>
      </w:r>
    </w:p>
    <w:p w:rsidR="00653372" w:rsidRPr="004F51E5">
      <w:pPr>
        <w:spacing w:after="200"/>
        <w:rPr>
          <w:rFonts w:ascii="Poppins" w:hAnsi="Poppins" w:cs="Poppins"/>
        </w:rPr>
      </w:pPr>
      <w:r w:rsidRPr="004F51E5">
        <w:rPr>
          <w:rFonts w:ascii="Poppins" w:hAnsi="Poppins" w:cs="Poppins"/>
        </w:rPr>
        <w:t xml:space="preserve">Rebecca Pilkington, External Affairs Lead – </w:t>
      </w:r>
      <w:r>
        <w:fldChar w:fldCharType="begin"/>
      </w:r>
      <w:r>
        <w:instrText xml:space="preserve"> HYPERLINK "mailto:Rebecca.pilkington@girlguiding.org.uk" </w:instrText>
      </w:r>
      <w:r>
        <w:fldChar w:fldCharType="separate"/>
      </w:r>
      <w:r w:rsidRPr="004F51E5">
        <w:rPr>
          <w:rStyle w:val="Hyperlink"/>
          <w:rFonts w:ascii="Poppins" w:hAnsi="Poppins" w:cs="Poppins"/>
        </w:rPr>
        <w:t>Rebecca.pilkington@girlguiding.org.uk</w:t>
      </w:r>
      <w:r>
        <w:fldChar w:fldCharType="end"/>
      </w:r>
    </w:p>
    <w:p w:rsidR="00653372" w:rsidRPr="004F51E5">
      <w:pPr>
        <w:pBdr>
          <w:top w:val="single" w:sz="6" w:space="0" w:color="999999"/>
        </w:pBdr>
        <w:spacing w:before="400"/>
        <w:rPr>
          <w:rFonts w:ascii="Poppins" w:hAnsi="Poppins" w:cs="Poppins"/>
        </w:rPr>
      </w:pPr>
    </w:p>
    <w:p w:rsidR="00653372">
      <w:pPr>
        <w:spacing w:after="200"/>
        <w:rPr>
          <w:rFonts w:ascii="Poppins" w:hAnsi="Poppins" w:cs="Poppins"/>
          <w:i/>
          <w:iCs/>
          <w:sz w:val="18"/>
          <w:szCs w:val="18"/>
        </w:rPr>
      </w:pPr>
      <w:r w:rsidRPr="004F51E5">
        <w:rPr>
          <w:rFonts w:ascii="Poppins" w:hAnsi="Poppins" w:cs="Poppins"/>
          <w:i/>
          <w:iCs/>
          <w:sz w:val="18"/>
          <w:szCs w:val="18"/>
        </w:rPr>
        <w:t>Sources: Girlguiding Girls’ Attitudes Survey 2025; Girlguiding Impact &amp; Experience Study 2024–2026 (with the University of Bristol, unpublished); Girlguiding social media research (Censuswide, 2026).</w:t>
      </w:r>
    </w:p>
    <w:p w:rsidR="00A41DE6" w:rsidRPr="004F51E5">
      <w:pPr>
        <w:spacing w:after="200"/>
        <w:rPr>
          <w:rFonts w:ascii="Poppins" w:hAnsi="Poppins" w:cs="Poppins"/>
        </w:rPr>
      </w:pPr>
      <w:r>
        <w:rPr>
          <w:rFonts w:ascii="Poppins" w:hAnsi="Poppins" w:cs="Poppins"/>
          <w:i/>
          <w:iCs/>
          <w:sz w:val="18"/>
          <w:szCs w:val="18"/>
        </w:rPr>
        <w:t>September 2026</w:t>
      </w:r>
    </w:p>
    <w:sectPr>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Poppins">
    <w:charset w:val="00"/>
    <w:family w:val="auto"/>
    <w:pitch w:val="variable"/>
    <w:sig w:usb0="00008007" w:usb1="00000000" w:usb2="00000000" w:usb3="00000000" w:csb0="00000093"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0296DB2"/>
    <w:multiLevelType w:val="hybridMultilevel"/>
    <w:tmpl w:val="46DA7DEE"/>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customStyle="1" w:styleId="UnresolvedMention1">
    <w:name w:val="Unresolved Mention1"/>
    <w:basedOn w:val="DefaultParagraphFont"/>
    <w:uiPriority w:val="99"/>
    <w:semiHidden/>
    <w:unhideWhenUsed/>
    <w:rsid w:val="001D1205"/>
    <w:rPr>
      <w:color w:val="605E5C"/>
      <w:shd w:val="clear" w:color="auto" w:fill="E1DFDD"/>
    </w:rPr>
  </w:style>
  <w:style w:type="paragraph" w:styleId="Revision">
    <w:name w:val="Revision"/>
    <w:hidden/>
    <w:uiPriority w:val="99"/>
    <w:semiHidden/>
    <w:rsid w:val="00A61E0B"/>
  </w:style>
  <w:style w:type="character" w:styleId="CommentReference">
    <w:name w:val="annotation reference"/>
    <w:basedOn w:val="DefaultParagraphFont"/>
    <w:uiPriority w:val="99"/>
    <w:semiHidden/>
    <w:unhideWhenUsed/>
    <w:rsid w:val="00DE4DFE"/>
    <w:rPr>
      <w:sz w:val="16"/>
      <w:szCs w:val="16"/>
    </w:rPr>
  </w:style>
  <w:style w:type="paragraph" w:styleId="CommentText">
    <w:name w:val="annotation text"/>
    <w:basedOn w:val="Normal"/>
    <w:link w:val="CommentTextChar"/>
    <w:uiPriority w:val="99"/>
    <w:unhideWhenUsed/>
    <w:rsid w:val="00DE4DFE"/>
  </w:style>
  <w:style w:type="character" w:customStyle="1" w:styleId="CommentTextChar">
    <w:name w:val="Comment Text Char"/>
    <w:basedOn w:val="DefaultParagraphFont"/>
    <w:link w:val="CommentText"/>
    <w:uiPriority w:val="99"/>
    <w:rsid w:val="00DE4DFE"/>
  </w:style>
  <w:style w:type="paragraph" w:styleId="CommentSubject">
    <w:name w:val="annotation subject"/>
    <w:basedOn w:val="CommentText"/>
    <w:next w:val="CommentText"/>
    <w:link w:val="CommentSubjectChar"/>
    <w:uiPriority w:val="99"/>
    <w:semiHidden/>
    <w:unhideWhenUsed/>
    <w:rsid w:val="00DE4DFE"/>
    <w:rPr>
      <w:b/>
      <w:bCs/>
    </w:rPr>
  </w:style>
  <w:style w:type="character" w:customStyle="1" w:styleId="CommentSubjectChar">
    <w:name w:val="Comment Subject Char"/>
    <w:basedOn w:val="CommentTextChar"/>
    <w:link w:val="CommentSubject"/>
    <w:uiPriority w:val="99"/>
    <w:semiHidden/>
    <w:rsid w:val="00DE4DF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0FA52D57FD3124DBFE421415238085A" ma:contentTypeVersion="19" ma:contentTypeDescription="Create a new document." ma:contentTypeScope="" ma:versionID="59d5400a4e038268070c358d50e96229">
  <xsd:schema xmlns:xsd="http://www.w3.org/2001/XMLSchema" xmlns:xs="http://www.w3.org/2001/XMLSchema" xmlns:p="http://schemas.microsoft.com/office/2006/metadata/properties" xmlns:ns2="ff713000-9d5d-4783-a84c-10885a91b4fc" xmlns:ns3="30144817-3f9c-493f-939c-65d15bbf5a43" targetNamespace="http://schemas.microsoft.com/office/2006/metadata/properties" ma:root="true" ma:fieldsID="0001c8a05d0021af3967309efbde98e6" ns2:_="" ns3:_="">
    <xsd:import namespace="ff713000-9d5d-4783-a84c-10885a91b4fc"/>
    <xsd:import namespace="30144817-3f9c-493f-939c-65d15bbf5a4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713000-9d5d-4783-a84c-10885a91b4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68c7b42-a934-412a-b4e1-1b3c5af28ee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0144817-3f9c-493f-939c-65d15bbf5a4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ab64f88-c6e0-4674-ad08-d615acefce69}" ma:internalName="TaxCatchAll" ma:showField="CatchAllData" ma:web="30144817-3f9c-493f-939c-65d15bbf5a4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f713000-9d5d-4783-a84c-10885a91b4fc">
      <Terms xmlns="http://schemas.microsoft.com/office/infopath/2007/PartnerControls"/>
    </lcf76f155ced4ddcb4097134ff3c332f>
    <TaxCatchAll xmlns="30144817-3f9c-493f-939c-65d15bbf5a43"/>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69395AB-94C5-4201-9A9C-1E64BCC4BD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713000-9d5d-4783-a84c-10885a91b4fc"/>
    <ds:schemaRef ds:uri="30144817-3f9c-493f-939c-65d15bbf5a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2444B3-BF5E-4505-AA00-48F42D5F991A}">
  <ds:schemaRefs>
    <ds:schemaRef ds:uri="http://schemas.microsoft.com/office/2006/metadata/properties"/>
    <ds:schemaRef ds:uri="http://schemas.microsoft.com/office/infopath/2007/PartnerControls"/>
    <ds:schemaRef ds:uri="ff713000-9d5d-4783-a84c-10885a91b4fc"/>
    <ds:schemaRef ds:uri="30144817-3f9c-493f-939c-65d15bbf5a43"/>
  </ds:schemaRefs>
</ds:datastoreItem>
</file>

<file path=customXml/itemProps3.xml><?xml version="1.0" encoding="utf-8"?>
<ds:datastoreItem xmlns:ds="http://schemas.openxmlformats.org/officeDocument/2006/customXml" ds:itemID="{D7CC723A-BBF4-483C-91A6-BA58D6B623E9}">
  <ds:schemaRefs>
    <ds:schemaRef ds:uri="http://schemas.microsoft.com/sharepoint/v3/contenttype/forms"/>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ECA0139</dc:title>
  <cp:revision>0</cp:revision>
</cp:coreProperties>
</file>