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946B5" w:rsidP="004946B5">
      <w:pPr>
        <w:jc w:val="center"/>
        <w:rPr>
          <w:b/>
          <w:bCs/>
          <w:sz w:val="20"/>
          <w:szCs w:val="20"/>
        </w:rPr>
      </w:pPr>
      <w:r>
        <w:rPr>
          <w:b/>
          <w:bCs/>
          <w:sz w:val="20"/>
          <w:szCs w:val="20"/>
        </w:rPr>
        <w:t xml:space="preserve">Written evidence by </w:t>
      </w:r>
      <w:r w:rsidRPr="004946B5">
        <w:rPr>
          <w:b/>
          <w:bCs/>
          <w:sz w:val="20"/>
          <w:szCs w:val="20"/>
        </w:rPr>
        <w:t>Fair Education Alliance</w:t>
      </w:r>
      <w:r>
        <w:rPr>
          <w:b/>
          <w:bCs/>
          <w:sz w:val="20"/>
          <w:szCs w:val="20"/>
        </w:rPr>
        <w:t xml:space="preserve"> (ECA0138)</w:t>
      </w:r>
    </w:p>
    <w:p w:rsidR="004946B5" w:rsidP="004946B5">
      <w:pPr>
        <w:jc w:val="center"/>
        <w:rPr>
          <w:b/>
          <w:bCs/>
          <w:sz w:val="20"/>
          <w:szCs w:val="20"/>
        </w:rPr>
      </w:pPr>
    </w:p>
    <w:p w:rsidR="0054168E" w:rsidP="40F56233">
      <w:pPr>
        <w:rPr>
          <w:b/>
          <w:bCs/>
          <w:sz w:val="20"/>
          <w:szCs w:val="20"/>
        </w:rPr>
      </w:pPr>
      <w:r w:rsidRPr="13F25C85">
        <w:rPr>
          <w:b/>
          <w:bCs/>
          <w:sz w:val="20"/>
          <w:szCs w:val="20"/>
        </w:rPr>
        <w:t xml:space="preserve">Education Select </w:t>
      </w:r>
      <w:r w:rsidRPr="13F25C85">
        <w:rPr>
          <w:b/>
          <w:bCs/>
          <w:sz w:val="20"/>
          <w:szCs w:val="20"/>
        </w:rPr>
        <w:t xml:space="preserve">Committee </w:t>
      </w:r>
      <w:r w:rsidRPr="13F25C85">
        <w:rPr>
          <w:b/>
          <w:bCs/>
          <w:sz w:val="20"/>
          <w:szCs w:val="20"/>
        </w:rPr>
        <w:t>- ‘</w:t>
      </w:r>
      <w:r w:rsidRPr="13F25C85">
        <w:rPr>
          <w:b/>
          <w:bCs/>
          <w:sz w:val="20"/>
          <w:szCs w:val="20"/>
        </w:rPr>
        <w:t xml:space="preserve">Every Child Achieving and Thriving’ White Paper Inquiry - </w:t>
      </w:r>
      <w:r w:rsidRPr="13F25C85">
        <w:rPr>
          <w:b/>
          <w:bCs/>
          <w:sz w:val="20"/>
          <w:szCs w:val="20"/>
        </w:rPr>
        <w:t>Call for Evidence</w:t>
      </w:r>
    </w:p>
    <w:p w:rsidR="0054168E" w:rsidP="13F25C85">
      <w:r w:rsidRPr="13F25C85">
        <w:rPr>
          <w:sz w:val="20"/>
          <w:szCs w:val="20"/>
        </w:rPr>
        <w:t xml:space="preserve">Response from the Fair Education Alliance. </w:t>
      </w:r>
    </w:p>
    <w:p w:rsidR="0054168E" w:rsidP="13F25C85">
      <w:pPr>
        <w:rPr>
          <w:sz w:val="20"/>
          <w:szCs w:val="20"/>
        </w:rPr>
      </w:pPr>
      <w:r w:rsidRPr="13F25C85">
        <w:rPr>
          <w:sz w:val="20"/>
          <w:szCs w:val="20"/>
        </w:rPr>
        <w:t>30/07/2026</w:t>
      </w:r>
    </w:p>
    <w:p w:rsidR="0054168E" w:rsidP="40F56233">
      <w:r w:rsidRPr="40F56233">
        <w:rPr>
          <w:b/>
          <w:bCs/>
          <w:sz w:val="20"/>
          <w:szCs w:val="20"/>
        </w:rPr>
        <w:t>About the FEA</w:t>
      </w:r>
    </w:p>
    <w:p w:rsidR="0054168E">
      <w:pPr>
        <w:pStyle w:val="ListParagraph"/>
        <w:numPr>
          <w:ilvl w:val="0"/>
          <w:numId w:val="1"/>
        </w:numPr>
        <w:rPr>
          <w:rFonts w:ascii="Aptos" w:eastAsia="Aptos" w:hAnsi="Aptos" w:cs="Aptos"/>
          <w:sz w:val="20"/>
          <w:szCs w:val="20"/>
        </w:rPr>
      </w:pPr>
      <w:r w:rsidRPr="40F56233">
        <w:rPr>
          <w:rFonts w:ascii="Aptos" w:eastAsia="Aptos" w:hAnsi="Aptos" w:cs="Aptos"/>
          <w:sz w:val="20"/>
          <w:szCs w:val="20"/>
        </w:rPr>
        <w:t>T</w:t>
      </w:r>
      <w:r w:rsidRPr="40F56233">
        <w:rPr>
          <w:rFonts w:ascii="Aptos" w:eastAsia="Aptos" w:hAnsi="Aptos" w:cs="Aptos"/>
          <w:sz w:val="20"/>
          <w:szCs w:val="20"/>
        </w:rPr>
        <w:t xml:space="preserve">he </w:t>
      </w:r>
      <w:r>
        <w:fldChar w:fldCharType="begin"/>
      </w:r>
      <w:r>
        <w:instrText xml:space="preserve"> HYPERLINK "https://www.faireducation.org.uk/" </w:instrText>
      </w:r>
      <w:r>
        <w:fldChar w:fldCharType="separate"/>
      </w:r>
      <w:r w:rsidRPr="40F56233">
        <w:rPr>
          <w:rStyle w:val="Hyperlink"/>
          <w:sz w:val="20"/>
          <w:szCs w:val="20"/>
        </w:rPr>
        <w:t>Fair Education Alliance</w:t>
      </w:r>
      <w:r>
        <w:fldChar w:fldCharType="end"/>
      </w:r>
      <w:r w:rsidRPr="40F56233">
        <w:rPr>
          <w:rFonts w:ascii="Aptos" w:eastAsia="Aptos" w:hAnsi="Aptos" w:cs="Aptos"/>
          <w:sz w:val="16"/>
          <w:szCs w:val="16"/>
        </w:rPr>
        <w:t xml:space="preserve"> </w:t>
      </w:r>
      <w:r w:rsidRPr="40F56233">
        <w:rPr>
          <w:rFonts w:ascii="Aptos" w:eastAsia="Aptos" w:hAnsi="Aptos" w:cs="Aptos"/>
          <w:sz w:val="20"/>
          <w:szCs w:val="20"/>
        </w:rPr>
        <w:t>is a partnership of 300 organisations committed to working for greater equity in education outcomes for children and young people. Our members have been consulted in the production of this response</w:t>
      </w:r>
      <w:r w:rsidRPr="40F56233">
        <w:rPr>
          <w:rFonts w:ascii="Aptos" w:eastAsia="Aptos" w:hAnsi="Aptos" w:cs="Aptos"/>
          <w:sz w:val="20"/>
          <w:szCs w:val="20"/>
        </w:rPr>
        <w:t xml:space="preserve"> but we submit this as the Secretariat to the Fair Education Alliance, rather than our wider membership.</w:t>
      </w:r>
    </w:p>
    <w:p w:rsidR="0054168E" w:rsidP="40F56233">
      <w:pPr>
        <w:rPr>
          <w:b/>
          <w:bCs/>
          <w:sz w:val="20"/>
          <w:szCs w:val="20"/>
        </w:rPr>
      </w:pPr>
      <w:r w:rsidRPr="40F56233">
        <w:rPr>
          <w:b/>
          <w:bCs/>
          <w:sz w:val="20"/>
          <w:szCs w:val="20"/>
        </w:rPr>
        <w:t>Introduction</w:t>
      </w:r>
    </w:p>
    <w:p w:rsidR="0054168E">
      <w:pPr>
        <w:pStyle w:val="ListParagraph"/>
        <w:numPr>
          <w:ilvl w:val="0"/>
          <w:numId w:val="1"/>
        </w:numPr>
        <w:rPr>
          <w:rFonts w:ascii="Aptos" w:eastAsia="Aptos" w:hAnsi="Aptos" w:cs="Aptos"/>
          <w:sz w:val="20"/>
          <w:szCs w:val="20"/>
        </w:rPr>
      </w:pPr>
      <w:r w:rsidRPr="40F56233">
        <w:rPr>
          <w:rFonts w:ascii="Aptos" w:eastAsia="Aptos" w:hAnsi="Aptos" w:cs="Aptos"/>
          <w:sz w:val="20"/>
          <w:szCs w:val="20"/>
        </w:rPr>
        <w:t>The Fair Education Alliance strongly supports the Government’s ambition to reduce the educational disadvantage gap, and welcomes the adoption of the first ever quantifiable national target to do so.</w:t>
      </w:r>
    </w:p>
    <w:p w:rsidR="0054168E">
      <w:pPr>
        <w:pStyle w:val="ListParagraph"/>
        <w:numPr>
          <w:ilvl w:val="0"/>
          <w:numId w:val="1"/>
        </w:numPr>
        <w:rPr>
          <w:rFonts w:ascii="Aptos" w:eastAsia="Aptos" w:hAnsi="Aptos" w:cs="Aptos"/>
          <w:sz w:val="20"/>
          <w:szCs w:val="20"/>
        </w:rPr>
      </w:pPr>
      <w:r w:rsidRPr="13F25C85">
        <w:rPr>
          <w:rFonts w:ascii="Aptos" w:eastAsia="Aptos" w:hAnsi="Aptos" w:cs="Aptos"/>
          <w:sz w:val="20"/>
          <w:szCs w:val="20"/>
        </w:rPr>
        <w:t xml:space="preserve">We </w:t>
      </w:r>
      <w:r w:rsidRPr="13F25C85">
        <w:rPr>
          <w:rFonts w:ascii="Aptos" w:eastAsia="Aptos" w:hAnsi="Aptos" w:cs="Aptos"/>
          <w:sz w:val="20"/>
          <w:szCs w:val="20"/>
        </w:rPr>
        <w:t>support</w:t>
      </w:r>
      <w:r w:rsidRPr="13F25C85">
        <w:rPr>
          <w:rFonts w:ascii="Aptos" w:eastAsia="Aptos" w:hAnsi="Aptos" w:cs="Aptos"/>
          <w:sz w:val="20"/>
          <w:szCs w:val="20"/>
        </w:rPr>
        <w:t xml:space="preserve"> the central premise of the White Paper: that reducing educational inequality will require action beyond the school gates. Schools are vital institution</w:t>
      </w:r>
      <w:r w:rsidRPr="13F25C85">
        <w:rPr>
          <w:rFonts w:ascii="Aptos" w:eastAsia="Aptos" w:hAnsi="Aptos" w:cs="Aptos"/>
          <w:sz w:val="20"/>
          <w:szCs w:val="20"/>
        </w:rPr>
        <w:t>s</w:t>
      </w:r>
      <w:r w:rsidRPr="13F25C85">
        <w:rPr>
          <w:rFonts w:ascii="Aptos" w:eastAsia="Aptos" w:hAnsi="Aptos" w:cs="Aptos"/>
          <w:sz w:val="20"/>
          <w:szCs w:val="20"/>
        </w:rPr>
        <w:t xml:space="preserve"> in children’s lives, but they cannot close the disadvantage gap alone. Children’s outcomes are shaped by the interaction between school, family, community, health, housing, youth services, employment opportunities, and the wider conditions in which they grow up.</w:t>
      </w:r>
    </w:p>
    <w:p w:rsidR="0054168E">
      <w:pPr>
        <w:pStyle w:val="ListParagraph"/>
        <w:numPr>
          <w:ilvl w:val="0"/>
          <w:numId w:val="1"/>
        </w:numPr>
        <w:rPr>
          <w:rFonts w:ascii="Aptos" w:eastAsia="Aptos" w:hAnsi="Aptos" w:cs="Aptos"/>
          <w:sz w:val="20"/>
          <w:szCs w:val="20"/>
        </w:rPr>
      </w:pPr>
      <w:r w:rsidRPr="13F25C85">
        <w:rPr>
          <w:rFonts w:ascii="Aptos" w:eastAsia="Aptos" w:hAnsi="Aptos" w:cs="Aptos"/>
          <w:sz w:val="20"/>
          <w:szCs w:val="20"/>
        </w:rPr>
        <w:t xml:space="preserve">The long-term data on the educational disadvantage gap shows why this broader approach is needed. Since the </w:t>
      </w:r>
      <w:r>
        <w:fldChar w:fldCharType="begin"/>
      </w:r>
      <w:r>
        <w:instrText xml:space="preserve"> HYPERLINK "https://epi.org.uk/annual-report-2026/" </w:instrText>
      </w:r>
      <w:r>
        <w:fldChar w:fldCharType="separate"/>
      </w:r>
      <w:r w:rsidRPr="13F25C85">
        <w:rPr>
          <w:rStyle w:val="Hyperlink"/>
          <w:sz w:val="20"/>
          <w:szCs w:val="20"/>
        </w:rPr>
        <w:t>Education Policy Institute began tracking the disadvantage gap at Key Stage 3</w:t>
      </w:r>
      <w:r>
        <w:fldChar w:fldCharType="end"/>
      </w:r>
      <w:r w:rsidRPr="13F25C85">
        <w:rPr>
          <w:rFonts w:ascii="Aptos" w:eastAsia="Aptos" w:hAnsi="Aptos" w:cs="Aptos"/>
          <w:sz w:val="20"/>
          <w:szCs w:val="20"/>
        </w:rPr>
        <w:t xml:space="preserve"> in 2013, the gap has </w:t>
      </w:r>
      <w:r w:rsidRPr="13F25C85">
        <w:rPr>
          <w:rFonts w:ascii="Aptos" w:eastAsia="Aptos" w:hAnsi="Aptos" w:cs="Aptos"/>
          <w:sz w:val="20"/>
          <w:szCs w:val="20"/>
        </w:rPr>
        <w:t>only grown wider and now stands at 19 months of learning progress</w:t>
      </w:r>
      <w:r>
        <w:rPr>
          <w:rStyle w:val="FootnoteReference"/>
          <w:rFonts w:ascii="Aptos" w:eastAsia="Aptos" w:hAnsi="Aptos" w:cs="Aptos"/>
          <w:sz w:val="20"/>
          <w:szCs w:val="20"/>
        </w:rPr>
        <w:footnoteReference w:id="2"/>
      </w:r>
      <w:r w:rsidRPr="13F25C85">
        <w:rPr>
          <w:rFonts w:ascii="Aptos" w:eastAsia="Aptos" w:hAnsi="Aptos" w:cs="Aptos"/>
          <w:sz w:val="20"/>
          <w:szCs w:val="20"/>
        </w:rPr>
        <w:t xml:space="preserve">. </w:t>
      </w:r>
    </w:p>
    <w:p w:rsidR="0054168E">
      <w:pPr>
        <w:pStyle w:val="ListParagraph"/>
        <w:numPr>
          <w:ilvl w:val="0"/>
          <w:numId w:val="1"/>
        </w:numPr>
        <w:rPr>
          <w:rFonts w:ascii="Aptos" w:eastAsia="Aptos" w:hAnsi="Aptos" w:cs="Aptos"/>
          <w:sz w:val="20"/>
          <w:szCs w:val="20"/>
        </w:rPr>
      </w:pPr>
      <w:r w:rsidRPr="13F25C85">
        <w:rPr>
          <w:rFonts w:ascii="Aptos" w:eastAsia="Aptos" w:hAnsi="Aptos" w:cs="Aptos"/>
          <w:sz w:val="20"/>
          <w:szCs w:val="20"/>
        </w:rPr>
        <w:t xml:space="preserve">During the same period, </w:t>
      </w:r>
      <w:r w:rsidRPr="13F25C85">
        <w:rPr>
          <w:rFonts w:ascii="Aptos" w:eastAsia="Aptos" w:hAnsi="Aptos" w:cs="Aptos"/>
          <w:sz w:val="20"/>
          <w:szCs w:val="20"/>
        </w:rPr>
        <w:t>educational attainment rose for</w:t>
      </w:r>
      <w:r w:rsidRPr="13F25C85">
        <w:rPr>
          <w:rFonts w:ascii="Aptos" w:eastAsia="Aptos" w:hAnsi="Aptos" w:cs="Aptos"/>
          <w:sz w:val="20"/>
          <w:szCs w:val="20"/>
        </w:rPr>
        <w:t xml:space="preserve"> all</w:t>
      </w:r>
      <w:r w:rsidRPr="13F25C85">
        <w:rPr>
          <w:rFonts w:ascii="Aptos" w:eastAsia="Aptos" w:hAnsi="Aptos" w:cs="Aptos"/>
          <w:sz w:val="20"/>
          <w:szCs w:val="20"/>
        </w:rPr>
        <w:t xml:space="preserve"> pupils overall. Between 2006 and 2019, there was a roughly </w:t>
      </w:r>
      <w:r>
        <w:fldChar w:fldCharType="begin"/>
      </w:r>
      <w:r>
        <w:instrText xml:space="preserve"> HYPERLINK "https://ifs.org.uk/publications/education-inequalities" </w:instrText>
      </w:r>
      <w:r>
        <w:fldChar w:fldCharType="separate"/>
      </w:r>
      <w:r w:rsidRPr="13F25C85">
        <w:rPr>
          <w:rStyle w:val="Hyperlink"/>
          <w:sz w:val="20"/>
          <w:szCs w:val="20"/>
        </w:rPr>
        <w:t>20 percentage point increase in the proportion of all students achieving five good GCSEs</w:t>
      </w:r>
      <w:r>
        <w:fldChar w:fldCharType="end"/>
      </w:r>
      <w:r w:rsidRPr="13F25C85">
        <w:rPr>
          <w:rFonts w:ascii="Aptos" w:eastAsia="Aptos" w:hAnsi="Aptos" w:cs="Aptos"/>
          <w:sz w:val="20"/>
          <w:szCs w:val="20"/>
        </w:rPr>
        <w:t xml:space="preserve">, including English and </w:t>
      </w:r>
      <w:r w:rsidRPr="13F25C85">
        <w:rPr>
          <w:rFonts w:ascii="Aptos" w:eastAsia="Aptos" w:hAnsi="Aptos" w:cs="Aptos"/>
          <w:sz w:val="20"/>
          <w:szCs w:val="20"/>
        </w:rPr>
        <w:t>M</w:t>
      </w:r>
      <w:r w:rsidRPr="13F25C85">
        <w:rPr>
          <w:rFonts w:ascii="Aptos" w:eastAsia="Aptos" w:hAnsi="Aptos" w:cs="Aptos"/>
          <w:sz w:val="20"/>
          <w:szCs w:val="20"/>
        </w:rPr>
        <w:t>aths</w:t>
      </w:r>
      <w:r>
        <w:rPr>
          <w:rStyle w:val="FootnoteReference"/>
          <w:rFonts w:ascii="Aptos" w:eastAsia="Aptos" w:hAnsi="Aptos" w:cs="Aptos"/>
          <w:sz w:val="20"/>
          <w:szCs w:val="20"/>
        </w:rPr>
        <w:footnoteReference w:id="3"/>
      </w:r>
      <w:r w:rsidRPr="13F25C85">
        <w:rPr>
          <w:rFonts w:ascii="Aptos" w:eastAsia="Aptos" w:hAnsi="Aptos" w:cs="Aptos"/>
          <w:sz w:val="20"/>
          <w:szCs w:val="20"/>
        </w:rPr>
        <w:t xml:space="preserve">. This improvement took place during a period </w:t>
      </w:r>
      <w:r w:rsidRPr="13F25C85">
        <w:rPr>
          <w:rFonts w:ascii="Aptos" w:eastAsia="Aptos" w:hAnsi="Aptos" w:cs="Aptos"/>
          <w:sz w:val="20"/>
          <w:szCs w:val="20"/>
        </w:rPr>
        <w:t xml:space="preserve">with a </w:t>
      </w:r>
      <w:r w:rsidRPr="13F25C85">
        <w:rPr>
          <w:rFonts w:ascii="Aptos" w:eastAsia="Aptos" w:hAnsi="Aptos" w:cs="Aptos"/>
          <w:sz w:val="20"/>
          <w:szCs w:val="20"/>
        </w:rPr>
        <w:t>sharp policy focus on school-based interventions, including teaching quality, accountability, and tutoring. This is important progress, but it shows that a rising tide can lift all boats without necessarily bringing them closer together.</w:t>
      </w:r>
    </w:p>
    <w:p w:rsidR="0054168E">
      <w:pPr>
        <w:pStyle w:val="ListParagraph"/>
        <w:numPr>
          <w:ilvl w:val="0"/>
          <w:numId w:val="1"/>
        </w:numPr>
        <w:rPr>
          <w:rFonts w:ascii="Aptos" w:eastAsia="Aptos" w:hAnsi="Aptos" w:cs="Aptos"/>
          <w:sz w:val="20"/>
          <w:szCs w:val="20"/>
        </w:rPr>
      </w:pPr>
      <w:r w:rsidRPr="13F25C85">
        <w:rPr>
          <w:rFonts w:ascii="Aptos" w:eastAsia="Aptos" w:hAnsi="Aptos" w:cs="Aptos"/>
          <w:sz w:val="20"/>
          <w:szCs w:val="20"/>
        </w:rPr>
        <w:t xml:space="preserve">During the same </w:t>
      </w:r>
      <w:r w:rsidRPr="13F25C85">
        <w:rPr>
          <w:rFonts w:ascii="Aptos" w:eastAsia="Aptos" w:hAnsi="Aptos" w:cs="Aptos"/>
          <w:sz w:val="20"/>
          <w:szCs w:val="20"/>
        </w:rPr>
        <w:t>period</w:t>
      </w:r>
      <w:r w:rsidRPr="13F25C85">
        <w:rPr>
          <w:rFonts w:ascii="Aptos" w:eastAsia="Aptos" w:hAnsi="Aptos" w:cs="Aptos"/>
          <w:sz w:val="20"/>
          <w:szCs w:val="20"/>
        </w:rPr>
        <w:t xml:space="preserve">, the wider conditions shaping children’s lives </w:t>
      </w:r>
      <w:r w:rsidRPr="13F25C85">
        <w:rPr>
          <w:rFonts w:ascii="Aptos" w:eastAsia="Aptos" w:hAnsi="Aptos" w:cs="Aptos"/>
          <w:sz w:val="20"/>
          <w:szCs w:val="20"/>
        </w:rPr>
        <w:t xml:space="preserve">have become </w:t>
      </w:r>
      <w:r w:rsidRPr="13F25C85">
        <w:rPr>
          <w:rFonts w:ascii="Aptos" w:eastAsia="Aptos" w:hAnsi="Aptos" w:cs="Aptos"/>
          <w:sz w:val="20"/>
          <w:szCs w:val="20"/>
        </w:rPr>
        <w:t xml:space="preserve">more challenging. The proportion of children eligible for free school meals </w:t>
      </w:r>
      <w:r w:rsidRPr="13F25C85">
        <w:rPr>
          <w:rFonts w:ascii="Aptos" w:eastAsia="Aptos" w:hAnsi="Aptos" w:cs="Aptos"/>
          <w:sz w:val="20"/>
          <w:szCs w:val="20"/>
        </w:rPr>
        <w:t xml:space="preserve">rose </w:t>
      </w:r>
      <w:r w:rsidRPr="13F25C85">
        <w:rPr>
          <w:rFonts w:ascii="Aptos" w:eastAsia="Aptos" w:hAnsi="Aptos" w:cs="Aptos"/>
          <w:sz w:val="20"/>
          <w:szCs w:val="20"/>
        </w:rPr>
        <w:t xml:space="preserve">from </w:t>
      </w:r>
      <w:r>
        <w:fldChar w:fldCharType="begin"/>
      </w:r>
      <w:r>
        <w:instrText xml:space="preserve"> HYPERLINK "https://explore-education-statistics.service.gov.uk/find-statistics/school-pupils-and-their-characteristics/2024-25" </w:instrText>
      </w:r>
      <w:r>
        <w:fldChar w:fldCharType="separate"/>
      </w:r>
      <w:r w:rsidRPr="13F25C85">
        <w:rPr>
          <w:rStyle w:val="Hyperlink"/>
          <w:sz w:val="20"/>
          <w:szCs w:val="20"/>
        </w:rPr>
        <w:t>14% to 26% over the past decade</w:t>
      </w:r>
      <w:r>
        <w:fldChar w:fldCharType="end"/>
      </w:r>
      <w:r>
        <w:rPr>
          <w:rStyle w:val="FootnoteReference"/>
          <w:rFonts w:ascii="Aptos" w:eastAsia="Aptos" w:hAnsi="Aptos" w:cs="Aptos"/>
          <w:sz w:val="20"/>
          <w:szCs w:val="20"/>
        </w:rPr>
        <w:footnoteReference w:id="4"/>
      </w:r>
      <w:r w:rsidRPr="13F25C85">
        <w:rPr>
          <w:rFonts w:ascii="Aptos" w:eastAsia="Aptos" w:hAnsi="Aptos" w:cs="Aptos"/>
          <w:sz w:val="20"/>
          <w:szCs w:val="20"/>
        </w:rPr>
        <w:t xml:space="preserve">, and the proportion of children living in poverty </w:t>
      </w:r>
      <w:r w:rsidRPr="13F25C85">
        <w:rPr>
          <w:rFonts w:ascii="Aptos" w:eastAsia="Aptos" w:hAnsi="Aptos" w:cs="Aptos"/>
          <w:sz w:val="20"/>
          <w:szCs w:val="20"/>
        </w:rPr>
        <w:t xml:space="preserve">trended upwards to reach </w:t>
      </w:r>
      <w:r>
        <w:fldChar w:fldCharType="begin"/>
      </w:r>
      <w:r>
        <w:instrText xml:space="preserve"> HYPERLINK "https://commonslibrary.parliament.uk/which-children-are-most-likely-to-be-in-poverty-in-the-uk/" </w:instrText>
      </w:r>
      <w:r>
        <w:fldChar w:fldCharType="separate"/>
      </w:r>
      <w:r w:rsidRPr="13F25C85">
        <w:rPr>
          <w:rStyle w:val="Hyperlink"/>
          <w:sz w:val="20"/>
          <w:szCs w:val="20"/>
        </w:rPr>
        <w:t>31% in 2024/25</w:t>
      </w:r>
      <w:r>
        <w:fldChar w:fldCharType="end"/>
      </w:r>
      <w:r>
        <w:rPr>
          <w:rStyle w:val="FootnoteReference"/>
          <w:rFonts w:ascii="Aptos" w:eastAsia="Aptos" w:hAnsi="Aptos" w:cs="Aptos"/>
          <w:sz w:val="20"/>
          <w:szCs w:val="20"/>
        </w:rPr>
        <w:footnoteReference w:id="5"/>
      </w:r>
      <w:r w:rsidRPr="13F25C85">
        <w:rPr>
          <w:rFonts w:ascii="Aptos" w:eastAsia="Aptos" w:hAnsi="Aptos" w:cs="Aptos"/>
          <w:sz w:val="20"/>
          <w:szCs w:val="20"/>
        </w:rPr>
        <w:t>.</w:t>
      </w:r>
    </w:p>
    <w:p w:rsidR="0054168E">
      <w:pPr>
        <w:pStyle w:val="ListParagraph"/>
        <w:numPr>
          <w:ilvl w:val="0"/>
          <w:numId w:val="1"/>
        </w:numPr>
        <w:rPr>
          <w:rFonts w:ascii="Aptos" w:eastAsia="Aptos" w:hAnsi="Aptos" w:cs="Aptos"/>
          <w:sz w:val="20"/>
          <w:szCs w:val="20"/>
        </w:rPr>
      </w:pPr>
      <w:r w:rsidRPr="13F25C85">
        <w:rPr>
          <w:rFonts w:ascii="Aptos" w:eastAsia="Aptos" w:hAnsi="Aptos" w:cs="Aptos"/>
          <w:sz w:val="20"/>
          <w:szCs w:val="20"/>
        </w:rPr>
        <w:t>These are deep system-level forces which help to hold the disadvantage gap in place. If children’s basic needs are not met, if families cannot access support, if youth and community services are</w:t>
      </w:r>
      <w:r w:rsidRPr="13F25C85">
        <w:rPr>
          <w:rFonts w:ascii="Aptos" w:eastAsia="Aptos" w:hAnsi="Aptos" w:cs="Aptos"/>
          <w:sz w:val="20"/>
          <w:szCs w:val="20"/>
        </w:rPr>
        <w:t xml:space="preserve"> strained</w:t>
      </w:r>
      <w:r w:rsidRPr="13F25C85">
        <w:rPr>
          <w:rFonts w:ascii="Aptos" w:eastAsia="Aptos" w:hAnsi="Aptos" w:cs="Aptos"/>
          <w:sz w:val="20"/>
          <w:szCs w:val="20"/>
        </w:rPr>
        <w:t>, and if schools in low-income communities face the greatest workforce and funding pressures, then school-based reform alone will not be enough.</w:t>
      </w:r>
    </w:p>
    <w:p w:rsidR="0054168E">
      <w:pPr>
        <w:pStyle w:val="ListParagraph"/>
        <w:numPr>
          <w:ilvl w:val="0"/>
          <w:numId w:val="1"/>
        </w:numPr>
        <w:rPr>
          <w:rFonts w:ascii="Aptos" w:eastAsia="Aptos" w:hAnsi="Aptos" w:cs="Aptos"/>
          <w:sz w:val="20"/>
          <w:szCs w:val="20"/>
        </w:rPr>
      </w:pPr>
      <w:r w:rsidRPr="13F25C85">
        <w:rPr>
          <w:rFonts w:ascii="Aptos" w:eastAsia="Aptos" w:hAnsi="Aptos" w:cs="Aptos"/>
          <w:sz w:val="20"/>
          <w:szCs w:val="20"/>
        </w:rPr>
        <w:t>W</w:t>
      </w:r>
      <w:r w:rsidRPr="13F25C85">
        <w:rPr>
          <w:rFonts w:ascii="Aptos" w:eastAsia="Aptos" w:hAnsi="Aptos" w:cs="Aptos"/>
          <w:sz w:val="20"/>
          <w:szCs w:val="20"/>
        </w:rPr>
        <w:t xml:space="preserve">e believe that closing the gap requires systems change, not standalone interventions. Systems change means shifting the conditions that hold a problem in place. Our strategy, </w:t>
      </w:r>
      <w:r>
        <w:fldChar w:fldCharType="begin"/>
      </w:r>
      <w:r>
        <w:instrText xml:space="preserve"> HYPERLINK "https://www.faireducation.org.uk/neighbourhood-to-national" </w:instrText>
      </w:r>
      <w:r>
        <w:fldChar w:fldCharType="separate"/>
      </w:r>
      <w:r w:rsidRPr="13F25C85">
        <w:rPr>
          <w:rStyle w:val="Hyperlink"/>
          <w:i/>
          <w:iCs/>
          <w:sz w:val="20"/>
          <w:szCs w:val="20"/>
        </w:rPr>
        <w:t>Neighbourhood to National</w:t>
      </w:r>
      <w:r>
        <w:fldChar w:fldCharType="end"/>
      </w:r>
      <w:r>
        <w:rPr>
          <w:rStyle w:val="FootnoteReference"/>
          <w:rFonts w:ascii="Aptos" w:eastAsia="Aptos" w:hAnsi="Aptos" w:cs="Aptos"/>
          <w:sz w:val="20"/>
          <w:szCs w:val="20"/>
        </w:rPr>
        <w:footnoteReference w:id="6"/>
      </w:r>
      <w:r w:rsidRPr="13F25C85">
        <w:rPr>
          <w:rFonts w:ascii="Aptos" w:eastAsia="Aptos" w:hAnsi="Aptos" w:cs="Aptos"/>
          <w:sz w:val="20"/>
          <w:szCs w:val="20"/>
        </w:rPr>
        <w:t>, focuses on changing these conditions so that no child’s success is limited by their socioeconomic background.</w:t>
      </w:r>
    </w:p>
    <w:p w:rsidR="0054168E">
      <w:pPr>
        <w:pStyle w:val="ListParagraph"/>
        <w:numPr>
          <w:ilvl w:val="0"/>
          <w:numId w:val="1"/>
        </w:numPr>
        <w:rPr>
          <w:rFonts w:ascii="Aptos" w:eastAsia="Aptos" w:hAnsi="Aptos" w:cs="Aptos"/>
          <w:sz w:val="20"/>
          <w:szCs w:val="20"/>
        </w:rPr>
      </w:pPr>
      <w:r w:rsidRPr="40F56233">
        <w:rPr>
          <w:rFonts w:ascii="Aptos" w:eastAsia="Aptos" w:hAnsi="Aptos" w:cs="Aptos"/>
          <w:sz w:val="20"/>
          <w:szCs w:val="20"/>
        </w:rPr>
        <w:t>Central Government has direct influence over many of these conditions, including policy, legislation, funding and welfare. It must use those levers while working hand in hand with schools, councils, Mayoral Strategic Authorities</w:t>
      </w:r>
      <w:r w:rsidRPr="40F56233">
        <w:rPr>
          <w:rFonts w:ascii="Aptos" w:eastAsia="Aptos" w:hAnsi="Aptos" w:cs="Aptos"/>
          <w:sz w:val="20"/>
          <w:szCs w:val="20"/>
        </w:rPr>
        <w:t xml:space="preserve"> (MSAs)</w:t>
      </w:r>
      <w:r w:rsidRPr="40F56233">
        <w:rPr>
          <w:rFonts w:ascii="Aptos" w:eastAsia="Aptos" w:hAnsi="Aptos" w:cs="Aptos"/>
          <w:sz w:val="20"/>
          <w:szCs w:val="20"/>
        </w:rPr>
        <w:t>, health services, employers, the voluntary sector, parents, carers and young people themselves. National government should set the enabling conditions for long-term, place-based collaboration, while also addressing the structural causes of educational inequity.</w:t>
      </w:r>
    </w:p>
    <w:p w:rsidR="0054168E">
      <w:pPr>
        <w:pStyle w:val="ListParagraph"/>
        <w:numPr>
          <w:ilvl w:val="0"/>
          <w:numId w:val="1"/>
        </w:numPr>
        <w:rPr>
          <w:rFonts w:ascii="Aptos" w:eastAsia="Aptos" w:hAnsi="Aptos" w:cs="Aptos"/>
          <w:sz w:val="20"/>
          <w:szCs w:val="20"/>
        </w:rPr>
      </w:pPr>
      <w:r w:rsidRPr="13F25C85">
        <w:rPr>
          <w:rFonts w:ascii="Aptos" w:eastAsia="Aptos" w:hAnsi="Aptos" w:cs="Aptos"/>
          <w:sz w:val="20"/>
          <w:szCs w:val="20"/>
        </w:rPr>
        <w:t>We therefore welcome the growing policy emphasis on working beyond the school gates.</w:t>
      </w:r>
      <w:r w:rsidRPr="13F25C85">
        <w:rPr>
          <w:rFonts w:ascii="Aptos" w:eastAsia="Aptos" w:hAnsi="Aptos" w:cs="Aptos"/>
          <w:sz w:val="20"/>
          <w:szCs w:val="20"/>
        </w:rPr>
        <w:t xml:space="preserve"> It</w:t>
      </w:r>
      <w:r w:rsidRPr="13F25C85">
        <w:rPr>
          <w:rFonts w:ascii="Aptos" w:eastAsia="Aptos" w:hAnsi="Aptos" w:cs="Aptos"/>
          <w:sz w:val="20"/>
          <w:szCs w:val="20"/>
        </w:rPr>
        <w:t xml:space="preserve"> is</w:t>
      </w:r>
      <w:r w:rsidRPr="13F25C85">
        <w:rPr>
          <w:rFonts w:ascii="Aptos" w:eastAsia="Aptos" w:hAnsi="Aptos" w:cs="Aptos"/>
          <w:sz w:val="20"/>
          <w:szCs w:val="20"/>
        </w:rPr>
        <w:t xml:space="preserve"> a huge step in the right direction</w:t>
      </w:r>
      <w:r w:rsidRPr="13F25C85">
        <w:rPr>
          <w:rFonts w:ascii="Aptos" w:eastAsia="Aptos" w:hAnsi="Aptos" w:cs="Aptos"/>
          <w:sz w:val="20"/>
          <w:szCs w:val="20"/>
        </w:rPr>
        <w:t xml:space="preserve"> and many of the White Paper's provisions will benefit children from low</w:t>
      </w:r>
      <w:r w:rsidRPr="13F25C85">
        <w:rPr>
          <w:rFonts w:ascii="Aptos" w:eastAsia="Aptos" w:hAnsi="Aptos" w:cs="Aptos"/>
          <w:sz w:val="20"/>
          <w:szCs w:val="20"/>
        </w:rPr>
        <w:t>-</w:t>
      </w:r>
      <w:r w:rsidRPr="13F25C85">
        <w:rPr>
          <w:rFonts w:ascii="Aptos" w:eastAsia="Aptos" w:hAnsi="Aptos" w:cs="Aptos"/>
          <w:sz w:val="20"/>
          <w:szCs w:val="20"/>
        </w:rPr>
        <w:t xml:space="preserve">income households. </w:t>
      </w:r>
    </w:p>
    <w:p w:rsidR="0054168E">
      <w:pPr>
        <w:pStyle w:val="ListParagraph"/>
        <w:numPr>
          <w:ilvl w:val="0"/>
          <w:numId w:val="1"/>
        </w:numPr>
        <w:rPr>
          <w:rFonts w:ascii="Aptos" w:eastAsia="Aptos" w:hAnsi="Aptos" w:cs="Aptos"/>
          <w:sz w:val="20"/>
          <w:szCs w:val="20"/>
        </w:rPr>
      </w:pPr>
      <w:r w:rsidRPr="13F25C85">
        <w:rPr>
          <w:rFonts w:ascii="Aptos" w:eastAsia="Aptos" w:hAnsi="Aptos" w:cs="Aptos"/>
          <w:sz w:val="20"/>
          <w:szCs w:val="20"/>
        </w:rPr>
        <w:t>We set out below</w:t>
      </w:r>
      <w:r w:rsidRPr="13F25C85">
        <w:rPr>
          <w:rFonts w:ascii="Aptos" w:eastAsia="Aptos" w:hAnsi="Aptos" w:cs="Aptos"/>
          <w:sz w:val="20"/>
          <w:szCs w:val="20"/>
        </w:rPr>
        <w:t xml:space="preserve"> a</w:t>
      </w:r>
      <w:r w:rsidRPr="13F25C85">
        <w:rPr>
          <w:rFonts w:ascii="Aptos" w:eastAsia="Aptos" w:hAnsi="Aptos" w:cs="Aptos"/>
          <w:sz w:val="20"/>
          <w:szCs w:val="20"/>
        </w:rPr>
        <w:t xml:space="preserve"> number of areas where the White Paper can go further to </w:t>
      </w:r>
      <w:r w:rsidRPr="13F25C85">
        <w:rPr>
          <w:rFonts w:ascii="Aptos" w:eastAsia="Aptos" w:hAnsi="Aptos" w:cs="Aptos"/>
          <w:sz w:val="20"/>
          <w:szCs w:val="20"/>
        </w:rPr>
        <w:t xml:space="preserve">generate </w:t>
      </w:r>
      <w:r w:rsidRPr="13F25C85">
        <w:rPr>
          <w:rFonts w:ascii="Aptos" w:eastAsia="Aptos" w:hAnsi="Aptos" w:cs="Aptos"/>
          <w:sz w:val="20"/>
          <w:szCs w:val="20"/>
        </w:rPr>
        <w:t>the step change in outcomes for those children that we so badly need</w:t>
      </w:r>
      <w:r w:rsidRPr="13F25C85">
        <w:rPr>
          <w:rFonts w:ascii="Aptos" w:eastAsia="Aptos" w:hAnsi="Aptos" w:cs="Aptos"/>
          <w:sz w:val="20"/>
          <w:szCs w:val="20"/>
        </w:rPr>
        <w:t xml:space="preserve">. </w:t>
      </w:r>
    </w:p>
    <w:p w:rsidR="0054168E" w:rsidP="40F56233">
      <w:pPr>
        <w:spacing w:after="0"/>
        <w:rPr>
          <w:rFonts w:ascii="Aptos" w:eastAsia="Aptos" w:hAnsi="Aptos" w:cs="Aptos"/>
          <w:b/>
          <w:bCs/>
          <w:color w:val="222222"/>
          <w:sz w:val="20"/>
          <w:szCs w:val="20"/>
        </w:rPr>
      </w:pPr>
    </w:p>
    <w:p w:rsidR="0054168E" w:rsidP="13F25C85">
      <w:pPr>
        <w:spacing w:after="0"/>
        <w:rPr>
          <w:b/>
          <w:bCs/>
          <w:color w:val="222222"/>
          <w:sz w:val="20"/>
          <w:szCs w:val="20"/>
        </w:rPr>
      </w:pPr>
      <w:r w:rsidRPr="13F25C85">
        <w:rPr>
          <w:rFonts w:ascii="Aptos" w:eastAsia="Aptos" w:hAnsi="Aptos" w:cs="Aptos"/>
          <w:b/>
          <w:bCs/>
          <w:color w:val="222222"/>
          <w:sz w:val="20"/>
          <w:szCs w:val="20"/>
        </w:rPr>
        <w:t xml:space="preserve">Raising attainment: </w:t>
      </w:r>
      <w:r w:rsidRPr="13F25C85">
        <w:rPr>
          <w:b/>
          <w:bCs/>
          <w:color w:val="222222"/>
          <w:sz w:val="20"/>
          <w:szCs w:val="20"/>
        </w:rPr>
        <w:t>How essential skills can be more effectively integrated into the curriculum</w:t>
      </w:r>
      <w:r w:rsidRPr="13F25C85">
        <w:rPr>
          <w:b/>
          <w:bCs/>
          <w:color w:val="222222"/>
          <w:sz w:val="20"/>
          <w:szCs w:val="20"/>
        </w:rPr>
        <w:t>, The proposed reforms to accountability measure</w:t>
      </w:r>
    </w:p>
    <w:p w:rsidR="0054168E" w:rsidP="40F56233">
      <w:pPr>
        <w:spacing w:after="0"/>
        <w:rPr>
          <w:rFonts w:ascii="Aptos" w:eastAsia="Aptos" w:hAnsi="Aptos" w:cs="Aptos"/>
          <w:color w:val="222222"/>
          <w:sz w:val="20"/>
          <w:szCs w:val="20"/>
        </w:rPr>
      </w:pPr>
    </w:p>
    <w:p w:rsidR="0054168E" w:rsidP="40F56233">
      <w:pPr>
        <w:spacing w:after="0"/>
        <w:rPr>
          <w:rFonts w:ascii="Aptos" w:eastAsia="Aptos" w:hAnsi="Aptos" w:cs="Aptos"/>
          <w:color w:val="222222"/>
          <w:sz w:val="20"/>
          <w:szCs w:val="20"/>
        </w:rPr>
      </w:pPr>
    </w:p>
    <w:p w:rsidR="0054168E">
      <w:pPr>
        <w:pStyle w:val="ListParagraph"/>
        <w:numPr>
          <w:ilvl w:val="0"/>
          <w:numId w:val="1"/>
        </w:numPr>
        <w:spacing w:after="0"/>
        <w:rPr>
          <w:rFonts w:ascii="Aptos" w:eastAsia="Aptos" w:hAnsi="Aptos" w:cs="Aptos"/>
          <w:color w:val="222222"/>
          <w:sz w:val="20"/>
          <w:szCs w:val="20"/>
        </w:rPr>
      </w:pPr>
      <w:r w:rsidRPr="13F25C85">
        <w:rPr>
          <w:rFonts w:ascii="Aptos" w:eastAsia="Aptos" w:hAnsi="Aptos" w:cs="Aptos"/>
          <w:color w:val="222222"/>
          <w:sz w:val="20"/>
          <w:szCs w:val="20"/>
        </w:rPr>
        <w:t xml:space="preserve">We </w:t>
      </w:r>
      <w:r w:rsidRPr="13F25C85">
        <w:rPr>
          <w:rFonts w:ascii="Aptos" w:eastAsia="Aptos" w:hAnsi="Aptos" w:cs="Aptos"/>
          <w:color w:val="222222"/>
          <w:sz w:val="20"/>
          <w:szCs w:val="20"/>
        </w:rPr>
        <w:t xml:space="preserve">welcome the White Paper’s recognition that young people need a broad education that develops knowledge, qualifications and the essential skills needed to thrive in work and life. We particularly welcome the focus on the link between </w:t>
      </w:r>
      <w:r w:rsidRPr="13F25C85">
        <w:rPr>
          <w:rFonts w:ascii="Aptos" w:eastAsia="Aptos" w:hAnsi="Aptos" w:cs="Aptos"/>
          <w:color w:val="222222"/>
          <w:sz w:val="20"/>
          <w:szCs w:val="20"/>
        </w:rPr>
        <w:t xml:space="preserve">essential </w:t>
      </w:r>
      <w:r w:rsidRPr="13F25C85">
        <w:rPr>
          <w:rFonts w:ascii="Aptos" w:eastAsia="Aptos" w:hAnsi="Aptos" w:cs="Aptos"/>
          <w:color w:val="222222"/>
          <w:sz w:val="20"/>
          <w:szCs w:val="20"/>
        </w:rPr>
        <w:t>skills, attainment and reducing the number of young people who become NEET. We also welcome the emphasis on transition points as critical stages for skills development.</w:t>
      </w:r>
    </w:p>
    <w:p w:rsidR="0054168E">
      <w:pPr>
        <w:pStyle w:val="ListParagraph"/>
        <w:numPr>
          <w:ilvl w:val="0"/>
          <w:numId w:val="1"/>
        </w:numPr>
        <w:spacing w:after="0"/>
        <w:rPr>
          <w:rFonts w:ascii="Aptos" w:eastAsia="Aptos" w:hAnsi="Aptos" w:cs="Aptos"/>
          <w:color w:val="222222"/>
          <w:sz w:val="20"/>
          <w:szCs w:val="20"/>
        </w:rPr>
      </w:pPr>
      <w:r w:rsidRPr="13F25C85">
        <w:rPr>
          <w:rFonts w:ascii="Aptos" w:eastAsia="Aptos" w:hAnsi="Aptos" w:cs="Aptos"/>
          <w:color w:val="222222"/>
          <w:sz w:val="20"/>
          <w:szCs w:val="20"/>
        </w:rPr>
        <w:t xml:space="preserve">The White Paper could do more to set out how </w:t>
      </w:r>
      <w:r w:rsidRPr="13F25C85">
        <w:rPr>
          <w:rFonts w:ascii="Aptos" w:eastAsia="Aptos" w:hAnsi="Aptos" w:cs="Aptos"/>
          <w:color w:val="222222"/>
          <w:sz w:val="20"/>
          <w:szCs w:val="20"/>
        </w:rPr>
        <w:t xml:space="preserve">essential skills </w:t>
      </w:r>
      <w:r w:rsidRPr="13F25C85">
        <w:rPr>
          <w:rFonts w:ascii="Aptos" w:eastAsia="Aptos" w:hAnsi="Aptos" w:cs="Aptos"/>
          <w:color w:val="222222"/>
          <w:sz w:val="20"/>
          <w:szCs w:val="20"/>
        </w:rPr>
        <w:t xml:space="preserve">will be systematically taught, practised and recognised across a young person’s education. </w:t>
      </w:r>
      <w:r w:rsidRPr="13F25C85">
        <w:rPr>
          <w:rFonts w:ascii="Aptos" w:eastAsia="Aptos" w:hAnsi="Aptos" w:cs="Aptos"/>
          <w:color w:val="222222"/>
          <w:sz w:val="20"/>
          <w:szCs w:val="20"/>
        </w:rPr>
        <w:t>There is an opportunity to make more explicit the relationship between essential skills and attainment in English and maths</w:t>
      </w:r>
      <w:r w:rsidRPr="13F25C85">
        <w:rPr>
          <w:rFonts w:ascii="Aptos" w:eastAsia="Aptos" w:hAnsi="Aptos" w:cs="Aptos"/>
          <w:color w:val="222222"/>
          <w:sz w:val="20"/>
          <w:szCs w:val="20"/>
        </w:rPr>
        <w:t xml:space="preserve">. Evidence suggests that skills such as </w:t>
      </w:r>
      <w:r>
        <w:fldChar w:fldCharType="begin"/>
      </w:r>
      <w:r>
        <w:instrText xml:space="preserve"> HYPERLINK "https://educationendowmentfoundation.org.uk/education-evidence/teaching-learning-toolkit" </w:instrText>
      </w:r>
      <w:r>
        <w:fldChar w:fldCharType="separate"/>
      </w:r>
      <w:r w:rsidRPr="13F25C85">
        <w:rPr>
          <w:rStyle w:val="Hyperlink"/>
          <w:sz w:val="20"/>
          <w:szCs w:val="20"/>
        </w:rPr>
        <w:t>oracy, self-regulation, communication, problem-solving, teamwork and learner agency contribute directly to success in literacy and numeracy</w:t>
      </w:r>
      <w:r>
        <w:fldChar w:fldCharType="end"/>
      </w:r>
      <w:r>
        <w:rPr>
          <w:rStyle w:val="FootnoteReference"/>
          <w:rFonts w:ascii="Aptos" w:eastAsia="Aptos" w:hAnsi="Aptos" w:cs="Aptos"/>
          <w:color w:val="222222"/>
          <w:sz w:val="20"/>
          <w:szCs w:val="20"/>
        </w:rPr>
        <w:footnoteReference w:id="7"/>
      </w:r>
      <w:r w:rsidRPr="13F25C85">
        <w:rPr>
          <w:rFonts w:ascii="Aptos" w:eastAsia="Aptos" w:hAnsi="Aptos" w:cs="Aptos"/>
          <w:color w:val="222222"/>
          <w:sz w:val="20"/>
          <w:szCs w:val="20"/>
        </w:rPr>
        <w:t xml:space="preserve">. Government should consider adopting a universal framework, such as that developed by FEA member </w:t>
      </w:r>
      <w:r w:rsidRPr="13F25C85">
        <w:rPr>
          <w:rStyle w:val="Hyperlink"/>
          <w:sz w:val="20"/>
          <w:szCs w:val="20"/>
        </w:rPr>
        <w:t>Skills Builder</w:t>
      </w:r>
      <w:r w:rsidRPr="13F25C85">
        <w:rPr>
          <w:rFonts w:ascii="Aptos" w:eastAsia="Aptos" w:hAnsi="Aptos" w:cs="Aptos"/>
          <w:color w:val="222222"/>
          <w:sz w:val="20"/>
          <w:szCs w:val="20"/>
        </w:rPr>
        <w:t>, to support the consistent development and recognition of essential skills alongside academic outcomes.</w:t>
      </w:r>
    </w:p>
    <w:p w:rsidR="0054168E">
      <w:pPr>
        <w:pStyle w:val="ListParagraph"/>
        <w:numPr>
          <w:ilvl w:val="0"/>
          <w:numId w:val="1"/>
        </w:numPr>
        <w:spacing w:after="0"/>
        <w:rPr>
          <w:rFonts w:ascii="Aptos" w:eastAsia="Aptos" w:hAnsi="Aptos" w:cs="Aptos"/>
          <w:color w:val="222222"/>
          <w:sz w:val="20"/>
          <w:szCs w:val="20"/>
        </w:rPr>
      </w:pPr>
      <w:r w:rsidRPr="13F25C85">
        <w:rPr>
          <w:rFonts w:ascii="Aptos" w:eastAsia="Aptos" w:hAnsi="Aptos" w:cs="Aptos"/>
          <w:color w:val="222222"/>
          <w:sz w:val="20"/>
          <w:szCs w:val="20"/>
        </w:rPr>
        <w:t>There is also a risk that intervention comes too late. The Youth Guarantee focuses on 18 to 21-year-olds, yet many of the factors associated with becoming NEET emerge much earlier</w:t>
      </w:r>
      <w:r w:rsidRPr="13F25C85">
        <w:rPr>
          <w:rFonts w:ascii="Aptos" w:eastAsia="Aptos" w:hAnsi="Aptos" w:cs="Aptos"/>
          <w:color w:val="222222"/>
          <w:sz w:val="20"/>
          <w:szCs w:val="20"/>
        </w:rPr>
        <w:t>.</w:t>
      </w:r>
      <w:r w:rsidRPr="13F25C85">
        <w:rPr>
          <w:rFonts w:ascii="Aptos" w:eastAsia="Aptos" w:hAnsi="Aptos" w:cs="Aptos"/>
          <w:color w:val="222222"/>
          <w:sz w:val="20"/>
          <w:szCs w:val="20"/>
        </w:rPr>
        <w:t xml:space="preserve"> </w:t>
      </w:r>
      <w:r w:rsidRPr="13F25C85">
        <w:rPr>
          <w:rFonts w:ascii="Aptos" w:eastAsia="Aptos" w:hAnsi="Aptos" w:cs="Aptos"/>
          <w:color w:val="222222"/>
          <w:sz w:val="20"/>
          <w:szCs w:val="20"/>
        </w:rPr>
        <w:t xml:space="preserve">This is directly linked to findings from the Interim Milburn Review that </w:t>
      </w:r>
      <w:r w:rsidRPr="13F25C85">
        <w:rPr>
          <w:rFonts w:ascii="Aptos" w:eastAsia="Aptos" w:hAnsi="Aptos" w:cs="Aptos"/>
          <w:color w:val="000000" w:themeColor="text1"/>
          <w:sz w:val="20"/>
          <w:szCs w:val="20"/>
        </w:rPr>
        <w:t xml:space="preserve">‘work </w:t>
      </w:r>
      <w:r w:rsidRPr="13F25C85">
        <w:rPr>
          <w:rFonts w:ascii="Aptos" w:eastAsia="Aptos" w:hAnsi="Aptos" w:cs="Aptos"/>
          <w:color w:val="000000" w:themeColor="text1"/>
          <w:sz w:val="20"/>
          <w:szCs w:val="20"/>
        </w:rPr>
        <w:t>readiness’,</w:t>
      </w:r>
      <w:r w:rsidRPr="13F25C85">
        <w:rPr>
          <w:rFonts w:ascii="Aptos" w:eastAsia="Aptos" w:hAnsi="Aptos" w:cs="Aptos"/>
          <w:color w:val="000000" w:themeColor="text1"/>
          <w:sz w:val="20"/>
          <w:szCs w:val="20"/>
        </w:rPr>
        <w:t xml:space="preserve"> including essential skills </w:t>
      </w:r>
      <w:r w:rsidRPr="13F25C85">
        <w:rPr>
          <w:rFonts w:ascii="Aptos" w:eastAsia="Aptos" w:hAnsi="Aptos" w:cs="Aptos"/>
          <w:color w:val="000000" w:themeColor="text1"/>
          <w:sz w:val="20"/>
          <w:szCs w:val="20"/>
        </w:rPr>
        <w:t xml:space="preserve">such as communication and leadership, are what employers most frequently </w:t>
      </w:r>
      <w:r>
        <w:fldChar w:fldCharType="begin"/>
      </w:r>
      <w:r>
        <w:instrText xml:space="preserve"> HYPERLINK "https://www.gov.uk/government/publications/young-people-and-work-interim-report/young-people-and-work-interim-report" </w:instrText>
      </w:r>
      <w:r>
        <w:fldChar w:fldCharType="separate"/>
      </w:r>
      <w:r w:rsidRPr="13F25C85">
        <w:rPr>
          <w:rStyle w:val="Hyperlink"/>
          <w:sz w:val="20"/>
          <w:szCs w:val="20"/>
        </w:rPr>
        <w:t>cite as lacking in young employees</w:t>
      </w:r>
      <w:r>
        <w:fldChar w:fldCharType="end"/>
      </w:r>
      <w:r>
        <w:rPr>
          <w:rStyle w:val="FootnoteReference"/>
          <w:rFonts w:ascii="Aptos" w:eastAsia="Aptos" w:hAnsi="Aptos" w:cs="Aptos"/>
          <w:color w:val="000000" w:themeColor="text1"/>
          <w:sz w:val="20"/>
          <w:szCs w:val="20"/>
        </w:rPr>
        <w:footnoteReference w:id="8"/>
      </w:r>
      <w:r w:rsidRPr="13F25C85">
        <w:rPr>
          <w:rFonts w:ascii="Aptos" w:eastAsia="Aptos" w:hAnsi="Aptos" w:cs="Aptos"/>
          <w:color w:val="222222"/>
          <w:sz w:val="20"/>
          <w:szCs w:val="20"/>
        </w:rPr>
        <w:t>.</w:t>
      </w:r>
      <w:r w:rsidRPr="13F25C85">
        <w:rPr>
          <w:rFonts w:ascii="Aptos" w:eastAsia="Aptos" w:hAnsi="Aptos" w:cs="Aptos"/>
          <w:color w:val="222222"/>
          <w:sz w:val="20"/>
          <w:szCs w:val="20"/>
        </w:rPr>
        <w:t xml:space="preserve"> To reduce NEET levels, government should align schools, post-16 providers, employers </w:t>
      </w:r>
      <w:r w:rsidRPr="13F25C85">
        <w:rPr>
          <w:rFonts w:ascii="Aptos" w:eastAsia="Aptos" w:hAnsi="Aptos" w:cs="Aptos"/>
          <w:color w:val="222222"/>
          <w:sz w:val="20"/>
          <w:szCs w:val="20"/>
        </w:rPr>
        <w:t>and wider youth policy around shared outcomes, and recognise schools not only for GCSE attainment but also for supporting successful progression into sustained education, training and employment.</w:t>
      </w:r>
    </w:p>
    <w:p w:rsidR="0054168E">
      <w:pPr>
        <w:pStyle w:val="ListParagraph"/>
        <w:numPr>
          <w:ilvl w:val="0"/>
          <w:numId w:val="1"/>
        </w:numPr>
        <w:spacing w:after="0"/>
        <w:rPr>
          <w:rFonts w:ascii="Aptos" w:eastAsia="Aptos" w:hAnsi="Aptos" w:cs="Aptos"/>
          <w:color w:val="222222"/>
          <w:sz w:val="20"/>
          <w:szCs w:val="20"/>
        </w:rPr>
      </w:pPr>
      <w:r w:rsidRPr="13F25C85">
        <w:rPr>
          <w:rFonts w:ascii="Aptos" w:eastAsia="Aptos" w:hAnsi="Aptos" w:cs="Aptos"/>
          <w:color w:val="222222"/>
          <w:sz w:val="20"/>
          <w:szCs w:val="20"/>
        </w:rPr>
        <w:t xml:space="preserve">The proposed reforms to Progress 8 and Attainment 8 are a positive step towards greater curriculum breadth and improved outcomes for disadvantaged learners. However, accountability remains focused largely on examination performance. Given the White Paper’s emphasis on oracy, digital and financial literacy, careers education, engagement and enrichment, future accountability reforms should consider how schools can be recognised for developing the capabilities that underpin both academic success and long-term </w:t>
      </w:r>
      <w:r w:rsidRPr="13F25C85">
        <w:rPr>
          <w:rFonts w:ascii="Aptos" w:eastAsia="Aptos" w:hAnsi="Aptos" w:cs="Aptos"/>
          <w:color w:val="222222"/>
          <w:sz w:val="20"/>
          <w:szCs w:val="20"/>
        </w:rPr>
        <w:t>participation in learning and work.</w:t>
      </w:r>
    </w:p>
    <w:p w:rsidR="0054168E" w:rsidP="13F25C85">
      <w:pPr>
        <w:spacing w:after="0"/>
        <w:rPr>
          <w:rFonts w:ascii="Aptos" w:eastAsia="Aptos" w:hAnsi="Aptos" w:cs="Aptos"/>
          <w:color w:val="222222"/>
          <w:sz w:val="20"/>
          <w:szCs w:val="20"/>
        </w:rPr>
      </w:pPr>
    </w:p>
    <w:p w:rsidR="0054168E" w:rsidP="40F56233">
      <w:pPr>
        <w:spacing w:after="0"/>
        <w:rPr>
          <w:rFonts w:ascii="Aptos" w:eastAsia="Aptos" w:hAnsi="Aptos" w:cs="Aptos"/>
          <w:b/>
          <w:bCs/>
          <w:color w:val="222222"/>
          <w:sz w:val="20"/>
          <w:szCs w:val="20"/>
        </w:rPr>
      </w:pPr>
      <w:r w:rsidRPr="40F56233">
        <w:rPr>
          <w:rFonts w:ascii="Aptos" w:eastAsia="Aptos" w:hAnsi="Aptos" w:cs="Aptos"/>
          <w:b/>
          <w:bCs/>
          <w:color w:val="222222"/>
          <w:sz w:val="20"/>
          <w:szCs w:val="20"/>
        </w:rPr>
        <w:t>Recommendations</w:t>
      </w:r>
    </w:p>
    <w:p w:rsidR="0054168E" w:rsidP="40F56233">
      <w:pPr>
        <w:spacing w:after="0"/>
        <w:rPr>
          <w:rFonts w:ascii="Aptos" w:eastAsia="Aptos" w:hAnsi="Aptos" w:cs="Aptos"/>
          <w:color w:val="222222"/>
          <w:sz w:val="20"/>
          <w:szCs w:val="20"/>
        </w:rPr>
      </w:pPr>
    </w:p>
    <w:p w:rsidR="0054168E">
      <w:pPr>
        <w:pStyle w:val="ListParagraph"/>
        <w:numPr>
          <w:ilvl w:val="0"/>
          <w:numId w:val="1"/>
        </w:numPr>
        <w:spacing w:after="0"/>
        <w:rPr>
          <w:rFonts w:ascii="Aptos" w:eastAsia="Aptos" w:hAnsi="Aptos" w:cs="Aptos"/>
          <w:color w:val="222222"/>
          <w:sz w:val="20"/>
          <w:szCs w:val="20"/>
        </w:rPr>
      </w:pPr>
      <w:r w:rsidRPr="40F56233">
        <w:rPr>
          <w:rFonts w:ascii="Aptos" w:eastAsia="Aptos" w:hAnsi="Aptos" w:cs="Aptos"/>
          <w:color w:val="222222"/>
          <w:sz w:val="20"/>
          <w:szCs w:val="20"/>
        </w:rPr>
        <w:t xml:space="preserve">Schools and trusts must be part of national strategies on post-16 education, employment, youth policy and skills. </w:t>
      </w:r>
      <w:r w:rsidRPr="40F56233">
        <w:rPr>
          <w:rFonts w:ascii="Aptos" w:eastAsia="Aptos" w:hAnsi="Aptos" w:cs="Aptos"/>
          <w:color w:val="222222"/>
          <w:sz w:val="20"/>
          <w:szCs w:val="20"/>
        </w:rPr>
        <w:t>DfE, DWP, DCMS, Skills England, local authorities, colleges, employers and schools should work together around shared outcomes for young people.</w:t>
      </w:r>
    </w:p>
    <w:p w:rsidR="0054168E">
      <w:pPr>
        <w:pStyle w:val="ListParagraph"/>
        <w:numPr>
          <w:ilvl w:val="0"/>
          <w:numId w:val="1"/>
        </w:numPr>
        <w:spacing w:after="0"/>
        <w:rPr>
          <w:sz w:val="20"/>
          <w:szCs w:val="20"/>
        </w:rPr>
      </w:pPr>
      <w:r w:rsidRPr="13F25C85">
        <w:rPr>
          <w:rFonts w:ascii="Aptos" w:eastAsia="Aptos" w:hAnsi="Aptos" w:cs="Aptos"/>
          <w:color w:val="222222"/>
          <w:sz w:val="20"/>
          <w:szCs w:val="20"/>
        </w:rPr>
        <w:t>S</w:t>
      </w:r>
      <w:r w:rsidRPr="13F25C85">
        <w:rPr>
          <w:rFonts w:ascii="Aptos" w:eastAsia="Aptos" w:hAnsi="Aptos" w:cs="Aptos"/>
          <w:color w:val="222222"/>
          <w:sz w:val="20"/>
          <w:szCs w:val="20"/>
        </w:rPr>
        <w:t>chool accountability should better recognise the pathways young people take after 16. Schools should be recognised not only for the grades pupils achieve, but also for whether young people progress into sustained education, training or employment</w:t>
      </w:r>
      <w:r w:rsidRPr="13F25C85">
        <w:rPr>
          <w:rFonts w:ascii="Aptos" w:eastAsia="Aptos" w:hAnsi="Aptos" w:cs="Aptos"/>
          <w:color w:val="222222"/>
          <w:sz w:val="20"/>
          <w:szCs w:val="20"/>
        </w:rPr>
        <w:t>, with local economic context factored into this appraisal.</w:t>
      </w:r>
    </w:p>
    <w:p w:rsidR="0054168E">
      <w:pPr>
        <w:pStyle w:val="ListParagraph"/>
        <w:numPr>
          <w:ilvl w:val="0"/>
          <w:numId w:val="1"/>
        </w:numPr>
        <w:spacing w:after="0"/>
        <w:rPr>
          <w:rFonts w:ascii="Aptos" w:eastAsia="Aptos" w:hAnsi="Aptos" w:cs="Aptos"/>
          <w:color w:val="222222"/>
          <w:sz w:val="20"/>
          <w:szCs w:val="20"/>
        </w:rPr>
      </w:pPr>
      <w:r w:rsidRPr="13F25C85">
        <w:rPr>
          <w:rFonts w:ascii="Aptos" w:eastAsia="Aptos" w:hAnsi="Aptos" w:cs="Aptos"/>
          <w:color w:val="000000" w:themeColor="text1"/>
          <w:sz w:val="20"/>
          <w:szCs w:val="20"/>
        </w:rPr>
        <w:t xml:space="preserve">Deliver the essential skills young people need for employment through the education system. As the Curriculum and Assessment Review is implemented, the building of essential skills should be incorporated into every subject. </w:t>
      </w:r>
      <w:r w:rsidRPr="13F25C85">
        <w:rPr>
          <w:sz w:val="20"/>
          <w:szCs w:val="20"/>
        </w:rPr>
        <w:t xml:space="preserve"> </w:t>
      </w:r>
    </w:p>
    <w:p w:rsidR="0054168E">
      <w:pPr>
        <w:pStyle w:val="ListParagraph"/>
        <w:numPr>
          <w:ilvl w:val="0"/>
          <w:numId w:val="1"/>
        </w:numPr>
        <w:spacing w:after="0"/>
        <w:rPr>
          <w:rFonts w:ascii="Aptos" w:eastAsia="Aptos" w:hAnsi="Aptos" w:cs="Aptos"/>
          <w:color w:val="222222"/>
          <w:sz w:val="20"/>
          <w:szCs w:val="20"/>
        </w:rPr>
      </w:pPr>
      <w:r w:rsidRPr="13F25C85">
        <w:rPr>
          <w:rFonts w:ascii="Aptos" w:eastAsia="Aptos" w:hAnsi="Aptos" w:cs="Aptos"/>
          <w:color w:val="222222"/>
          <w:sz w:val="20"/>
          <w:szCs w:val="20"/>
        </w:rPr>
        <w:t>Recognise vocational, technical and functional skills routes. Performance measures should value vocational and technical pathways, and explicitly recognise functional skills qualifications where they represent meaningful progress for young people.</w:t>
      </w:r>
    </w:p>
    <w:p w:rsidR="0054168E" w:rsidP="40F56233">
      <w:pPr>
        <w:spacing w:after="0"/>
        <w:rPr>
          <w:rFonts w:ascii="Aptos" w:eastAsia="Aptos" w:hAnsi="Aptos" w:cs="Aptos"/>
          <w:color w:val="222222"/>
          <w:sz w:val="20"/>
          <w:szCs w:val="20"/>
        </w:rPr>
      </w:pPr>
    </w:p>
    <w:p w:rsidR="0054168E" w:rsidP="40F56233">
      <w:pPr>
        <w:spacing w:after="0"/>
        <w:rPr>
          <w:rFonts w:ascii="Aptos" w:eastAsia="Aptos" w:hAnsi="Aptos" w:cs="Aptos"/>
          <w:b/>
          <w:bCs/>
          <w:sz w:val="20"/>
          <w:szCs w:val="20"/>
        </w:rPr>
      </w:pPr>
      <w:r w:rsidRPr="40F56233">
        <w:rPr>
          <w:rFonts w:ascii="Aptos" w:eastAsia="Aptos" w:hAnsi="Aptos" w:cs="Aptos"/>
          <w:b/>
          <w:bCs/>
          <w:sz w:val="20"/>
          <w:szCs w:val="20"/>
        </w:rPr>
        <w:t>Reducing disadvantage gaps</w:t>
      </w:r>
    </w:p>
    <w:p w:rsidR="0054168E" w:rsidP="40F56233">
      <w:pPr>
        <w:spacing w:after="0"/>
        <w:rPr>
          <w:rFonts w:ascii="Aptos" w:eastAsia="Aptos" w:hAnsi="Aptos" w:cs="Aptos"/>
          <w:sz w:val="20"/>
          <w:szCs w:val="20"/>
        </w:rPr>
      </w:pPr>
    </w:p>
    <w:p w:rsidR="0054168E">
      <w:pPr>
        <w:pStyle w:val="ListParagraph"/>
        <w:numPr>
          <w:ilvl w:val="0"/>
          <w:numId w:val="1"/>
        </w:numPr>
        <w:spacing w:after="0"/>
        <w:rPr>
          <w:rFonts w:ascii="Aptos" w:eastAsia="Aptos" w:hAnsi="Aptos" w:cs="Aptos"/>
          <w:sz w:val="20"/>
          <w:szCs w:val="20"/>
        </w:rPr>
      </w:pPr>
      <w:r w:rsidRPr="13F25C85">
        <w:rPr>
          <w:rFonts w:ascii="Aptos" w:eastAsia="Aptos" w:hAnsi="Aptos" w:cs="Aptos"/>
          <w:sz w:val="20"/>
          <w:szCs w:val="20"/>
        </w:rPr>
        <w:t>There is much to welcome in the White Paper's measures on disadvantage: the introduction of a quantifiable target to halve the gap within a generation; recognition that entrenched poverty requires more targeted support; reforms to disadvantage funding so that it better reflects the depth and duration of poverty; the emphasis on schools as key partnership institutions within connected communities; and Missions Coastal and North East.</w:t>
      </w:r>
    </w:p>
    <w:p w:rsidR="0054168E">
      <w:pPr>
        <w:pStyle w:val="ListParagraph"/>
        <w:numPr>
          <w:ilvl w:val="0"/>
          <w:numId w:val="1"/>
        </w:numPr>
        <w:spacing w:after="0"/>
        <w:rPr>
          <w:rFonts w:ascii="Aptos" w:eastAsia="Aptos" w:hAnsi="Aptos" w:cs="Aptos"/>
          <w:sz w:val="20"/>
          <w:szCs w:val="20"/>
        </w:rPr>
      </w:pPr>
      <w:r w:rsidRPr="13F25C85">
        <w:rPr>
          <w:rFonts w:ascii="Aptos" w:eastAsia="Aptos" w:hAnsi="Aptos" w:cs="Aptos"/>
          <w:sz w:val="20"/>
          <w:szCs w:val="20"/>
        </w:rPr>
        <w:t>Th</w:t>
      </w:r>
      <w:r w:rsidRPr="13F25C85">
        <w:rPr>
          <w:rFonts w:ascii="Aptos" w:eastAsia="Aptos" w:hAnsi="Aptos" w:cs="Aptos"/>
          <w:sz w:val="20"/>
          <w:szCs w:val="20"/>
        </w:rPr>
        <w:t xml:space="preserve">ese </w:t>
      </w:r>
      <w:r w:rsidRPr="13F25C85">
        <w:rPr>
          <w:rFonts w:ascii="Aptos" w:eastAsia="Aptos" w:hAnsi="Aptos" w:cs="Aptos"/>
          <w:sz w:val="20"/>
          <w:szCs w:val="20"/>
        </w:rPr>
        <w:t xml:space="preserve">proposals will only halve the disadvantage gap if they move beyond targeted programmes and reshape the conditions that keep educational inequity in place. Funding reform must direct additional, stable resource towards pupils experiencing persistent </w:t>
      </w:r>
      <w:r w:rsidRPr="13F25C85">
        <w:rPr>
          <w:rFonts w:ascii="Aptos" w:eastAsia="Aptos" w:hAnsi="Aptos" w:cs="Aptos"/>
          <w:sz w:val="20"/>
          <w:szCs w:val="20"/>
        </w:rPr>
        <w:t xml:space="preserve">disadvantage </w:t>
      </w:r>
      <w:r w:rsidRPr="13F25C85">
        <w:rPr>
          <w:rFonts w:ascii="Aptos" w:eastAsia="Aptos" w:hAnsi="Aptos" w:cs="Aptos"/>
          <w:sz w:val="20"/>
          <w:szCs w:val="20"/>
        </w:rPr>
        <w:t xml:space="preserve">and the schools doing the most complex family, pastoral and partnership work. </w:t>
      </w:r>
      <w:r w:rsidRPr="13F25C85">
        <w:rPr>
          <w:rFonts w:ascii="Aptos" w:eastAsia="Aptos" w:hAnsi="Aptos" w:cs="Aptos"/>
          <w:sz w:val="20"/>
          <w:szCs w:val="20"/>
        </w:rPr>
        <w:t>Y</w:t>
      </w:r>
      <w:r w:rsidRPr="13F25C85">
        <w:rPr>
          <w:rFonts w:ascii="Aptos" w:eastAsia="Aptos" w:hAnsi="Aptos" w:cs="Aptos"/>
          <w:color w:val="000000" w:themeColor="text1"/>
          <w:sz w:val="20"/>
          <w:szCs w:val="20"/>
        </w:rPr>
        <w:t xml:space="preserve">oung people who have lived in persistent poverty </w:t>
      </w:r>
      <w:r>
        <w:fldChar w:fldCharType="begin"/>
      </w:r>
      <w:r>
        <w:instrText xml:space="preserve"> HYPERLINK "https://www.teachfirst.org.uk/sites/default/files/2026-06/Class-dismissed-closing-the-gap-for-persistently-disadvantaged-pupils.pdf" </w:instrText>
      </w:r>
      <w:r>
        <w:fldChar w:fldCharType="separate"/>
      </w:r>
      <w:r w:rsidRPr="13F25C85">
        <w:rPr>
          <w:rStyle w:val="Hyperlink"/>
          <w:sz w:val="20"/>
          <w:szCs w:val="20"/>
        </w:rPr>
        <w:t>are an average of 6.7 months behind other low-income young pupils</w:t>
      </w:r>
      <w:r>
        <w:fldChar w:fldCharType="end"/>
      </w:r>
      <w:r w:rsidRPr="13F25C85">
        <w:rPr>
          <w:rFonts w:ascii="Aptos" w:eastAsia="Aptos" w:hAnsi="Aptos" w:cs="Aptos"/>
          <w:color w:val="000000" w:themeColor="text1"/>
          <w:sz w:val="20"/>
          <w:szCs w:val="20"/>
        </w:rPr>
        <w:t xml:space="preserve"> by the end of </w:t>
      </w:r>
      <w:r w:rsidRPr="13F25C85">
        <w:rPr>
          <w:rFonts w:ascii="Aptos" w:eastAsia="Aptos" w:hAnsi="Aptos" w:cs="Aptos"/>
          <w:color w:val="000000" w:themeColor="text1"/>
          <w:sz w:val="20"/>
          <w:szCs w:val="20"/>
        </w:rPr>
        <w:t>secondary school</w:t>
      </w:r>
      <w:r>
        <w:rPr>
          <w:rStyle w:val="FootnoteReference"/>
          <w:rFonts w:ascii="Aptos" w:eastAsia="Aptos" w:hAnsi="Aptos" w:cs="Aptos"/>
          <w:color w:val="000000" w:themeColor="text1"/>
          <w:sz w:val="20"/>
          <w:szCs w:val="20"/>
        </w:rPr>
        <w:footnoteReference w:id="9"/>
      </w:r>
      <w:r w:rsidRPr="13F25C85">
        <w:rPr>
          <w:rFonts w:ascii="Aptos" w:eastAsia="Aptos" w:hAnsi="Aptos" w:cs="Aptos"/>
          <w:color w:val="000000" w:themeColor="text1"/>
          <w:sz w:val="20"/>
          <w:szCs w:val="20"/>
        </w:rPr>
        <w:t>. The work to support children experiencing persistent poverty - s</w:t>
      </w:r>
      <w:r w:rsidRPr="13F25C85">
        <w:rPr>
          <w:rFonts w:ascii="Aptos" w:eastAsia="Aptos" w:hAnsi="Aptos" w:cs="Aptos"/>
          <w:sz w:val="20"/>
          <w:szCs w:val="20"/>
        </w:rPr>
        <w:t>upporting families to navigate services, providing pastoral and practical support - requires dedicated capacity.</w:t>
      </w:r>
    </w:p>
    <w:p w:rsidR="0054168E">
      <w:pPr>
        <w:pStyle w:val="ListParagraph"/>
        <w:numPr>
          <w:ilvl w:val="0"/>
          <w:numId w:val="1"/>
        </w:numPr>
        <w:spacing w:after="0"/>
        <w:rPr>
          <w:rFonts w:ascii="Aptos" w:eastAsia="Aptos" w:hAnsi="Aptos" w:cs="Aptos"/>
          <w:sz w:val="20"/>
          <w:szCs w:val="20"/>
        </w:rPr>
      </w:pPr>
      <w:r w:rsidRPr="13F25C85">
        <w:rPr>
          <w:rFonts w:ascii="Aptos" w:eastAsia="Aptos" w:hAnsi="Aptos" w:cs="Aptos"/>
          <w:sz w:val="20"/>
          <w:szCs w:val="20"/>
        </w:rPr>
        <w:t>Similarly, Mission North East</w:t>
      </w:r>
      <w:r w:rsidRPr="13F25C85">
        <w:rPr>
          <w:rFonts w:ascii="Aptos" w:eastAsia="Aptos" w:hAnsi="Aptos" w:cs="Aptos"/>
          <w:sz w:val="20"/>
          <w:szCs w:val="20"/>
        </w:rPr>
        <w:t xml:space="preserve"> and Mission Coastal will only succeed if they are designed as long-term, locally led system-change initiatives, not short-term improvement programmes. </w:t>
      </w:r>
      <w:r w:rsidRPr="13F25C85">
        <w:rPr>
          <w:rFonts w:ascii="Aptos" w:eastAsia="Aptos" w:hAnsi="Aptos" w:cs="Aptos"/>
          <w:sz w:val="20"/>
          <w:szCs w:val="20"/>
        </w:rPr>
        <w:t xml:space="preserve">Successful place-based work requires </w:t>
      </w:r>
      <w:r>
        <w:fldChar w:fldCharType="begin"/>
      </w:r>
      <w:r>
        <w:instrText xml:space="preserve"> HYPERLINK "https://www.thinknpc.org/resource-hub/closing-the-gap/" </w:instrText>
      </w:r>
      <w:r>
        <w:fldChar w:fldCharType="separate"/>
      </w:r>
      <w:r w:rsidRPr="13F25C85">
        <w:rPr>
          <w:rStyle w:val="Hyperlink"/>
          <w:sz w:val="20"/>
          <w:szCs w:val="20"/>
        </w:rPr>
        <w:t>time, trust, local discovery, shared outcomes and dedicated coordination</w:t>
      </w:r>
      <w:r>
        <w:fldChar w:fldCharType="end"/>
      </w:r>
      <w:r>
        <w:rPr>
          <w:rStyle w:val="FootnoteReference"/>
          <w:rFonts w:ascii="Aptos" w:eastAsia="Aptos" w:hAnsi="Aptos" w:cs="Aptos"/>
          <w:sz w:val="20"/>
          <w:szCs w:val="20"/>
        </w:rPr>
        <w:footnoteReference w:id="10"/>
      </w:r>
      <w:r w:rsidRPr="13F25C85">
        <w:rPr>
          <w:rFonts w:ascii="Aptos" w:eastAsia="Aptos" w:hAnsi="Aptos" w:cs="Aptos"/>
          <w:sz w:val="20"/>
          <w:szCs w:val="20"/>
        </w:rPr>
        <w:t xml:space="preserve">. </w:t>
      </w:r>
    </w:p>
    <w:p w:rsidR="0054168E">
      <w:pPr>
        <w:pStyle w:val="ListParagraph"/>
        <w:numPr>
          <w:ilvl w:val="0"/>
          <w:numId w:val="1"/>
        </w:numPr>
        <w:spacing w:after="0"/>
        <w:rPr>
          <w:rFonts w:ascii="Aptos" w:eastAsia="Aptos" w:hAnsi="Aptos" w:cs="Aptos"/>
          <w:sz w:val="20"/>
          <w:szCs w:val="20"/>
        </w:rPr>
      </w:pPr>
      <w:r w:rsidRPr="13F25C85">
        <w:rPr>
          <w:rFonts w:ascii="Aptos" w:eastAsia="Aptos" w:hAnsi="Aptos" w:cs="Aptos"/>
          <w:sz w:val="20"/>
          <w:szCs w:val="20"/>
        </w:rPr>
        <w:t>That means investing in the capacity for collaboration, embedding the voices of young people and families, aligning services around shared outcomes, and creating the data infrastructure that allows education, health, social care, local government, youth services and civil society to understand and support children’s lives as a whole. Without this the Government risks setting a welcome national ambition without creating the practical conditions needed to achieve it.</w:t>
      </w:r>
    </w:p>
    <w:p w:rsidR="0054168E">
      <w:pPr>
        <w:pStyle w:val="ListParagraph"/>
        <w:numPr>
          <w:ilvl w:val="0"/>
          <w:numId w:val="1"/>
        </w:numPr>
        <w:spacing w:after="0"/>
        <w:rPr>
          <w:rFonts w:ascii="Aptos" w:eastAsia="Aptos" w:hAnsi="Aptos" w:cs="Aptos"/>
          <w:sz w:val="20"/>
          <w:szCs w:val="20"/>
        </w:rPr>
      </w:pPr>
      <w:r w:rsidRPr="13F25C85">
        <w:rPr>
          <w:rFonts w:ascii="Aptos" w:eastAsia="Aptos" w:hAnsi="Aptos" w:cs="Aptos"/>
          <w:sz w:val="20"/>
          <w:szCs w:val="20"/>
        </w:rPr>
        <w:t xml:space="preserve">We also need significant progress on data sharing </w:t>
      </w:r>
      <w:r w:rsidRPr="13F25C85">
        <w:rPr>
          <w:rFonts w:ascii="Aptos" w:eastAsia="Aptos" w:hAnsi="Aptos" w:cs="Aptos"/>
          <w:sz w:val="20"/>
          <w:szCs w:val="20"/>
        </w:rPr>
        <w:t xml:space="preserve">across </w:t>
      </w:r>
      <w:r w:rsidRPr="13F25C85">
        <w:rPr>
          <w:rFonts w:ascii="Aptos" w:eastAsia="Aptos" w:hAnsi="Aptos" w:cs="Aptos"/>
          <w:sz w:val="20"/>
          <w:szCs w:val="20"/>
        </w:rPr>
        <w:t>government. Government departments have important roles to play in establishing the underlying data standards, guidance, open APIs, data sharing platforms and other mechanisms by which schools, LAs and MSAs can scale and spread good practice in data sharing.</w:t>
      </w:r>
    </w:p>
    <w:p w:rsidR="0054168E" w:rsidP="40F56233">
      <w:pPr>
        <w:spacing w:after="0"/>
        <w:rPr>
          <w:rFonts w:ascii="Aptos" w:eastAsia="Aptos" w:hAnsi="Aptos" w:cs="Aptos"/>
          <w:b/>
          <w:bCs/>
          <w:sz w:val="20"/>
          <w:szCs w:val="20"/>
        </w:rPr>
      </w:pPr>
    </w:p>
    <w:p w:rsidR="0054168E" w:rsidP="40F56233">
      <w:pPr>
        <w:spacing w:after="0"/>
        <w:rPr>
          <w:rFonts w:ascii="Aptos" w:eastAsia="Aptos" w:hAnsi="Aptos" w:cs="Aptos"/>
          <w:b/>
          <w:bCs/>
          <w:sz w:val="20"/>
          <w:szCs w:val="20"/>
        </w:rPr>
      </w:pPr>
      <w:r w:rsidRPr="40F56233">
        <w:rPr>
          <w:rFonts w:ascii="Aptos" w:eastAsia="Aptos" w:hAnsi="Aptos" w:cs="Aptos"/>
          <w:b/>
          <w:bCs/>
          <w:sz w:val="20"/>
          <w:szCs w:val="20"/>
        </w:rPr>
        <w:t>Recommendations</w:t>
      </w:r>
    </w:p>
    <w:p w:rsidR="0054168E" w:rsidP="40F56233">
      <w:pPr>
        <w:spacing w:after="0"/>
        <w:rPr>
          <w:rFonts w:ascii="Aptos" w:eastAsia="Aptos" w:hAnsi="Aptos" w:cs="Aptos"/>
          <w:sz w:val="20"/>
          <w:szCs w:val="20"/>
        </w:rPr>
      </w:pPr>
    </w:p>
    <w:p w:rsidR="0054168E">
      <w:pPr>
        <w:pStyle w:val="ListParagraph"/>
        <w:numPr>
          <w:ilvl w:val="0"/>
          <w:numId w:val="1"/>
        </w:numPr>
        <w:spacing w:after="0"/>
        <w:rPr>
          <w:rFonts w:ascii="Aptos" w:eastAsia="Aptos" w:hAnsi="Aptos" w:cs="Aptos"/>
          <w:sz w:val="20"/>
          <w:szCs w:val="20"/>
        </w:rPr>
      </w:pPr>
      <w:r w:rsidRPr="13F25C85">
        <w:rPr>
          <w:rFonts w:ascii="Aptos" w:eastAsia="Aptos" w:hAnsi="Aptos" w:cs="Aptos"/>
          <w:sz w:val="20"/>
          <w:szCs w:val="20"/>
        </w:rPr>
        <w:t xml:space="preserve">Ensure that reforms to disadvantage funding are </w:t>
      </w:r>
      <w:r w:rsidRPr="13F25C85">
        <w:rPr>
          <w:rFonts w:ascii="Aptos" w:eastAsia="Aptos" w:hAnsi="Aptos" w:cs="Aptos"/>
          <w:sz w:val="20"/>
          <w:szCs w:val="20"/>
        </w:rPr>
        <w:t xml:space="preserve">directed towards schools serving pupils experiencing persistent </w:t>
      </w:r>
      <w:r w:rsidRPr="13F25C85">
        <w:rPr>
          <w:rFonts w:ascii="Aptos" w:eastAsia="Aptos" w:hAnsi="Aptos" w:cs="Aptos"/>
          <w:sz w:val="20"/>
          <w:szCs w:val="20"/>
        </w:rPr>
        <w:t>disadvantage</w:t>
      </w:r>
      <w:r w:rsidRPr="13F25C85">
        <w:rPr>
          <w:rFonts w:ascii="Aptos" w:eastAsia="Aptos" w:hAnsi="Aptos" w:cs="Aptos"/>
          <w:sz w:val="20"/>
          <w:szCs w:val="20"/>
        </w:rPr>
        <w:t>.</w:t>
      </w:r>
    </w:p>
    <w:p w:rsidR="0054168E">
      <w:pPr>
        <w:pStyle w:val="ListParagraph"/>
        <w:numPr>
          <w:ilvl w:val="0"/>
          <w:numId w:val="1"/>
        </w:numPr>
        <w:spacing w:after="0"/>
        <w:rPr>
          <w:rFonts w:ascii="Aptos" w:eastAsia="Aptos" w:hAnsi="Aptos" w:cs="Aptos"/>
          <w:sz w:val="20"/>
          <w:szCs w:val="20"/>
        </w:rPr>
      </w:pPr>
      <w:r w:rsidRPr="40F56233">
        <w:rPr>
          <w:rFonts w:ascii="Aptos" w:eastAsia="Aptos" w:hAnsi="Aptos" w:cs="Aptos"/>
          <w:sz w:val="20"/>
          <w:szCs w:val="20"/>
        </w:rPr>
        <w:t>Ensure that Mission North East</w:t>
      </w:r>
      <w:r w:rsidRPr="40F56233">
        <w:rPr>
          <w:rFonts w:ascii="Aptos" w:eastAsia="Aptos" w:hAnsi="Aptos" w:cs="Aptos"/>
          <w:sz w:val="20"/>
          <w:szCs w:val="20"/>
        </w:rPr>
        <w:t xml:space="preserve"> and Coastal, and future similar initiatives, </w:t>
      </w:r>
      <w:r w:rsidRPr="40F56233">
        <w:rPr>
          <w:rFonts w:ascii="Aptos" w:eastAsia="Aptos" w:hAnsi="Aptos" w:cs="Aptos"/>
          <w:sz w:val="20"/>
          <w:szCs w:val="20"/>
        </w:rPr>
        <w:t xml:space="preserve">are designed as long-term, locally led partnerships rather than short-term programmes. </w:t>
      </w:r>
    </w:p>
    <w:p w:rsidR="0054168E">
      <w:pPr>
        <w:pStyle w:val="ListParagraph"/>
        <w:numPr>
          <w:ilvl w:val="0"/>
          <w:numId w:val="1"/>
        </w:numPr>
        <w:spacing w:after="0"/>
        <w:rPr>
          <w:rFonts w:ascii="Aptos" w:eastAsia="Aptos" w:hAnsi="Aptos" w:cs="Aptos"/>
          <w:sz w:val="20"/>
          <w:szCs w:val="20"/>
        </w:rPr>
      </w:pPr>
      <w:r w:rsidRPr="40F56233">
        <w:rPr>
          <w:rFonts w:ascii="Aptos" w:eastAsia="Aptos" w:hAnsi="Aptos" w:cs="Aptos"/>
          <w:sz w:val="20"/>
          <w:szCs w:val="20"/>
        </w:rPr>
        <w:t xml:space="preserve">Government should support better data-sharing, shared outcomes and collective accountability across education, health, social care, local government, youth services and civil society. </w:t>
      </w:r>
    </w:p>
    <w:p w:rsidR="0054168E">
      <w:pPr>
        <w:pStyle w:val="ListParagraph"/>
        <w:numPr>
          <w:ilvl w:val="0"/>
          <w:numId w:val="1"/>
        </w:numPr>
        <w:spacing w:after="0"/>
        <w:rPr>
          <w:rFonts w:ascii="Aptos" w:eastAsia="Aptos" w:hAnsi="Aptos" w:cs="Aptos"/>
          <w:sz w:val="20"/>
          <w:szCs w:val="20"/>
        </w:rPr>
      </w:pPr>
      <w:r w:rsidRPr="40F56233">
        <w:rPr>
          <w:rFonts w:ascii="Aptos" w:eastAsia="Aptos" w:hAnsi="Aptos" w:cs="Aptos"/>
          <w:sz w:val="20"/>
          <w:szCs w:val="20"/>
        </w:rPr>
        <w:t>Use shared outcomes rather than siloed departmental metrics.</w:t>
      </w:r>
      <w:r w:rsidRPr="40F56233">
        <w:rPr>
          <w:rFonts w:ascii="Aptos" w:eastAsia="Aptos" w:hAnsi="Aptos" w:cs="Aptos"/>
          <w:sz w:val="20"/>
          <w:szCs w:val="20"/>
        </w:rPr>
        <w:t xml:space="preserve"> Targets, accountability and e</w:t>
      </w:r>
      <w:r w:rsidRPr="40F56233">
        <w:rPr>
          <w:rFonts w:ascii="Aptos" w:eastAsia="Aptos" w:hAnsi="Aptos" w:cs="Aptos"/>
          <w:sz w:val="20"/>
          <w:szCs w:val="20"/>
        </w:rPr>
        <w:t>valuation should focus on long-term, cross-system outcomes for children and families, including education, wellbeing, health, employment and community participation.</w:t>
      </w:r>
    </w:p>
    <w:p w:rsidR="0054168E" w:rsidP="40F56233">
      <w:pPr>
        <w:spacing w:after="0" w:line="300" w:lineRule="auto"/>
        <w:rPr>
          <w:b/>
          <w:bCs/>
          <w:sz w:val="20"/>
          <w:szCs w:val="20"/>
        </w:rPr>
      </w:pPr>
    </w:p>
    <w:p w:rsidR="0054168E" w:rsidP="40F56233">
      <w:pPr>
        <w:spacing w:after="0" w:line="300" w:lineRule="auto"/>
        <w:rPr>
          <w:b/>
          <w:bCs/>
          <w:sz w:val="20"/>
          <w:szCs w:val="20"/>
        </w:rPr>
      </w:pPr>
    </w:p>
    <w:p w:rsidR="0054168E" w:rsidP="40F56233">
      <w:pPr>
        <w:spacing w:after="0" w:line="300" w:lineRule="auto"/>
        <w:rPr>
          <w:b/>
          <w:bCs/>
          <w:sz w:val="20"/>
          <w:szCs w:val="20"/>
        </w:rPr>
      </w:pPr>
      <w:r w:rsidRPr="40F56233">
        <w:rPr>
          <w:b/>
          <w:bCs/>
          <w:sz w:val="20"/>
          <w:szCs w:val="20"/>
        </w:rPr>
        <w:t>Enrichment, belonging and behaviour</w:t>
      </w:r>
    </w:p>
    <w:p w:rsidR="0054168E" w:rsidP="40F56233">
      <w:pPr>
        <w:spacing w:after="0"/>
        <w:rPr>
          <w:rFonts w:ascii="Aptos" w:eastAsia="Aptos" w:hAnsi="Aptos" w:cs="Aptos"/>
          <w:sz w:val="20"/>
          <w:szCs w:val="20"/>
        </w:rPr>
      </w:pPr>
    </w:p>
    <w:p w:rsidR="0054168E">
      <w:pPr>
        <w:pStyle w:val="ListParagraph"/>
        <w:numPr>
          <w:ilvl w:val="0"/>
          <w:numId w:val="1"/>
        </w:numPr>
        <w:spacing w:after="0"/>
        <w:rPr>
          <w:rFonts w:ascii="Aptos" w:eastAsia="Aptos" w:hAnsi="Aptos" w:cs="Aptos"/>
          <w:sz w:val="20"/>
          <w:szCs w:val="20"/>
        </w:rPr>
      </w:pPr>
      <w:r w:rsidRPr="13F25C85">
        <w:rPr>
          <w:rFonts w:ascii="Aptos" w:eastAsia="Aptos" w:hAnsi="Aptos" w:cs="Aptos"/>
          <w:sz w:val="20"/>
          <w:szCs w:val="20"/>
        </w:rPr>
        <w:t xml:space="preserve">We </w:t>
      </w:r>
      <w:r w:rsidRPr="13F25C85">
        <w:rPr>
          <w:rFonts w:ascii="Aptos" w:eastAsia="Aptos" w:hAnsi="Aptos" w:cs="Aptos"/>
          <w:sz w:val="20"/>
          <w:szCs w:val="20"/>
        </w:rPr>
        <w:t>welcome the White Paper’s commitment to a broader understanding of achievement, including through the proposed Enrichment Framework and Pupil Engagement Framework</w:t>
      </w:r>
      <w:r w:rsidRPr="13F25C85">
        <w:rPr>
          <w:rFonts w:ascii="Aptos" w:eastAsia="Aptos" w:hAnsi="Aptos" w:cs="Aptos"/>
          <w:sz w:val="20"/>
          <w:szCs w:val="20"/>
        </w:rPr>
        <w:t xml:space="preserve"> (PEF)</w:t>
      </w:r>
      <w:r w:rsidRPr="13F25C85">
        <w:rPr>
          <w:rFonts w:ascii="Aptos" w:eastAsia="Aptos" w:hAnsi="Aptos" w:cs="Aptos"/>
          <w:sz w:val="20"/>
          <w:szCs w:val="20"/>
        </w:rPr>
        <w:t>. Activities such as arts, sport, civic engagement, outdoor learning, culture and wider life skills can broaden horizons, build confidence, support wellbeing, develop essential skills and strengthen young people’s connection to school, particularly for pupils from low-income backgrounds who are less likely to access these opportunities outside school.</w:t>
      </w:r>
    </w:p>
    <w:p w:rsidR="0054168E">
      <w:pPr>
        <w:pStyle w:val="ListParagraph"/>
        <w:numPr>
          <w:ilvl w:val="0"/>
          <w:numId w:val="1"/>
        </w:numPr>
        <w:spacing w:after="0"/>
        <w:rPr>
          <w:rFonts w:ascii="Aptos" w:eastAsia="Aptos" w:hAnsi="Aptos" w:cs="Aptos"/>
          <w:sz w:val="20"/>
          <w:szCs w:val="20"/>
        </w:rPr>
      </w:pPr>
      <w:r w:rsidRPr="13F25C85">
        <w:rPr>
          <w:rFonts w:ascii="Aptos" w:eastAsia="Aptos" w:hAnsi="Aptos" w:cs="Aptos"/>
          <w:sz w:val="20"/>
          <w:szCs w:val="20"/>
        </w:rPr>
        <w:t xml:space="preserve">The White Paper’s emphasis on enrichment and pupil engagement is welcome, but the proposals risk being unevenly implemented unless Government gives schools and local partners the capacity to deliver them well. An </w:t>
      </w:r>
      <w:r w:rsidRPr="13F25C85">
        <w:rPr>
          <w:rFonts w:ascii="Aptos" w:eastAsia="Aptos" w:hAnsi="Aptos" w:cs="Aptos"/>
          <w:sz w:val="20"/>
          <w:szCs w:val="20"/>
        </w:rPr>
        <w:t>E</w:t>
      </w:r>
      <w:r w:rsidRPr="13F25C85">
        <w:rPr>
          <w:rFonts w:ascii="Aptos" w:eastAsia="Aptos" w:hAnsi="Aptos" w:cs="Aptos"/>
          <w:sz w:val="20"/>
          <w:szCs w:val="20"/>
        </w:rPr>
        <w:t xml:space="preserve">nrichment </w:t>
      </w:r>
      <w:r w:rsidRPr="13F25C85">
        <w:rPr>
          <w:rFonts w:ascii="Aptos" w:eastAsia="Aptos" w:hAnsi="Aptos" w:cs="Aptos"/>
          <w:sz w:val="20"/>
          <w:szCs w:val="20"/>
        </w:rPr>
        <w:t>E</w:t>
      </w:r>
      <w:r w:rsidRPr="13F25C85">
        <w:rPr>
          <w:rFonts w:ascii="Aptos" w:eastAsia="Aptos" w:hAnsi="Aptos" w:cs="Aptos"/>
          <w:sz w:val="20"/>
          <w:szCs w:val="20"/>
        </w:rPr>
        <w:t xml:space="preserve">ntitlement will not reach the pupils who need it most if it relies </w:t>
      </w:r>
      <w:r w:rsidRPr="13F25C85">
        <w:rPr>
          <w:rFonts w:ascii="Aptos" w:eastAsia="Aptos" w:hAnsi="Aptos" w:cs="Aptos"/>
          <w:sz w:val="20"/>
          <w:szCs w:val="20"/>
        </w:rPr>
        <w:t xml:space="preserve">on schools alone, particularly in areas where youth, cultural, sport and community infrastructure is </w:t>
      </w:r>
      <w:r w:rsidRPr="13F25C85">
        <w:rPr>
          <w:rFonts w:ascii="Aptos" w:eastAsia="Aptos" w:hAnsi="Aptos" w:cs="Aptos"/>
          <w:sz w:val="20"/>
          <w:szCs w:val="20"/>
        </w:rPr>
        <w:t>underdeveloped</w:t>
      </w:r>
      <w:r w:rsidRPr="13F25C85">
        <w:rPr>
          <w:rFonts w:ascii="Aptos" w:eastAsia="Aptos" w:hAnsi="Aptos" w:cs="Aptos"/>
          <w:sz w:val="20"/>
          <w:szCs w:val="20"/>
        </w:rPr>
        <w:t xml:space="preserve">. </w:t>
      </w:r>
    </w:p>
    <w:p w:rsidR="0054168E">
      <w:pPr>
        <w:pStyle w:val="ListParagraph"/>
        <w:numPr>
          <w:ilvl w:val="0"/>
          <w:numId w:val="1"/>
        </w:numPr>
        <w:spacing w:after="0"/>
        <w:rPr>
          <w:rFonts w:ascii="Aptos" w:eastAsia="Aptos" w:hAnsi="Aptos" w:cs="Aptos"/>
          <w:sz w:val="20"/>
          <w:szCs w:val="20"/>
        </w:rPr>
      </w:pPr>
      <w:r w:rsidRPr="13F25C85">
        <w:rPr>
          <w:rFonts w:ascii="Aptos" w:eastAsia="Aptos" w:hAnsi="Aptos" w:cs="Aptos"/>
          <w:sz w:val="20"/>
          <w:szCs w:val="20"/>
        </w:rPr>
        <w:t xml:space="preserve">Similarly, the </w:t>
      </w:r>
      <w:r w:rsidRPr="13F25C85">
        <w:rPr>
          <w:rFonts w:ascii="Aptos" w:eastAsia="Aptos" w:hAnsi="Aptos" w:cs="Aptos"/>
          <w:sz w:val="20"/>
          <w:szCs w:val="20"/>
        </w:rPr>
        <w:t>PEF</w:t>
      </w:r>
      <w:r w:rsidRPr="13F25C85">
        <w:rPr>
          <w:rFonts w:ascii="Aptos" w:eastAsia="Aptos" w:hAnsi="Aptos" w:cs="Aptos"/>
          <w:sz w:val="20"/>
          <w:szCs w:val="20"/>
        </w:rPr>
        <w:t xml:space="preserve"> will only be valuable if it captures a rounded picture of young people’s lives, including wellbeing, safety, family support and access to opportunities beyond school. </w:t>
      </w:r>
      <w:r w:rsidRPr="13F25C85">
        <w:rPr>
          <w:rFonts w:ascii="Aptos" w:eastAsia="Aptos" w:hAnsi="Aptos" w:cs="Aptos"/>
          <w:sz w:val="20"/>
          <w:szCs w:val="20"/>
        </w:rPr>
        <w:t>It is vital that t</w:t>
      </w:r>
      <w:r w:rsidRPr="13F25C85">
        <w:rPr>
          <w:rFonts w:ascii="Aptos" w:eastAsia="Aptos" w:hAnsi="Aptos" w:cs="Aptos"/>
          <w:sz w:val="20"/>
          <w:szCs w:val="20"/>
        </w:rPr>
        <w:t xml:space="preserve">he PEF includes mental health and wellbeing, is universally adopted, has standardised questions and national aggregation of data. The FEA is a member of the </w:t>
      </w:r>
      <w:r>
        <w:fldChar w:fldCharType="begin"/>
      </w:r>
      <w:r>
        <w:instrText xml:space="preserve"> HYPERLINK "https://www.ourwellbeingourvoice.org/" </w:instrText>
      </w:r>
      <w:r>
        <w:fldChar w:fldCharType="separate"/>
      </w:r>
      <w:r w:rsidRPr="13F25C85">
        <w:rPr>
          <w:rStyle w:val="Hyperlink"/>
          <w:sz w:val="20"/>
          <w:szCs w:val="20"/>
        </w:rPr>
        <w:t>Our Wellbeing Our Voice</w:t>
      </w:r>
      <w:r>
        <w:fldChar w:fldCharType="end"/>
      </w:r>
      <w:r w:rsidRPr="13F25C85">
        <w:rPr>
          <w:rFonts w:ascii="Aptos" w:eastAsia="Aptos" w:hAnsi="Aptos" w:cs="Aptos"/>
          <w:sz w:val="20"/>
          <w:szCs w:val="20"/>
        </w:rPr>
        <w:t xml:space="preserve"> campaign and advocate for </w:t>
      </w:r>
      <w:r w:rsidRPr="13F25C85">
        <w:rPr>
          <w:rFonts w:ascii="Aptos" w:eastAsia="Aptos" w:hAnsi="Aptos" w:cs="Aptos"/>
          <w:sz w:val="20"/>
          <w:szCs w:val="20"/>
        </w:rPr>
        <w:t xml:space="preserve">a national pupil wellbeing measurement programme. </w:t>
      </w:r>
    </w:p>
    <w:p w:rsidR="0054168E" w:rsidP="40F56233">
      <w:pPr>
        <w:spacing w:after="0"/>
        <w:rPr>
          <w:rFonts w:ascii="Aptos" w:eastAsia="Aptos" w:hAnsi="Aptos" w:cs="Aptos"/>
          <w:sz w:val="20"/>
          <w:szCs w:val="20"/>
        </w:rPr>
      </w:pPr>
    </w:p>
    <w:p w:rsidR="0054168E" w:rsidP="40F56233">
      <w:pPr>
        <w:spacing w:after="0"/>
        <w:rPr>
          <w:rFonts w:ascii="Aptos" w:eastAsia="Aptos" w:hAnsi="Aptos" w:cs="Aptos"/>
          <w:sz w:val="20"/>
          <w:szCs w:val="20"/>
        </w:rPr>
      </w:pPr>
    </w:p>
    <w:p w:rsidR="0054168E" w:rsidP="40F56233">
      <w:pPr>
        <w:spacing w:after="0"/>
        <w:rPr>
          <w:rFonts w:ascii="Aptos" w:eastAsia="Aptos" w:hAnsi="Aptos" w:cs="Aptos"/>
          <w:b/>
          <w:bCs/>
          <w:sz w:val="20"/>
          <w:szCs w:val="20"/>
        </w:rPr>
      </w:pPr>
      <w:r w:rsidRPr="40F56233">
        <w:rPr>
          <w:rFonts w:ascii="Aptos" w:eastAsia="Aptos" w:hAnsi="Aptos" w:cs="Aptos"/>
          <w:b/>
          <w:bCs/>
          <w:sz w:val="20"/>
          <w:szCs w:val="20"/>
        </w:rPr>
        <w:t>Recommendations</w:t>
      </w:r>
    </w:p>
    <w:p w:rsidR="0054168E" w:rsidP="40F56233">
      <w:pPr>
        <w:spacing w:after="0"/>
        <w:rPr>
          <w:rFonts w:ascii="Aptos" w:eastAsia="Aptos" w:hAnsi="Aptos" w:cs="Aptos"/>
          <w:sz w:val="20"/>
          <w:szCs w:val="20"/>
        </w:rPr>
      </w:pPr>
    </w:p>
    <w:p w:rsidR="0054168E">
      <w:pPr>
        <w:pStyle w:val="ListParagraph"/>
        <w:numPr>
          <w:ilvl w:val="0"/>
          <w:numId w:val="1"/>
        </w:numPr>
        <w:spacing w:after="0"/>
        <w:rPr>
          <w:rFonts w:ascii="Aptos" w:eastAsia="Aptos" w:hAnsi="Aptos" w:cs="Aptos"/>
          <w:sz w:val="20"/>
          <w:szCs w:val="20"/>
        </w:rPr>
      </w:pPr>
      <w:r w:rsidRPr="40F56233">
        <w:rPr>
          <w:rFonts w:ascii="Aptos" w:eastAsia="Aptos" w:hAnsi="Aptos" w:cs="Aptos"/>
          <w:sz w:val="20"/>
          <w:szCs w:val="20"/>
        </w:rPr>
        <w:t>Government should provide practical support, guidance and funding so that enrichment is embedded in the school offer and reaches those least likely to access it outside school.</w:t>
      </w:r>
      <w:r w:rsidRPr="40F56233">
        <w:rPr>
          <w:rFonts w:ascii="Aptos" w:eastAsia="Aptos" w:hAnsi="Aptos" w:cs="Aptos"/>
          <w:sz w:val="20"/>
          <w:szCs w:val="20"/>
        </w:rPr>
        <w:t xml:space="preserve"> The Government should test models for brokerage capacity, either in schools, local authorities or local partnerships, so that the local enrichment offer is visible, accessible and responsive to gaps.</w:t>
      </w:r>
      <w:r w:rsidRPr="40F56233">
        <w:rPr>
          <w:rFonts w:ascii="Aptos" w:eastAsia="Aptos" w:hAnsi="Aptos" w:cs="Aptos"/>
          <w:sz w:val="20"/>
          <w:szCs w:val="20"/>
        </w:rPr>
        <w:t xml:space="preserve"> </w:t>
      </w:r>
      <w:r w:rsidRPr="40F56233">
        <w:rPr>
          <w:rFonts w:ascii="Aptos" w:eastAsia="Aptos" w:hAnsi="Aptos" w:cs="Aptos"/>
          <w:sz w:val="20"/>
          <w:szCs w:val="20"/>
        </w:rPr>
        <w:t xml:space="preserve"> </w:t>
      </w:r>
    </w:p>
    <w:p w:rsidR="0054168E">
      <w:pPr>
        <w:pStyle w:val="ListParagraph"/>
        <w:numPr>
          <w:ilvl w:val="0"/>
          <w:numId w:val="1"/>
        </w:numPr>
        <w:spacing w:after="0"/>
        <w:rPr>
          <w:rFonts w:ascii="Aptos" w:eastAsia="Aptos" w:hAnsi="Aptos" w:cs="Aptos"/>
          <w:sz w:val="20"/>
          <w:szCs w:val="20"/>
        </w:rPr>
      </w:pPr>
      <w:r w:rsidRPr="40F56233">
        <w:rPr>
          <w:rFonts w:ascii="Aptos" w:eastAsia="Aptos" w:hAnsi="Aptos" w:cs="Aptos"/>
          <w:sz w:val="20"/>
          <w:szCs w:val="20"/>
        </w:rPr>
        <w:t>Align DfE, DCMS and civil society around a shared definition of enrichment.  This should include arts and culture, sport and physical activity, civic engagement, nature and outdoor learning, and wider life skills.</w:t>
      </w:r>
    </w:p>
    <w:p w:rsidR="0054168E">
      <w:pPr>
        <w:pStyle w:val="ListParagraph"/>
        <w:numPr>
          <w:ilvl w:val="0"/>
          <w:numId w:val="1"/>
        </w:numPr>
        <w:spacing w:after="0"/>
        <w:rPr>
          <w:rFonts w:ascii="Aptos" w:eastAsia="Aptos" w:hAnsi="Aptos" w:cs="Aptos"/>
          <w:sz w:val="20"/>
          <w:szCs w:val="20"/>
        </w:rPr>
      </w:pPr>
      <w:r w:rsidRPr="40F56233">
        <w:rPr>
          <w:rFonts w:ascii="Aptos" w:eastAsia="Aptos" w:hAnsi="Aptos" w:cs="Aptos"/>
          <w:sz w:val="20"/>
          <w:szCs w:val="20"/>
        </w:rPr>
        <w:t>Measure enrichment directly, not mainly through proxies such as attendance.  Measures should cover participation and inclusion, quality of provision, outcomes for young people and wider social outcomes.</w:t>
      </w:r>
    </w:p>
    <w:p w:rsidR="0054168E">
      <w:pPr>
        <w:pStyle w:val="ListParagraph"/>
        <w:numPr>
          <w:ilvl w:val="0"/>
          <w:numId w:val="1"/>
        </w:numPr>
        <w:spacing w:after="0"/>
        <w:rPr>
          <w:rFonts w:ascii="Aptos" w:eastAsia="Aptos" w:hAnsi="Aptos" w:cs="Aptos"/>
          <w:sz w:val="20"/>
          <w:szCs w:val="20"/>
        </w:rPr>
      </w:pPr>
      <w:r w:rsidRPr="40F56233">
        <w:rPr>
          <w:rFonts w:ascii="Aptos" w:eastAsia="Aptos" w:hAnsi="Aptos" w:cs="Aptos"/>
          <w:sz w:val="20"/>
          <w:szCs w:val="20"/>
        </w:rPr>
        <w:t>Run a national test-and-learn phase for enrichment implementation.  This should begin with the Enrichment Expansion Programme and gather evidence on school-led and partnership-led models before national roll-out.</w:t>
      </w:r>
    </w:p>
    <w:p w:rsidR="0054168E">
      <w:pPr>
        <w:pStyle w:val="ListParagraph"/>
        <w:numPr>
          <w:ilvl w:val="0"/>
          <w:numId w:val="1"/>
        </w:numPr>
        <w:spacing w:after="0"/>
        <w:rPr>
          <w:rFonts w:ascii="Aptos" w:eastAsia="Aptos" w:hAnsi="Aptos" w:cs="Aptos"/>
          <w:sz w:val="20"/>
          <w:szCs w:val="20"/>
        </w:rPr>
      </w:pPr>
      <w:r w:rsidRPr="40F56233">
        <w:rPr>
          <w:rFonts w:ascii="Aptos" w:eastAsia="Aptos" w:hAnsi="Aptos" w:cs="Aptos"/>
          <w:sz w:val="20"/>
          <w:szCs w:val="20"/>
        </w:rPr>
        <w:t>Phase accountability for enrichment benchmarks.  Ofsted and the wider accountability system should use the first year to learn from implementation, with formal assessment against benchmarks beginning in year two.</w:t>
      </w:r>
    </w:p>
    <w:p w:rsidR="0054168E">
      <w:pPr>
        <w:pStyle w:val="ListParagraph"/>
        <w:numPr>
          <w:ilvl w:val="0"/>
          <w:numId w:val="1"/>
        </w:numPr>
        <w:spacing w:after="0"/>
        <w:rPr>
          <w:rFonts w:ascii="Aptos" w:eastAsia="Aptos" w:hAnsi="Aptos" w:cs="Aptos"/>
          <w:sz w:val="20"/>
          <w:szCs w:val="20"/>
        </w:rPr>
      </w:pPr>
      <w:r w:rsidRPr="13F25C85">
        <w:rPr>
          <w:rFonts w:ascii="Aptos" w:eastAsia="Aptos" w:hAnsi="Aptos" w:cs="Aptos"/>
          <w:sz w:val="20"/>
          <w:szCs w:val="20"/>
        </w:rPr>
        <w:t>The</w:t>
      </w:r>
      <w:r w:rsidRPr="13F25C85">
        <w:rPr>
          <w:rFonts w:ascii="Aptos" w:eastAsia="Aptos" w:hAnsi="Aptos" w:cs="Aptos"/>
          <w:sz w:val="20"/>
          <w:szCs w:val="20"/>
        </w:rPr>
        <w:t xml:space="preserve"> </w:t>
      </w:r>
      <w:r w:rsidRPr="13F25C85">
        <w:rPr>
          <w:rFonts w:ascii="Aptos" w:eastAsia="Aptos" w:hAnsi="Aptos" w:cs="Aptos"/>
          <w:sz w:val="20"/>
          <w:szCs w:val="20"/>
        </w:rPr>
        <w:t xml:space="preserve">PEF </w:t>
      </w:r>
      <w:r w:rsidRPr="13F25C85">
        <w:rPr>
          <w:rFonts w:ascii="Aptos" w:eastAsia="Aptos" w:hAnsi="Aptos" w:cs="Aptos"/>
          <w:sz w:val="20"/>
          <w:szCs w:val="20"/>
        </w:rPr>
        <w:t>should go further by forming the basis of a national wellbeing</w:t>
      </w:r>
      <w:r w:rsidRPr="13F25C85">
        <w:rPr>
          <w:rFonts w:ascii="Aptos" w:eastAsia="Aptos" w:hAnsi="Aptos" w:cs="Aptos"/>
          <w:sz w:val="20"/>
          <w:szCs w:val="20"/>
        </w:rPr>
        <w:t xml:space="preserve"> measurement programme for school-age children. This should include a consistent set of core questions used by all schools, including on mental health and wellbeing, while allowing local flexibility. It should also capture factors beyond school, such as poverty, safety, family support, access to nature and access to enrichment.</w:t>
      </w:r>
      <w:r w:rsidRPr="13F25C85">
        <w:rPr>
          <w:rFonts w:ascii="Aptos" w:eastAsia="Aptos" w:hAnsi="Aptos" w:cs="Aptos"/>
          <w:sz w:val="20"/>
          <w:szCs w:val="20"/>
        </w:rPr>
        <w:t xml:space="preserve"> It must be </w:t>
      </w:r>
      <w:r w:rsidRPr="13F25C85">
        <w:rPr>
          <w:rFonts w:ascii="Aptos" w:eastAsia="Aptos" w:hAnsi="Aptos" w:cs="Aptos"/>
          <w:sz w:val="20"/>
          <w:szCs w:val="20"/>
        </w:rPr>
        <w:t>youth-centred, locally owned and improvement-focused.</w:t>
      </w:r>
      <w:r w:rsidRPr="13F25C85">
        <w:rPr>
          <w:rFonts w:ascii="Aptos" w:eastAsia="Aptos" w:hAnsi="Aptos" w:cs="Aptos"/>
          <w:b/>
          <w:bCs/>
          <w:sz w:val="20"/>
          <w:szCs w:val="20"/>
        </w:rPr>
        <w:t xml:space="preserve"> </w:t>
      </w:r>
      <w:r w:rsidRPr="13F25C85">
        <w:rPr>
          <w:rFonts w:ascii="Aptos" w:eastAsia="Aptos" w:hAnsi="Aptos" w:cs="Aptos"/>
          <w:sz w:val="20"/>
          <w:szCs w:val="20"/>
        </w:rPr>
        <w:t xml:space="preserve"> </w:t>
      </w:r>
    </w:p>
    <w:p w:rsidR="0054168E" w:rsidP="40F56233">
      <w:pPr>
        <w:rPr>
          <w:rFonts w:ascii="Aptos" w:eastAsia="Aptos" w:hAnsi="Aptos" w:cs="Aptos"/>
          <w:b/>
          <w:bCs/>
          <w:sz w:val="20"/>
          <w:szCs w:val="20"/>
        </w:rPr>
      </w:pPr>
    </w:p>
    <w:p w:rsidR="0054168E" w:rsidP="13F25C85">
      <w:pPr>
        <w:rPr>
          <w:rFonts w:ascii="Aptos" w:eastAsia="Aptos" w:hAnsi="Aptos" w:cs="Aptos"/>
          <w:b/>
          <w:bCs/>
          <w:sz w:val="20"/>
          <w:szCs w:val="20"/>
        </w:rPr>
      </w:pPr>
      <w:r w:rsidRPr="13F25C85">
        <w:rPr>
          <w:rFonts w:ascii="Aptos" w:eastAsia="Aptos" w:hAnsi="Aptos" w:cs="Aptos"/>
          <w:b/>
          <w:bCs/>
          <w:sz w:val="20"/>
          <w:szCs w:val="20"/>
        </w:rPr>
        <w:t>Workforce reforms</w:t>
      </w:r>
    </w:p>
    <w:p w:rsidR="0054168E">
      <w:pPr>
        <w:pStyle w:val="ListParagraph"/>
        <w:numPr>
          <w:ilvl w:val="0"/>
          <w:numId w:val="1"/>
        </w:numPr>
        <w:rPr>
          <w:rFonts w:ascii="Aptos" w:eastAsia="Aptos" w:hAnsi="Aptos" w:cs="Aptos"/>
          <w:sz w:val="20"/>
          <w:szCs w:val="20"/>
        </w:rPr>
      </w:pPr>
      <w:r w:rsidRPr="13F25C85">
        <w:rPr>
          <w:rFonts w:ascii="Aptos" w:eastAsia="Aptos" w:hAnsi="Aptos" w:cs="Aptos"/>
          <w:sz w:val="20"/>
          <w:szCs w:val="20"/>
        </w:rPr>
        <w:t xml:space="preserve">We </w:t>
      </w:r>
      <w:r w:rsidRPr="13F25C85">
        <w:rPr>
          <w:rFonts w:ascii="Aptos" w:eastAsia="Aptos" w:hAnsi="Aptos" w:cs="Aptos"/>
          <w:sz w:val="20"/>
          <w:szCs w:val="20"/>
        </w:rPr>
        <w:t xml:space="preserve">welcome the Government’s focus on workforce reform, including the target to recruit 6,500 additional teachers, new retention measures, improved maternity pay, the School Support Staff Negotiating Body, expanded professional development, leadership support, and training on digital technology and AI. The White Paper is right to recognise that high-quality teaching </w:t>
      </w:r>
      <w:r w:rsidRPr="13F25C85">
        <w:rPr>
          <w:rFonts w:ascii="Aptos" w:eastAsia="Aptos" w:hAnsi="Aptos" w:cs="Aptos"/>
          <w:sz w:val="20"/>
          <w:szCs w:val="20"/>
        </w:rPr>
        <w:t xml:space="preserve">and workforce stability are </w:t>
      </w:r>
      <w:r w:rsidRPr="13F25C85">
        <w:rPr>
          <w:rFonts w:ascii="Aptos" w:eastAsia="Aptos" w:hAnsi="Aptos" w:cs="Aptos"/>
          <w:sz w:val="20"/>
          <w:szCs w:val="20"/>
        </w:rPr>
        <w:t xml:space="preserve">important in </w:t>
      </w:r>
      <w:r w:rsidRPr="13F25C85">
        <w:rPr>
          <w:rFonts w:ascii="Aptos" w:eastAsia="Aptos" w:hAnsi="Aptos" w:cs="Aptos"/>
          <w:sz w:val="20"/>
          <w:szCs w:val="20"/>
        </w:rPr>
        <w:t>raising attainment and narrowing disadvantage gaps</w:t>
      </w:r>
      <w:r w:rsidRPr="13F25C85">
        <w:rPr>
          <w:rFonts w:ascii="Aptos" w:eastAsia="Aptos" w:hAnsi="Aptos" w:cs="Aptos"/>
          <w:sz w:val="20"/>
          <w:szCs w:val="20"/>
        </w:rPr>
        <w:t>.</w:t>
      </w:r>
    </w:p>
    <w:p w:rsidR="0054168E">
      <w:pPr>
        <w:pStyle w:val="ListParagraph"/>
        <w:numPr>
          <w:ilvl w:val="0"/>
          <w:numId w:val="1"/>
        </w:numPr>
        <w:rPr>
          <w:rFonts w:ascii="Aptos" w:eastAsia="Aptos" w:hAnsi="Aptos" w:cs="Aptos"/>
          <w:sz w:val="20"/>
          <w:szCs w:val="20"/>
        </w:rPr>
      </w:pPr>
      <w:r w:rsidRPr="13F25C85">
        <w:rPr>
          <w:rFonts w:ascii="Aptos" w:eastAsia="Aptos" w:hAnsi="Aptos" w:cs="Aptos"/>
          <w:sz w:val="20"/>
          <w:szCs w:val="20"/>
        </w:rPr>
        <w:t xml:space="preserve">However, </w:t>
      </w:r>
      <w:r w:rsidRPr="13F25C85">
        <w:rPr>
          <w:rFonts w:ascii="Aptos" w:eastAsia="Aptos" w:hAnsi="Aptos" w:cs="Aptos"/>
          <w:sz w:val="20"/>
          <w:szCs w:val="20"/>
        </w:rPr>
        <w:t>a</w:t>
      </w:r>
      <w:r w:rsidRPr="13F25C85">
        <w:rPr>
          <w:rFonts w:ascii="Aptos" w:eastAsia="Aptos" w:hAnsi="Aptos" w:cs="Aptos"/>
          <w:sz w:val="20"/>
          <w:szCs w:val="20"/>
        </w:rPr>
        <w:t xml:space="preserve"> key test of the Government’s workforce reforms </w:t>
      </w:r>
      <w:r w:rsidRPr="13F25C85">
        <w:rPr>
          <w:rFonts w:ascii="Aptos" w:eastAsia="Aptos" w:hAnsi="Aptos" w:cs="Aptos"/>
          <w:sz w:val="20"/>
          <w:szCs w:val="20"/>
        </w:rPr>
        <w:t>i</w:t>
      </w:r>
      <w:r w:rsidRPr="13F25C85">
        <w:rPr>
          <w:rFonts w:ascii="Aptos" w:eastAsia="Aptos" w:hAnsi="Aptos" w:cs="Aptos"/>
          <w:sz w:val="20"/>
          <w:szCs w:val="20"/>
        </w:rPr>
        <w:t>s whether schools and colleges serving low-income communities can recruit, retain and develop the skilled staff they need</w:t>
      </w:r>
      <w:r w:rsidRPr="13F25C85">
        <w:rPr>
          <w:rFonts w:ascii="Aptos" w:eastAsia="Aptos" w:hAnsi="Aptos" w:cs="Aptos"/>
          <w:sz w:val="20"/>
          <w:szCs w:val="20"/>
        </w:rPr>
        <w:t xml:space="preserve">. </w:t>
      </w:r>
      <w:r>
        <w:fldChar w:fldCharType="begin"/>
      </w:r>
      <w:r>
        <w:instrText xml:space="preserve"> HYPERLINK "https://www.nfer.ac.uk/media/afsn0rmb/teacher_labour_market_in_england_annual_report_2025.pdf" </w:instrText>
      </w:r>
      <w:r>
        <w:fldChar w:fldCharType="separate"/>
      </w:r>
      <w:r w:rsidRPr="13F25C85">
        <w:rPr>
          <w:rStyle w:val="Hyperlink"/>
          <w:sz w:val="20"/>
          <w:szCs w:val="20"/>
        </w:rPr>
        <w:t>Attrition, vacancies</w:t>
      </w:r>
      <w:r>
        <w:fldChar w:fldCharType="end"/>
      </w:r>
      <w:r w:rsidRPr="13F25C85">
        <w:rPr>
          <w:rFonts w:ascii="Aptos" w:eastAsia="Aptos" w:hAnsi="Aptos" w:cs="Aptos"/>
          <w:sz w:val="20"/>
          <w:szCs w:val="20"/>
        </w:rPr>
        <w:t xml:space="preserve">, non-specialist teaching and supply costs remain most acute in schools serving pupils </w:t>
      </w:r>
      <w:r w:rsidRPr="13F25C85">
        <w:rPr>
          <w:rFonts w:ascii="Aptos" w:eastAsia="Aptos" w:hAnsi="Aptos" w:cs="Aptos"/>
          <w:sz w:val="20"/>
          <w:szCs w:val="20"/>
        </w:rPr>
        <w:t>from low-income households</w:t>
      </w:r>
      <w:r>
        <w:rPr>
          <w:rStyle w:val="FootnoteReference"/>
          <w:rFonts w:ascii="Aptos" w:eastAsia="Aptos" w:hAnsi="Aptos" w:cs="Aptos"/>
          <w:sz w:val="20"/>
          <w:szCs w:val="20"/>
        </w:rPr>
        <w:footnoteReference w:id="11"/>
      </w:r>
      <w:r w:rsidRPr="13F25C85">
        <w:rPr>
          <w:rFonts w:ascii="Aptos" w:eastAsia="Aptos" w:hAnsi="Aptos" w:cs="Aptos"/>
          <w:sz w:val="20"/>
          <w:szCs w:val="20"/>
        </w:rPr>
        <w:t>, and workforce challenges are even more severe in further education. This means that pupils who would benefit most from expert, stable teaching are often least likely to receive it.</w:t>
      </w:r>
    </w:p>
    <w:p w:rsidR="0054168E">
      <w:pPr>
        <w:pStyle w:val="ListParagraph"/>
        <w:numPr>
          <w:ilvl w:val="0"/>
          <w:numId w:val="1"/>
        </w:numPr>
        <w:rPr>
          <w:rFonts w:ascii="Aptos" w:eastAsia="Aptos" w:hAnsi="Aptos" w:cs="Aptos"/>
          <w:sz w:val="20"/>
          <w:szCs w:val="20"/>
        </w:rPr>
      </w:pPr>
      <w:r w:rsidRPr="40F56233">
        <w:rPr>
          <w:rFonts w:ascii="Aptos" w:eastAsia="Aptos" w:hAnsi="Aptos" w:cs="Aptos"/>
          <w:sz w:val="20"/>
          <w:szCs w:val="20"/>
        </w:rPr>
        <w:t>We are</w:t>
      </w:r>
      <w:r w:rsidRPr="40F56233">
        <w:rPr>
          <w:rFonts w:ascii="Aptos" w:eastAsia="Aptos" w:hAnsi="Aptos" w:cs="Aptos"/>
          <w:sz w:val="20"/>
          <w:szCs w:val="20"/>
        </w:rPr>
        <w:t xml:space="preserve"> concerned that the White Paper does not yet sufficiently recognise the complexity of work in underserved communities. Staff in these schools and colleges are often dealing with the effects of poverty, gaps in wider services, unmet or unidentified additional needs, and high levels of family stress. This increases workload and emotional demand, while cuts to support staff place further pressure on teachers and remaining staff. Workforce reform should therefore be understood as an equity issue: attracting and</w:t>
      </w:r>
      <w:r w:rsidRPr="40F56233">
        <w:rPr>
          <w:rFonts w:ascii="Aptos" w:eastAsia="Aptos" w:hAnsi="Aptos" w:cs="Aptos"/>
          <w:sz w:val="20"/>
          <w:szCs w:val="20"/>
        </w:rPr>
        <w:t xml:space="preserve"> retaining skilled staff in high-</w:t>
      </w:r>
      <w:r w:rsidRPr="40F56233">
        <w:rPr>
          <w:rFonts w:ascii="Aptos" w:eastAsia="Aptos" w:hAnsi="Aptos" w:cs="Aptos"/>
          <w:sz w:val="20"/>
          <w:szCs w:val="20"/>
        </w:rPr>
        <w:t>need areas is essential to closing attainment, attendance, wellbeing and progression gaps.</w:t>
      </w:r>
    </w:p>
    <w:p w:rsidR="0054168E">
      <w:pPr>
        <w:pStyle w:val="ListParagraph"/>
        <w:numPr>
          <w:ilvl w:val="0"/>
          <w:numId w:val="1"/>
        </w:numPr>
        <w:rPr>
          <w:rFonts w:ascii="Aptos" w:eastAsia="Aptos" w:hAnsi="Aptos" w:cs="Aptos"/>
          <w:sz w:val="20"/>
          <w:szCs w:val="20"/>
        </w:rPr>
      </w:pPr>
      <w:r w:rsidRPr="13F25C85">
        <w:rPr>
          <w:rFonts w:ascii="Aptos" w:eastAsia="Aptos" w:hAnsi="Aptos" w:cs="Aptos"/>
          <w:sz w:val="20"/>
          <w:szCs w:val="20"/>
        </w:rPr>
        <w:t xml:space="preserve">Support staff play a vital role in pastoral care, attendance, family engagement, SEND support, behaviour, safeguarding and pupils’ sense of belonging. They are also well placed to provide the trusted adult relationships that are protective for vulnerable young people. Yet </w:t>
      </w:r>
      <w:r>
        <w:fldChar w:fldCharType="begin"/>
      </w:r>
      <w:r>
        <w:instrText xml:space="preserve"> HYPERLINK "https://www.nfer.ac.uk/publications/the-school-support-staff-workforce-in-england-annual-report-2026/" </w:instrText>
      </w:r>
      <w:r>
        <w:fldChar w:fldCharType="separate"/>
      </w:r>
      <w:r w:rsidRPr="13F25C85">
        <w:rPr>
          <w:rStyle w:val="Hyperlink"/>
          <w:sz w:val="20"/>
          <w:szCs w:val="20"/>
        </w:rPr>
        <w:t>too often these roles are underdeveloped, under-supported and under-recognised</w:t>
      </w:r>
      <w:r>
        <w:fldChar w:fldCharType="end"/>
      </w:r>
      <w:r w:rsidRPr="13F25C85">
        <w:rPr>
          <w:rFonts w:ascii="Aptos" w:eastAsia="Aptos" w:hAnsi="Aptos" w:cs="Aptos"/>
          <w:sz w:val="20"/>
          <w:szCs w:val="20"/>
        </w:rPr>
        <w:t xml:space="preserve"> and the White Paper could have gone further to correct this</w:t>
      </w:r>
      <w:r>
        <w:rPr>
          <w:rStyle w:val="FootnoteReference"/>
          <w:rFonts w:ascii="Aptos" w:eastAsia="Aptos" w:hAnsi="Aptos" w:cs="Aptos"/>
          <w:sz w:val="20"/>
          <w:szCs w:val="20"/>
        </w:rPr>
        <w:footnoteReference w:id="12"/>
      </w:r>
      <w:r w:rsidRPr="13F25C85">
        <w:rPr>
          <w:rFonts w:ascii="Aptos" w:eastAsia="Aptos" w:hAnsi="Aptos" w:cs="Aptos"/>
          <w:sz w:val="20"/>
          <w:szCs w:val="20"/>
        </w:rPr>
        <w:t xml:space="preserve">. </w:t>
      </w:r>
    </w:p>
    <w:p w:rsidR="0054168E">
      <w:pPr>
        <w:pStyle w:val="ListParagraph"/>
        <w:numPr>
          <w:ilvl w:val="0"/>
          <w:numId w:val="1"/>
        </w:numPr>
        <w:rPr>
          <w:rFonts w:ascii="Aptos" w:eastAsia="Aptos" w:hAnsi="Aptos" w:cs="Aptos"/>
          <w:sz w:val="20"/>
          <w:szCs w:val="20"/>
        </w:rPr>
      </w:pPr>
      <w:r w:rsidRPr="13F25C85">
        <w:rPr>
          <w:rFonts w:ascii="Aptos" w:eastAsia="Aptos" w:hAnsi="Aptos" w:cs="Aptos"/>
          <w:sz w:val="20"/>
          <w:szCs w:val="20"/>
        </w:rPr>
        <w:t xml:space="preserve">The White Paper could </w:t>
      </w:r>
      <w:r w:rsidRPr="13F25C85">
        <w:rPr>
          <w:rFonts w:ascii="Aptos" w:eastAsia="Aptos" w:hAnsi="Aptos" w:cs="Aptos"/>
          <w:sz w:val="20"/>
          <w:szCs w:val="20"/>
        </w:rPr>
        <w:t xml:space="preserve">also </w:t>
      </w:r>
      <w:r w:rsidRPr="13F25C85">
        <w:rPr>
          <w:rFonts w:ascii="Aptos" w:eastAsia="Aptos" w:hAnsi="Aptos" w:cs="Aptos"/>
          <w:sz w:val="20"/>
          <w:szCs w:val="20"/>
        </w:rPr>
        <w:t xml:space="preserve">have </w:t>
      </w:r>
      <w:r w:rsidRPr="13F25C85">
        <w:rPr>
          <w:rFonts w:ascii="Aptos" w:eastAsia="Aptos" w:hAnsi="Aptos" w:cs="Aptos"/>
          <w:sz w:val="20"/>
          <w:szCs w:val="20"/>
        </w:rPr>
        <w:t>made</w:t>
      </w:r>
      <w:r w:rsidRPr="13F25C85">
        <w:rPr>
          <w:rFonts w:ascii="Aptos" w:eastAsia="Aptos" w:hAnsi="Aptos" w:cs="Aptos"/>
          <w:sz w:val="20"/>
          <w:szCs w:val="20"/>
        </w:rPr>
        <w:t xml:space="preserve"> greater provision to </w:t>
      </w:r>
      <w:r w:rsidRPr="13F25C85">
        <w:rPr>
          <w:rFonts w:ascii="Aptos" w:eastAsia="Aptos" w:hAnsi="Aptos" w:cs="Aptos"/>
          <w:sz w:val="20"/>
          <w:szCs w:val="20"/>
        </w:rPr>
        <w:t>grow local routes into the school and college workforce. Recruitment and retention challenges vary significantly between localities, and barriers to working in underserved schools may be lower for people already living in those communities. The teaching degree apprenticeship and other earn-while-you-train routes could help more support staff progress into teaching, especially in areas where graduate supply and access to initial teacher training are limited.</w:t>
      </w:r>
    </w:p>
    <w:p w:rsidR="0054168E" w:rsidP="40F56233">
      <w:pPr>
        <w:rPr>
          <w:rFonts w:ascii="Aptos" w:eastAsia="Aptos" w:hAnsi="Aptos" w:cs="Aptos"/>
          <w:b/>
          <w:bCs/>
          <w:sz w:val="20"/>
          <w:szCs w:val="20"/>
        </w:rPr>
      </w:pPr>
      <w:r w:rsidRPr="40F56233">
        <w:rPr>
          <w:rFonts w:ascii="Aptos" w:eastAsia="Aptos" w:hAnsi="Aptos" w:cs="Aptos"/>
          <w:b/>
          <w:bCs/>
          <w:sz w:val="20"/>
          <w:szCs w:val="20"/>
        </w:rPr>
        <w:t>Recommendations</w:t>
      </w:r>
    </w:p>
    <w:p w:rsidR="0054168E">
      <w:pPr>
        <w:pStyle w:val="ListParagraph"/>
        <w:numPr>
          <w:ilvl w:val="0"/>
          <w:numId w:val="1"/>
        </w:numPr>
        <w:rPr>
          <w:rFonts w:ascii="Aptos" w:eastAsia="Aptos" w:hAnsi="Aptos" w:cs="Aptos"/>
          <w:sz w:val="20"/>
          <w:szCs w:val="20"/>
        </w:rPr>
      </w:pPr>
      <w:r w:rsidRPr="40F56233">
        <w:rPr>
          <w:rFonts w:ascii="Aptos" w:eastAsia="Aptos" w:hAnsi="Aptos" w:cs="Aptos"/>
          <w:sz w:val="20"/>
          <w:szCs w:val="20"/>
        </w:rPr>
        <w:t>Judge workforce reforms by their impact in high-need schools and colleges. The Government should monitor whether recruitment and retention improvements are reaching schools and colleges serving low-income communities, not only whether national targets are met.</w:t>
      </w:r>
    </w:p>
    <w:p w:rsidR="0054168E">
      <w:pPr>
        <w:pStyle w:val="ListParagraph"/>
        <w:numPr>
          <w:ilvl w:val="0"/>
          <w:numId w:val="1"/>
        </w:numPr>
        <w:rPr>
          <w:rFonts w:ascii="Aptos" w:eastAsia="Aptos" w:hAnsi="Aptos" w:cs="Aptos"/>
          <w:sz w:val="20"/>
          <w:szCs w:val="20"/>
        </w:rPr>
      </w:pPr>
      <w:r w:rsidRPr="40F56233">
        <w:rPr>
          <w:rFonts w:ascii="Aptos" w:eastAsia="Aptos" w:hAnsi="Aptos" w:cs="Aptos"/>
          <w:sz w:val="20"/>
          <w:szCs w:val="20"/>
        </w:rPr>
        <w:t>Develop a workforce equity strategy. This should focus on attracting, retaining and developing skilled teachers, leaders and support staff in the schools and colleges facing the greatest disadvantage, workload and recruitment pressures.</w:t>
      </w:r>
    </w:p>
    <w:p w:rsidR="0054168E">
      <w:pPr>
        <w:pStyle w:val="ListParagraph"/>
        <w:numPr>
          <w:ilvl w:val="0"/>
          <w:numId w:val="1"/>
        </w:numPr>
        <w:rPr>
          <w:rFonts w:ascii="Aptos" w:eastAsia="Aptos" w:hAnsi="Aptos" w:cs="Aptos"/>
          <w:sz w:val="20"/>
          <w:szCs w:val="20"/>
        </w:rPr>
      </w:pPr>
      <w:r w:rsidRPr="40F56233">
        <w:rPr>
          <w:rFonts w:ascii="Aptos" w:eastAsia="Aptos" w:hAnsi="Aptos" w:cs="Aptos"/>
          <w:sz w:val="20"/>
          <w:szCs w:val="20"/>
        </w:rPr>
        <w:t>Create a full support staff workforce strategy. The School Support Staff Negotiating Body should be accompanied by a wider plan for pay, progression, training, role clarity and professional development for support staff.</w:t>
      </w:r>
    </w:p>
    <w:p w:rsidR="0054168E">
      <w:pPr>
        <w:pStyle w:val="ListParagraph"/>
        <w:numPr>
          <w:ilvl w:val="0"/>
          <w:numId w:val="1"/>
        </w:numPr>
        <w:rPr>
          <w:rFonts w:ascii="Aptos" w:eastAsia="Aptos" w:hAnsi="Aptos" w:cs="Aptos"/>
          <w:sz w:val="20"/>
          <w:szCs w:val="20"/>
        </w:rPr>
      </w:pPr>
      <w:r w:rsidRPr="40F56233">
        <w:rPr>
          <w:rFonts w:ascii="Aptos" w:eastAsia="Aptos" w:hAnsi="Aptos" w:cs="Aptos"/>
          <w:sz w:val="20"/>
          <w:szCs w:val="20"/>
        </w:rPr>
        <w:t>Support underserved communities to recruit staff locally. Government should help schools and colleges recruit from and for their local areas, recognising that local candidates may be more likely to work and remain in underserved communities.</w:t>
      </w:r>
    </w:p>
    <w:p w:rsidR="0054168E">
      <w:pPr>
        <w:pStyle w:val="ListParagraph"/>
        <w:numPr>
          <w:ilvl w:val="0"/>
          <w:numId w:val="1"/>
        </w:numPr>
        <w:rPr>
          <w:rFonts w:ascii="Aptos" w:eastAsia="Aptos" w:hAnsi="Aptos" w:cs="Aptos"/>
          <w:sz w:val="20"/>
          <w:szCs w:val="20"/>
        </w:rPr>
      </w:pPr>
      <w:r w:rsidRPr="13F25C85">
        <w:rPr>
          <w:rFonts w:ascii="Aptos" w:eastAsia="Aptos" w:hAnsi="Aptos" w:cs="Aptos"/>
          <w:sz w:val="20"/>
          <w:szCs w:val="20"/>
        </w:rPr>
        <w:t>Pilot</w:t>
      </w:r>
      <w:r w:rsidRPr="13F25C85">
        <w:rPr>
          <w:rFonts w:ascii="Aptos" w:eastAsia="Aptos" w:hAnsi="Aptos" w:cs="Aptos"/>
          <w:sz w:val="20"/>
          <w:szCs w:val="20"/>
        </w:rPr>
        <w:t xml:space="preserve"> </w:t>
      </w:r>
      <w:r w:rsidRPr="13F25C85">
        <w:rPr>
          <w:rFonts w:ascii="Aptos" w:eastAsia="Aptos" w:hAnsi="Aptos" w:cs="Aptos"/>
          <w:sz w:val="20"/>
          <w:szCs w:val="20"/>
        </w:rPr>
        <w:t>routes for support staff to enter teaching. The Government should expand and evaluate approaches such as the teaching degree apprenticeship, particularly in areas with teacher shortages and limited access to initial teacher training.</w:t>
      </w:r>
    </w:p>
    <w:p w:rsidR="0054168E">
      <w:pPr>
        <w:pStyle w:val="ListParagraph"/>
        <w:numPr>
          <w:ilvl w:val="0"/>
          <w:numId w:val="1"/>
        </w:numPr>
        <w:rPr>
          <w:rFonts w:ascii="Aptos" w:eastAsia="Aptos" w:hAnsi="Aptos" w:cs="Aptos"/>
          <w:sz w:val="20"/>
          <w:szCs w:val="20"/>
        </w:rPr>
      </w:pPr>
      <w:r w:rsidRPr="13F25C85">
        <w:rPr>
          <w:rFonts w:ascii="Aptos" w:eastAsia="Aptos" w:hAnsi="Aptos" w:cs="Aptos"/>
          <w:sz w:val="20"/>
          <w:szCs w:val="20"/>
        </w:rPr>
        <w:t>Target incentives where teacher supply is most challenging. Financial incentives should be based on local recruitment difficulty, disadvantage, subject shortages and schools’ ability to compete in the labour market.</w:t>
      </w:r>
    </w:p>
    <w:p w:rsidR="0054168E" w:rsidP="13F25C85">
      <w:pPr>
        <w:spacing w:after="0"/>
        <w:rPr>
          <w:rFonts w:ascii="Aptos" w:eastAsia="Aptos" w:hAnsi="Aptos" w:cs="Aptos"/>
          <w:b/>
          <w:bCs/>
          <w:sz w:val="20"/>
          <w:szCs w:val="20"/>
        </w:rPr>
      </w:pPr>
      <w:r w:rsidRPr="13F25C85">
        <w:rPr>
          <w:rFonts w:ascii="Aptos" w:eastAsia="Aptos" w:hAnsi="Aptos" w:cs="Aptos"/>
          <w:b/>
          <w:bCs/>
          <w:sz w:val="20"/>
          <w:szCs w:val="20"/>
        </w:rPr>
        <w:t>Wider government policy</w:t>
      </w:r>
    </w:p>
    <w:p w:rsidR="0054168E" w:rsidP="40F56233">
      <w:pPr>
        <w:spacing w:after="0"/>
        <w:rPr>
          <w:rFonts w:ascii="Aptos" w:eastAsia="Aptos" w:hAnsi="Aptos" w:cs="Aptos"/>
          <w:sz w:val="20"/>
          <w:szCs w:val="20"/>
        </w:rPr>
      </w:pPr>
    </w:p>
    <w:p w:rsidR="0054168E">
      <w:pPr>
        <w:pStyle w:val="ListParagraph"/>
        <w:numPr>
          <w:ilvl w:val="0"/>
          <w:numId w:val="1"/>
        </w:numPr>
        <w:spacing w:after="0"/>
        <w:rPr>
          <w:rFonts w:ascii="Aptos" w:eastAsia="Aptos" w:hAnsi="Aptos" w:cs="Aptos"/>
          <w:sz w:val="20"/>
          <w:szCs w:val="20"/>
        </w:rPr>
      </w:pPr>
      <w:r w:rsidRPr="13F25C85">
        <w:rPr>
          <w:rFonts w:ascii="Aptos" w:eastAsia="Aptos" w:hAnsi="Aptos" w:cs="Aptos"/>
          <w:sz w:val="20"/>
          <w:szCs w:val="20"/>
        </w:rPr>
        <w:t>We welcome</w:t>
      </w:r>
      <w:r w:rsidRPr="13F25C85">
        <w:rPr>
          <w:rFonts w:ascii="Aptos" w:eastAsia="Aptos" w:hAnsi="Aptos" w:cs="Aptos"/>
          <w:sz w:val="20"/>
          <w:szCs w:val="20"/>
        </w:rPr>
        <w:t xml:space="preserve"> the White Paper’s recognition that schools are part of a wider system supporting children and young people to thrive. </w:t>
      </w:r>
      <w:r w:rsidRPr="13F25C85">
        <w:rPr>
          <w:rFonts w:ascii="Aptos" w:eastAsia="Aptos" w:hAnsi="Aptos" w:cs="Aptos"/>
          <w:sz w:val="20"/>
          <w:szCs w:val="20"/>
        </w:rPr>
        <w:t xml:space="preserve">It is positive that there are many links between the White Paper and the Best Start in Life strategy,  16-19 White Paper, National Youth Strategy and Child Poverty Strategy. </w:t>
      </w:r>
    </w:p>
    <w:p w:rsidR="0054168E">
      <w:pPr>
        <w:pStyle w:val="ListParagraph"/>
        <w:numPr>
          <w:ilvl w:val="0"/>
          <w:numId w:val="1"/>
        </w:numPr>
        <w:spacing w:after="0"/>
        <w:rPr>
          <w:rFonts w:ascii="Aptos" w:eastAsia="Aptos" w:hAnsi="Aptos" w:cs="Aptos"/>
          <w:sz w:val="20"/>
          <w:szCs w:val="20"/>
        </w:rPr>
      </w:pPr>
      <w:r w:rsidRPr="13F25C85">
        <w:rPr>
          <w:rFonts w:ascii="Aptos" w:eastAsia="Aptos" w:hAnsi="Aptos" w:cs="Aptos"/>
          <w:sz w:val="20"/>
          <w:szCs w:val="20"/>
        </w:rPr>
        <w:t>The</w:t>
      </w:r>
      <w:r w:rsidRPr="13F25C85">
        <w:rPr>
          <w:rFonts w:ascii="Aptos" w:eastAsia="Aptos" w:hAnsi="Aptos" w:cs="Aptos"/>
          <w:sz w:val="20"/>
          <w:szCs w:val="20"/>
        </w:rPr>
        <w:t xml:space="preserve"> </w:t>
      </w:r>
      <w:r w:rsidRPr="13F25C85">
        <w:rPr>
          <w:rFonts w:ascii="Aptos" w:eastAsia="Aptos" w:hAnsi="Aptos" w:cs="Aptos"/>
          <w:sz w:val="20"/>
          <w:szCs w:val="20"/>
        </w:rPr>
        <w:t xml:space="preserve">connection between the </w:t>
      </w:r>
      <w:r w:rsidRPr="13F25C85">
        <w:rPr>
          <w:rFonts w:ascii="Aptos" w:eastAsia="Aptos" w:hAnsi="Aptos" w:cs="Aptos"/>
          <w:sz w:val="20"/>
          <w:szCs w:val="20"/>
        </w:rPr>
        <w:t>s</w:t>
      </w:r>
      <w:r w:rsidRPr="13F25C85">
        <w:rPr>
          <w:rFonts w:ascii="Aptos" w:eastAsia="Aptos" w:hAnsi="Aptos" w:cs="Aptos"/>
          <w:sz w:val="20"/>
          <w:szCs w:val="20"/>
        </w:rPr>
        <w:t>chools White Paper and the 16-19 White Paper could be significantly strengthened</w:t>
      </w:r>
      <w:r w:rsidRPr="13F25C85">
        <w:rPr>
          <w:rFonts w:ascii="Aptos" w:eastAsia="Aptos" w:hAnsi="Aptos" w:cs="Aptos"/>
          <w:sz w:val="20"/>
          <w:szCs w:val="20"/>
        </w:rPr>
        <w:t xml:space="preserve"> by introducing a Student Premium</w:t>
      </w:r>
      <w:r w:rsidRPr="13F25C85">
        <w:rPr>
          <w:rFonts w:ascii="Aptos" w:eastAsia="Aptos" w:hAnsi="Aptos" w:cs="Aptos"/>
          <w:sz w:val="20"/>
          <w:szCs w:val="20"/>
        </w:rPr>
        <w:t>. T</w:t>
      </w:r>
      <w:r w:rsidRPr="13F25C85">
        <w:rPr>
          <w:rFonts w:ascii="Aptos" w:eastAsia="Aptos" w:hAnsi="Aptos" w:cs="Aptos"/>
          <w:sz w:val="20"/>
          <w:szCs w:val="20"/>
        </w:rPr>
        <w:t>he</w:t>
      </w:r>
      <w:r w:rsidRPr="13F25C85">
        <w:rPr>
          <w:rFonts w:ascii="Aptos" w:eastAsia="Aptos" w:hAnsi="Aptos" w:cs="Aptos"/>
          <w:sz w:val="20"/>
          <w:szCs w:val="20"/>
        </w:rPr>
        <w:t>re is</w:t>
      </w:r>
      <w:r w:rsidRPr="13F25C85">
        <w:rPr>
          <w:rFonts w:ascii="Aptos" w:eastAsia="Aptos" w:hAnsi="Aptos" w:cs="Aptos"/>
          <w:sz w:val="20"/>
          <w:szCs w:val="20"/>
        </w:rPr>
        <w:t xml:space="preserve"> funding cliff-edge faced by low-income young people after age 16</w:t>
      </w:r>
      <w:r w:rsidRPr="13F25C85">
        <w:rPr>
          <w:rFonts w:ascii="Aptos" w:eastAsia="Aptos" w:hAnsi="Aptos" w:cs="Aptos"/>
          <w:sz w:val="20"/>
          <w:szCs w:val="20"/>
        </w:rPr>
        <w:t>, with Pupil Premiu</w:t>
      </w:r>
      <w:r w:rsidRPr="13F25C85">
        <w:rPr>
          <w:rFonts w:ascii="Aptos" w:eastAsia="Aptos" w:hAnsi="Aptos" w:cs="Aptos"/>
          <w:sz w:val="20"/>
          <w:szCs w:val="20"/>
        </w:rPr>
        <w:t>m</w:t>
      </w:r>
      <w:r w:rsidRPr="13F25C85">
        <w:rPr>
          <w:rFonts w:ascii="Aptos" w:eastAsia="Aptos" w:hAnsi="Aptos" w:cs="Aptos"/>
          <w:sz w:val="20"/>
          <w:szCs w:val="20"/>
        </w:rPr>
        <w:t xml:space="preserve"> ending and nothing taking its place</w:t>
      </w:r>
      <w:r w:rsidRPr="13F25C85">
        <w:rPr>
          <w:rFonts w:ascii="Aptos" w:eastAsia="Aptos" w:hAnsi="Aptos" w:cs="Aptos"/>
          <w:sz w:val="20"/>
          <w:szCs w:val="20"/>
        </w:rPr>
        <w:t xml:space="preserve">. Young people with low qualifications are much more likely to become NEET, and this risk is even greater for those from low-income backgrounds. </w:t>
      </w:r>
      <w:r w:rsidRPr="13F25C85">
        <w:rPr>
          <w:rFonts w:ascii="Aptos" w:eastAsia="Aptos" w:hAnsi="Aptos" w:cs="Aptos"/>
          <w:sz w:val="20"/>
          <w:szCs w:val="20"/>
        </w:rPr>
        <w:t xml:space="preserve">Targeted funding for disadvantaged young people post-16 would help schools and colleges close attainment gaps, strengthen progression routes, and support transitions into higher education, apprenticeships, further training and employment. </w:t>
      </w:r>
    </w:p>
    <w:p w:rsidR="0054168E">
      <w:pPr>
        <w:pStyle w:val="ListParagraph"/>
        <w:numPr>
          <w:ilvl w:val="0"/>
          <w:numId w:val="1"/>
        </w:numPr>
        <w:spacing w:after="0"/>
        <w:rPr>
          <w:rFonts w:ascii="Aptos" w:eastAsia="Aptos" w:hAnsi="Aptos" w:cs="Aptos"/>
          <w:sz w:val="20"/>
          <w:szCs w:val="20"/>
        </w:rPr>
      </w:pPr>
      <w:r w:rsidRPr="13F25C85">
        <w:rPr>
          <w:rFonts w:ascii="Aptos" w:eastAsia="Aptos" w:hAnsi="Aptos" w:cs="Aptos"/>
          <w:sz w:val="20"/>
          <w:szCs w:val="20"/>
        </w:rPr>
        <w:t>Finally, to ensure there is coherent join-up across this set of government policies, the Government should meaningfully involve young people and families as reforms move into implementation. Young people and families from all backgrounds should be supported to co-design services and programmes at both local and national level, particularly where reforms aim to address place-based disadvantage, post-16 progression, youth employment and civic participation.</w:t>
      </w:r>
    </w:p>
    <w:p w:rsidR="0054168E" w:rsidP="40F56233">
      <w:pPr>
        <w:spacing w:after="0"/>
        <w:rPr>
          <w:rFonts w:ascii="Aptos" w:eastAsia="Aptos" w:hAnsi="Aptos" w:cs="Aptos"/>
          <w:b/>
          <w:bCs/>
          <w:sz w:val="20"/>
          <w:szCs w:val="20"/>
        </w:rPr>
      </w:pPr>
    </w:p>
    <w:p w:rsidR="0054168E" w:rsidP="40F56233">
      <w:pPr>
        <w:spacing w:after="0"/>
      </w:pPr>
      <w:r w:rsidRPr="40F56233">
        <w:rPr>
          <w:rFonts w:ascii="Aptos" w:eastAsia="Aptos" w:hAnsi="Aptos" w:cs="Aptos"/>
          <w:b/>
          <w:bCs/>
          <w:sz w:val="20"/>
          <w:szCs w:val="20"/>
        </w:rPr>
        <w:t>Recommendations</w:t>
      </w:r>
    </w:p>
    <w:p w:rsidR="0054168E" w:rsidP="40F56233">
      <w:pPr>
        <w:spacing w:after="0"/>
        <w:rPr>
          <w:rFonts w:ascii="Aptos" w:eastAsia="Aptos" w:hAnsi="Aptos" w:cs="Aptos"/>
          <w:b/>
          <w:bCs/>
          <w:sz w:val="20"/>
          <w:szCs w:val="20"/>
        </w:rPr>
      </w:pPr>
    </w:p>
    <w:p w:rsidR="0054168E">
      <w:pPr>
        <w:pStyle w:val="ListParagraph"/>
        <w:numPr>
          <w:ilvl w:val="0"/>
          <w:numId w:val="1"/>
        </w:numPr>
        <w:spacing w:after="0"/>
        <w:rPr>
          <w:rFonts w:ascii="Aptos" w:eastAsia="Aptos" w:hAnsi="Aptos" w:cs="Aptos"/>
          <w:sz w:val="20"/>
          <w:szCs w:val="20"/>
        </w:rPr>
      </w:pPr>
      <w:r w:rsidRPr="40F56233">
        <w:rPr>
          <w:rFonts w:ascii="Aptos" w:eastAsia="Aptos" w:hAnsi="Aptos" w:cs="Aptos"/>
          <w:sz w:val="20"/>
          <w:szCs w:val="20"/>
        </w:rPr>
        <w:t>Introduce a Student Premium for disadvantaged young people post-16. Government should fund a Student Premium alongside the Pupil Premium, or any successor disadvantage funding scheme, so support for low-income young people continues after secondary school.</w:t>
      </w:r>
    </w:p>
    <w:p w:rsidR="0054168E">
      <w:pPr>
        <w:pStyle w:val="ListParagraph"/>
        <w:numPr>
          <w:ilvl w:val="0"/>
          <w:numId w:val="1"/>
        </w:numPr>
        <w:spacing w:after="0"/>
        <w:rPr>
          <w:rFonts w:ascii="Aptos" w:eastAsia="Aptos" w:hAnsi="Aptos" w:cs="Aptos"/>
          <w:sz w:val="20"/>
          <w:szCs w:val="20"/>
        </w:rPr>
      </w:pPr>
      <w:r w:rsidRPr="40F56233">
        <w:rPr>
          <w:rFonts w:ascii="Aptos" w:eastAsia="Aptos" w:hAnsi="Aptos" w:cs="Aptos"/>
          <w:sz w:val="20"/>
          <w:szCs w:val="20"/>
        </w:rPr>
        <w:t>Make disadvantage funding automatic and joined up across phases. Families should not have to complete additional administrative steps for children or young people to attract Pupil Premium, Student Premium or future disadvantage funding.</w:t>
      </w:r>
    </w:p>
    <w:p w:rsidR="0054168E">
      <w:pPr>
        <w:pStyle w:val="ListParagraph"/>
        <w:numPr>
          <w:ilvl w:val="0"/>
          <w:numId w:val="1"/>
        </w:numPr>
        <w:spacing w:after="0"/>
        <w:rPr>
          <w:rFonts w:ascii="Aptos" w:eastAsia="Aptos" w:hAnsi="Aptos" w:cs="Aptos"/>
          <w:sz w:val="20"/>
          <w:szCs w:val="20"/>
        </w:rPr>
      </w:pPr>
      <w:r w:rsidRPr="13F25C85">
        <w:rPr>
          <w:rFonts w:ascii="Aptos" w:eastAsia="Aptos" w:hAnsi="Aptos" w:cs="Aptos"/>
          <w:sz w:val="20"/>
          <w:szCs w:val="20"/>
        </w:rPr>
        <w:t>Embed meaningful youth and family participation in policy design</w:t>
      </w:r>
      <w:r w:rsidRPr="13F25C85">
        <w:rPr>
          <w:rFonts w:ascii="Aptos" w:eastAsia="Aptos" w:hAnsi="Aptos" w:cs="Aptos"/>
          <w:sz w:val="20"/>
          <w:szCs w:val="20"/>
        </w:rPr>
        <w:t xml:space="preserve"> and implementation</w:t>
      </w:r>
      <w:r w:rsidRPr="13F25C85">
        <w:rPr>
          <w:rFonts w:ascii="Aptos" w:eastAsia="Aptos" w:hAnsi="Aptos" w:cs="Aptos"/>
          <w:sz w:val="20"/>
          <w:szCs w:val="20"/>
        </w:rPr>
        <w:t xml:space="preserve">. Government should uphold children’s right to participate by involving young people and families from all backgrounds in the design, delivery and evaluation of </w:t>
      </w:r>
      <w:r w:rsidRPr="13F25C85">
        <w:rPr>
          <w:rFonts w:ascii="Aptos" w:eastAsia="Aptos" w:hAnsi="Aptos" w:cs="Aptos"/>
          <w:sz w:val="20"/>
          <w:szCs w:val="20"/>
        </w:rPr>
        <w:t xml:space="preserve">the White Paper's </w:t>
      </w:r>
      <w:r w:rsidRPr="13F25C85">
        <w:rPr>
          <w:rFonts w:ascii="Aptos" w:eastAsia="Aptos" w:hAnsi="Aptos" w:cs="Aptos"/>
          <w:sz w:val="20"/>
          <w:szCs w:val="20"/>
        </w:rPr>
        <w:t>reforms.</w:t>
      </w:r>
    </w:p>
    <w:p w:rsidR="004946B5" w:rsidRPr="004946B5" w:rsidP="004946B5">
      <w:pPr>
        <w:spacing w:after="0"/>
        <w:rPr>
          <w:rFonts w:ascii="Aptos" w:eastAsia="Aptos" w:hAnsi="Aptos" w:cs="Aptos"/>
          <w:i/>
          <w:iCs/>
          <w:sz w:val="20"/>
          <w:szCs w:val="20"/>
        </w:rPr>
      </w:pPr>
    </w:p>
    <w:p w:rsidR="004946B5" w:rsidRPr="004946B5" w:rsidP="004946B5">
      <w:pPr>
        <w:spacing w:after="0"/>
        <w:rPr>
          <w:rFonts w:ascii="Aptos" w:eastAsia="Aptos" w:hAnsi="Aptos" w:cs="Aptos"/>
          <w:i/>
          <w:iCs/>
          <w:sz w:val="20"/>
          <w:szCs w:val="20"/>
        </w:rPr>
      </w:pPr>
      <w:r w:rsidRPr="004946B5">
        <w:rPr>
          <w:rFonts w:ascii="Aptos" w:eastAsia="Aptos" w:hAnsi="Aptos" w:cs="Aptos"/>
          <w:i/>
          <w:iCs/>
          <w:sz w:val="20"/>
          <w:szCs w:val="20"/>
        </w:rPr>
        <w:t>September 2026</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4168E">
      <w:pPr>
        <w:spacing w:after="0" w:line="240" w:lineRule="auto"/>
      </w:pPr>
      <w:r>
        <w:separator/>
      </w:r>
    </w:p>
  </w:footnote>
  <w:footnote w:type="continuationSeparator" w:id="1">
    <w:p w:rsidR="0054168E">
      <w:pPr>
        <w:spacing w:after="0" w:line="240" w:lineRule="auto"/>
      </w:pPr>
      <w:r>
        <w:continuationSeparator/>
      </w:r>
    </w:p>
  </w:footnote>
  <w:footnote w:id="2">
    <w:p w:rsidR="0054168E" w:rsidP="40F56233">
      <w:pPr>
        <w:pStyle w:val="FootnoteText"/>
      </w:pPr>
      <w:r w:rsidRPr="40F56233">
        <w:rPr>
          <w:rStyle w:val="FootnoteReference"/>
          <w:rFonts w:ascii="Aptos" w:eastAsia="Aptos" w:hAnsi="Aptos" w:cs="Aptos"/>
          <w:sz w:val="18"/>
          <w:szCs w:val="18"/>
        </w:rPr>
        <w:footnoteRef/>
      </w:r>
      <w:r w:rsidRPr="40F56233">
        <w:rPr>
          <w:rFonts w:ascii="Aptos" w:eastAsia="Aptos" w:hAnsi="Aptos" w:cs="Aptos"/>
          <w:sz w:val="18"/>
          <w:szCs w:val="18"/>
        </w:rPr>
        <w:t xml:space="preserve"> Education Policy Insitute – Annual Reports 2013-2026</w:t>
      </w:r>
    </w:p>
    <w:p w:rsidR="0054168E" w:rsidP="40F56233">
      <w:pPr>
        <w:pStyle w:val="FootnoteText"/>
      </w:pPr>
      <w:r w:rsidRPr="40F56233">
        <w:rPr>
          <w:rFonts w:ascii="Aptos" w:eastAsia="Aptos" w:hAnsi="Aptos" w:cs="Aptos"/>
          <w:sz w:val="18"/>
          <w:szCs w:val="18"/>
        </w:rPr>
        <w:t>https://epi.org.uk/annual-report-2026/</w:t>
      </w:r>
    </w:p>
  </w:footnote>
  <w:footnote w:id="3">
    <w:p w:rsidR="0054168E" w:rsidP="40F56233">
      <w:pPr>
        <w:pStyle w:val="FootnoteText"/>
      </w:pPr>
      <w:r w:rsidRPr="40F56233">
        <w:rPr>
          <w:rStyle w:val="FootnoteReference"/>
          <w:rFonts w:ascii="Aptos" w:eastAsia="Aptos" w:hAnsi="Aptos" w:cs="Aptos"/>
          <w:sz w:val="18"/>
          <w:szCs w:val="18"/>
        </w:rPr>
        <w:footnoteRef/>
      </w:r>
      <w:r w:rsidRPr="40F56233">
        <w:rPr>
          <w:rFonts w:ascii="Aptos" w:eastAsia="Aptos" w:hAnsi="Aptos" w:cs="Aptos"/>
          <w:sz w:val="18"/>
          <w:szCs w:val="18"/>
        </w:rPr>
        <w:t xml:space="preserve"> Institute for Fiscal Studies – Education Inequalities (2022)</w:t>
      </w:r>
    </w:p>
    <w:p w:rsidR="0054168E" w:rsidP="40F56233">
      <w:pPr>
        <w:pStyle w:val="FootnoteText"/>
      </w:pPr>
      <w:r w:rsidRPr="40F56233">
        <w:rPr>
          <w:rFonts w:ascii="Aptos" w:eastAsia="Aptos" w:hAnsi="Aptos" w:cs="Aptos"/>
          <w:sz w:val="18"/>
          <w:szCs w:val="18"/>
        </w:rPr>
        <w:t>https://ifs.org.uk/publications/education-inequalities</w:t>
      </w:r>
    </w:p>
  </w:footnote>
  <w:footnote w:id="4">
    <w:p w:rsidR="0054168E" w:rsidP="40F56233">
      <w:pPr>
        <w:pStyle w:val="FootnoteText"/>
        <w:rPr>
          <w:rFonts w:ascii="Aptos" w:eastAsia="Aptos" w:hAnsi="Aptos" w:cs="Aptos"/>
          <w:color w:val="000000" w:themeColor="text1"/>
          <w:sz w:val="18"/>
          <w:szCs w:val="18"/>
        </w:rPr>
      </w:pPr>
      <w:r w:rsidRPr="40F56233">
        <w:rPr>
          <w:rStyle w:val="FootnoteReference"/>
          <w:rFonts w:ascii="Aptos" w:eastAsia="Aptos" w:hAnsi="Aptos" w:cs="Aptos"/>
          <w:sz w:val="18"/>
          <w:szCs w:val="18"/>
        </w:rPr>
        <w:footnoteRef/>
      </w:r>
      <w:r w:rsidRPr="40F56233">
        <w:rPr>
          <w:rFonts w:ascii="Aptos" w:eastAsia="Aptos" w:hAnsi="Aptos" w:cs="Aptos"/>
          <w:sz w:val="18"/>
          <w:szCs w:val="18"/>
        </w:rPr>
        <w:t xml:space="preserve"> </w:t>
      </w:r>
      <w:r w:rsidRPr="40F56233">
        <w:rPr>
          <w:rFonts w:ascii="Aptos" w:eastAsia="Aptos" w:hAnsi="Aptos" w:cs="Aptos"/>
          <w:color w:val="000000" w:themeColor="text1"/>
          <w:sz w:val="18"/>
          <w:szCs w:val="18"/>
        </w:rPr>
        <w:t>DfE schools census 2024/25</w:t>
      </w:r>
    </w:p>
    <w:p w:rsidR="0054168E" w:rsidP="40F56233">
      <w:pPr>
        <w:pStyle w:val="EndnoteText"/>
        <w:rPr>
          <w:rFonts w:ascii="Aptos" w:eastAsia="Aptos" w:hAnsi="Aptos" w:cs="Aptos"/>
          <w:color w:val="000000" w:themeColor="text1"/>
          <w:sz w:val="18"/>
          <w:szCs w:val="18"/>
        </w:rPr>
      </w:pPr>
      <w:r>
        <w:fldChar w:fldCharType="begin"/>
      </w:r>
      <w:r>
        <w:instrText xml:space="preserve"> HYPERLINK "https://explore-education-statistics.service.gov.uk/find-statistics/school-pupils-and-their-characteristics/2024-25" </w:instrText>
      </w:r>
      <w:r>
        <w:fldChar w:fldCharType="separate"/>
      </w:r>
      <w:r w:rsidRPr="40F56233">
        <w:rPr>
          <w:rStyle w:val="Hyperlink"/>
          <w:rFonts w:ascii="Aptos" w:eastAsia="Aptos" w:hAnsi="Aptos" w:cs="Aptos"/>
          <w:sz w:val="18"/>
          <w:szCs w:val="18"/>
        </w:rPr>
        <w:t>https://explore-education-statistics.service.gov.uk/find-statistics/school-pupils-and-their-characteristics/2024-25</w:t>
      </w:r>
      <w:r>
        <w:fldChar w:fldCharType="end"/>
      </w:r>
    </w:p>
  </w:footnote>
  <w:footnote w:id="5">
    <w:p w:rsidR="0054168E" w:rsidP="40F56233">
      <w:pPr>
        <w:pStyle w:val="FootnoteText"/>
        <w:rPr>
          <w:rFonts w:ascii="Aptos" w:eastAsia="Aptos" w:hAnsi="Aptos" w:cs="Aptos"/>
          <w:color w:val="000000" w:themeColor="text1"/>
        </w:rPr>
      </w:pPr>
      <w:r w:rsidRPr="40F56233">
        <w:rPr>
          <w:rStyle w:val="FootnoteReference"/>
          <w:rFonts w:ascii="Aptos" w:eastAsia="Aptos" w:hAnsi="Aptos" w:cs="Aptos"/>
          <w:sz w:val="18"/>
          <w:szCs w:val="18"/>
        </w:rPr>
        <w:footnoteRef/>
      </w:r>
      <w:r w:rsidRPr="40F56233">
        <w:rPr>
          <w:rFonts w:ascii="Aptos" w:eastAsia="Aptos" w:hAnsi="Aptos" w:cs="Aptos"/>
          <w:sz w:val="18"/>
          <w:szCs w:val="18"/>
        </w:rPr>
        <w:t xml:space="preserve"> </w:t>
      </w:r>
      <w:r w:rsidRPr="40F56233">
        <w:rPr>
          <w:rFonts w:ascii="Aptos" w:eastAsia="Aptos" w:hAnsi="Aptos" w:cs="Aptos"/>
          <w:color w:val="000000" w:themeColor="text1"/>
          <w:sz w:val="18"/>
          <w:szCs w:val="18"/>
        </w:rPr>
        <w:t>House of Commons Library Which Children are Most Likely to be in Poverty? 2026</w:t>
      </w:r>
    </w:p>
    <w:p w:rsidR="0054168E" w:rsidP="40F56233">
      <w:pPr>
        <w:pStyle w:val="EndnoteText"/>
        <w:rPr>
          <w:rFonts w:ascii="Aptos" w:eastAsia="Aptos" w:hAnsi="Aptos" w:cs="Aptos"/>
          <w:color w:val="000000" w:themeColor="text1"/>
        </w:rPr>
      </w:pPr>
      <w:r>
        <w:fldChar w:fldCharType="begin"/>
      </w:r>
      <w:r>
        <w:instrText xml:space="preserve"> HYPERLINK "https://commonslibrary.parliament.uk/which-children-are-most-likely-to-be-in-poverty-in-the-uk/" </w:instrText>
      </w:r>
      <w:r>
        <w:fldChar w:fldCharType="separate"/>
      </w:r>
      <w:r w:rsidRPr="40F56233">
        <w:rPr>
          <w:rStyle w:val="Hyperlink"/>
          <w:rFonts w:ascii="Aptos" w:eastAsia="Aptos" w:hAnsi="Aptos" w:cs="Aptos"/>
          <w:sz w:val="18"/>
          <w:szCs w:val="18"/>
        </w:rPr>
        <w:t>https://commonslibrary.parliament.uk/which-children-are-most-likely-to-be-in-poverty-in-the-uk/</w:t>
      </w:r>
      <w:r>
        <w:fldChar w:fldCharType="end"/>
      </w:r>
    </w:p>
  </w:footnote>
  <w:footnote w:id="6">
    <w:p w:rsidR="0054168E" w:rsidRPr="002314E1" w:rsidP="40F56233">
      <w:pPr>
        <w:pStyle w:val="FootnoteText"/>
        <w:rPr>
          <w:sz w:val="18"/>
          <w:szCs w:val="18"/>
        </w:rPr>
      </w:pPr>
      <w:r w:rsidRPr="002314E1">
        <w:rPr>
          <w:rStyle w:val="FootnoteReference"/>
          <w:rFonts w:ascii="Aptos" w:eastAsia="Aptos" w:hAnsi="Aptos" w:cs="Aptos"/>
          <w:sz w:val="18"/>
          <w:szCs w:val="18"/>
        </w:rPr>
        <w:footnoteRef/>
      </w:r>
      <w:r w:rsidRPr="002314E1">
        <w:rPr>
          <w:rFonts w:ascii="Aptos" w:eastAsia="Aptos" w:hAnsi="Aptos" w:cs="Aptos"/>
          <w:sz w:val="18"/>
          <w:szCs w:val="18"/>
        </w:rPr>
        <w:t xml:space="preserve"> Fair Education Alliance – From Neighbourhood to National (2025)</w:t>
      </w:r>
    </w:p>
    <w:p w:rsidR="0054168E" w:rsidRPr="002314E1" w:rsidP="40F56233">
      <w:pPr>
        <w:pStyle w:val="FootnoteText"/>
        <w:rPr>
          <w:sz w:val="18"/>
          <w:szCs w:val="18"/>
        </w:rPr>
      </w:pPr>
      <w:r w:rsidRPr="002314E1">
        <w:rPr>
          <w:sz w:val="18"/>
          <w:szCs w:val="18"/>
        </w:rPr>
        <w:t>https://www.faireducation.org.uk/neighbourhood-to-national</w:t>
      </w:r>
    </w:p>
  </w:footnote>
  <w:footnote w:id="7">
    <w:p w:rsidR="0054168E" w:rsidRPr="002314E1" w:rsidP="40F56233">
      <w:pPr>
        <w:pStyle w:val="FootnoteText"/>
        <w:spacing w:line="300" w:lineRule="auto"/>
        <w:rPr>
          <w:rFonts w:ascii="Segoe UI" w:eastAsia="Segoe UI" w:hAnsi="Segoe UI" w:cs="Segoe UI"/>
          <w:sz w:val="18"/>
          <w:szCs w:val="18"/>
        </w:rPr>
      </w:pPr>
      <w:r w:rsidRPr="002314E1">
        <w:rPr>
          <w:rStyle w:val="FootnoteReference"/>
          <w:rFonts w:ascii="Aptos" w:eastAsia="Aptos" w:hAnsi="Aptos" w:cs="Aptos"/>
          <w:sz w:val="18"/>
          <w:szCs w:val="18"/>
        </w:rPr>
        <w:footnoteRef/>
      </w:r>
      <w:r w:rsidRPr="002314E1">
        <w:rPr>
          <w:rFonts w:ascii="Aptos" w:eastAsia="Aptos" w:hAnsi="Aptos" w:cs="Aptos"/>
          <w:sz w:val="18"/>
          <w:szCs w:val="18"/>
        </w:rPr>
        <w:t xml:space="preserve"> See for instance the Education Endowment Foundation (EEF) Teaching and Learning Toolkit</w:t>
      </w:r>
    </w:p>
    <w:p w:rsidR="0054168E" w:rsidRPr="002314E1" w:rsidP="40F56233">
      <w:pPr>
        <w:pStyle w:val="FootnoteText"/>
        <w:spacing w:line="300" w:lineRule="auto"/>
        <w:rPr>
          <w:rFonts w:ascii="Segoe UI" w:eastAsia="Segoe UI" w:hAnsi="Segoe UI" w:cs="Segoe UI"/>
          <w:sz w:val="18"/>
          <w:szCs w:val="18"/>
        </w:rPr>
      </w:pPr>
      <w:r w:rsidRPr="002314E1">
        <w:rPr>
          <w:rFonts w:ascii="Aptos" w:eastAsia="Aptos" w:hAnsi="Aptos" w:cs="Aptos"/>
          <w:sz w:val="18"/>
          <w:szCs w:val="18"/>
        </w:rPr>
        <w:t>https://educationendowmentfoundation.org.uk/education-evidence/teaching-learning-toolkit</w:t>
      </w:r>
    </w:p>
  </w:footnote>
  <w:footnote w:id="8">
    <w:p w:rsidR="0054168E" w:rsidRPr="002314E1" w:rsidP="40F56233">
      <w:pPr>
        <w:pStyle w:val="FootnoteText"/>
        <w:rPr>
          <w:sz w:val="18"/>
          <w:szCs w:val="18"/>
        </w:rPr>
      </w:pPr>
      <w:r w:rsidRPr="002314E1">
        <w:rPr>
          <w:rStyle w:val="FootnoteReference"/>
          <w:sz w:val="18"/>
          <w:szCs w:val="18"/>
        </w:rPr>
        <w:footnoteRef/>
      </w:r>
      <w:r w:rsidRPr="002314E1">
        <w:rPr>
          <w:sz w:val="18"/>
          <w:szCs w:val="18"/>
        </w:rPr>
        <w:t xml:space="preserve"> Milburn Review - Young people and work: interim report (2026)</w:t>
      </w:r>
    </w:p>
    <w:p w:rsidR="0054168E" w:rsidP="40F56233">
      <w:pPr>
        <w:pStyle w:val="FootnoteText"/>
      </w:pPr>
      <w:r w:rsidRPr="002314E1">
        <w:rPr>
          <w:sz w:val="18"/>
          <w:szCs w:val="18"/>
        </w:rPr>
        <w:t>https://www.gov.uk/government/publications/young-people-and-work-interim-report/young-people-and-work-interim-report</w:t>
      </w:r>
    </w:p>
  </w:footnote>
  <w:footnote w:id="9">
    <w:p w:rsidR="0054168E" w:rsidRPr="002314E1" w:rsidP="40F56233">
      <w:pPr>
        <w:pStyle w:val="FootnoteText"/>
        <w:rPr>
          <w:sz w:val="18"/>
          <w:szCs w:val="18"/>
        </w:rPr>
      </w:pPr>
      <w:r w:rsidRPr="002314E1">
        <w:rPr>
          <w:rStyle w:val="FootnoteReference"/>
          <w:sz w:val="18"/>
          <w:szCs w:val="18"/>
        </w:rPr>
        <w:footnoteRef/>
      </w:r>
      <w:r w:rsidRPr="002314E1">
        <w:rPr>
          <w:sz w:val="18"/>
          <w:szCs w:val="18"/>
        </w:rPr>
        <w:t xml:space="preserve"> Teach First – Class Dismissed (2026)</w:t>
      </w:r>
    </w:p>
    <w:p w:rsidR="0054168E" w:rsidP="40F56233">
      <w:pPr>
        <w:pStyle w:val="FootnoteText"/>
      </w:pPr>
      <w:r w:rsidRPr="002314E1">
        <w:rPr>
          <w:sz w:val="18"/>
          <w:szCs w:val="18"/>
        </w:rPr>
        <w:t>https://www.teachfirst.org.uk/sites/default/files/2026-06/Class-dismissed-closing-the-gap-for-persistently-disadvantaged-pupils.pdf</w:t>
      </w:r>
    </w:p>
  </w:footnote>
  <w:footnote w:id="10">
    <w:p w:rsidR="0054168E" w:rsidRPr="002314E1" w:rsidP="40F56233">
      <w:pPr>
        <w:pStyle w:val="FootnoteText"/>
        <w:rPr>
          <w:sz w:val="18"/>
          <w:szCs w:val="18"/>
        </w:rPr>
      </w:pPr>
      <w:r w:rsidRPr="40F56233">
        <w:rPr>
          <w:rStyle w:val="FootnoteReference"/>
        </w:rPr>
        <w:footnoteRef/>
      </w:r>
      <w:r>
        <w:t xml:space="preserve"> </w:t>
      </w:r>
      <w:r w:rsidRPr="002314E1">
        <w:rPr>
          <w:sz w:val="18"/>
          <w:szCs w:val="18"/>
        </w:rPr>
        <w:t>New Philanthropy Capital – Closing the Gap (2024)</w:t>
      </w:r>
    </w:p>
    <w:p w:rsidR="0054168E" w:rsidP="40F56233">
      <w:pPr>
        <w:pStyle w:val="FootnoteText"/>
      </w:pPr>
      <w:r w:rsidRPr="002314E1">
        <w:rPr>
          <w:sz w:val="18"/>
          <w:szCs w:val="18"/>
        </w:rPr>
        <w:t>https://www.thinknpc.org/resource-hub/closing-the-gap/</w:t>
      </w:r>
    </w:p>
  </w:footnote>
  <w:footnote w:id="11">
    <w:p w:rsidR="0054168E" w:rsidRPr="002314E1" w:rsidP="40F56233">
      <w:pPr>
        <w:pStyle w:val="FootnoteText"/>
        <w:rPr>
          <w:sz w:val="18"/>
          <w:szCs w:val="18"/>
        </w:rPr>
      </w:pPr>
      <w:r w:rsidRPr="40F56233">
        <w:rPr>
          <w:rStyle w:val="FootnoteReference"/>
        </w:rPr>
        <w:footnoteRef/>
      </w:r>
      <w:r>
        <w:t xml:space="preserve"> </w:t>
      </w:r>
      <w:r w:rsidRPr="002314E1">
        <w:rPr>
          <w:sz w:val="18"/>
          <w:szCs w:val="18"/>
        </w:rPr>
        <w:t>NFER – Teacher Labour Market in England Annual Report 2025</w:t>
      </w:r>
    </w:p>
    <w:p w:rsidR="0054168E" w:rsidP="40F56233">
      <w:pPr>
        <w:pStyle w:val="FootnoteText"/>
      </w:pPr>
      <w:r w:rsidRPr="002314E1">
        <w:rPr>
          <w:sz w:val="18"/>
          <w:szCs w:val="18"/>
        </w:rPr>
        <w:t>https://www.nfer.ac.uk/media/afsn0rmb/teacher_labour_market_in_england_annual_report_2025.pdf</w:t>
      </w:r>
    </w:p>
  </w:footnote>
  <w:footnote w:id="12">
    <w:p w:rsidR="0054168E" w:rsidRPr="002314E1" w:rsidP="40F56233">
      <w:pPr>
        <w:pStyle w:val="FootnoteText"/>
        <w:rPr>
          <w:sz w:val="18"/>
          <w:szCs w:val="18"/>
        </w:rPr>
      </w:pPr>
      <w:r w:rsidRPr="40F56233">
        <w:rPr>
          <w:rStyle w:val="FootnoteReference"/>
        </w:rPr>
        <w:footnoteRef/>
      </w:r>
      <w:r>
        <w:t xml:space="preserve"> </w:t>
      </w:r>
      <w:r w:rsidRPr="002314E1">
        <w:rPr>
          <w:sz w:val="18"/>
          <w:szCs w:val="18"/>
        </w:rPr>
        <w:t>NFER – The School Support Staff Workforce in England Annual Report 2026</w:t>
      </w:r>
    </w:p>
    <w:p w:rsidR="0054168E" w:rsidP="40F56233">
      <w:pPr>
        <w:pStyle w:val="FootnoteText"/>
      </w:pPr>
      <w:r w:rsidRPr="002314E1">
        <w:rPr>
          <w:sz w:val="18"/>
          <w:szCs w:val="18"/>
        </w:rPr>
        <w:t>https://www.nfer.ac.uk/publications/the-school-support-staff-workforce-in-england-annual-report-2026/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4A24B28"/>
    <w:multiLevelType w:val="hybridMultilevel"/>
    <w:tmpl w:val="C5024F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3">
    <w:name w:val="heading 3"/>
    <w:basedOn w:val="Normal"/>
    <w:next w:val="Normal"/>
    <w:uiPriority w:val="9"/>
    <w:unhideWhenUsed/>
    <w:qFormat/>
    <w:rsid w:val="40F56233"/>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40F56233"/>
    <w:pPr>
      <w:ind w:left="720"/>
      <w:contextualSpacing/>
    </w:pPr>
  </w:style>
  <w:style w:type="character" w:styleId="Hyperlink">
    <w:name w:val="Hyperlink"/>
    <w:basedOn w:val="DefaultParagraphFont"/>
    <w:uiPriority w:val="99"/>
    <w:unhideWhenUsed/>
    <w:rsid w:val="40F56233"/>
    <w:rPr>
      <w:color w:val="467886"/>
      <w:u w:val="single"/>
    </w:rPr>
  </w:style>
  <w:style w:type="paragraph" w:styleId="FootnoteText">
    <w:name w:val="footnote text"/>
    <w:basedOn w:val="Normal"/>
    <w:uiPriority w:val="99"/>
    <w:semiHidden/>
    <w:unhideWhenUsed/>
    <w:rsid w:val="40F56233"/>
    <w:pPr>
      <w:spacing w:after="0" w:line="240" w:lineRule="auto"/>
    </w:pPr>
    <w:rPr>
      <w:sz w:val="20"/>
      <w:szCs w:val="20"/>
    </w:rPr>
  </w:style>
  <w:style w:type="character" w:styleId="FootnoteReference">
    <w:name w:val="footnote reference"/>
    <w:basedOn w:val="DefaultParagraphFont"/>
    <w:uiPriority w:val="99"/>
    <w:semiHidden/>
    <w:unhideWhenUsed/>
    <w:rsid w:val="40F56233"/>
    <w:rPr>
      <w:vertAlign w:val="superscript"/>
    </w:rPr>
  </w:style>
  <w:style w:type="paragraph" w:styleId="EndnoteText">
    <w:name w:val="endnote text"/>
    <w:basedOn w:val="Normal"/>
    <w:uiPriority w:val="99"/>
    <w:semiHidden/>
    <w:unhideWhenUsed/>
    <w:rsid w:val="40F56233"/>
    <w:pPr>
      <w:spacing w:after="0"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4991ce6-da3f-42b9-9635-0234a6e9b425" xsi:nil="true"/>
    <lcf76f155ced4ddcb4097134ff3c332f xmlns="11b2c38e-0ecf-46b0-aa5d-2e7c1b16ecb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AFB3CDC1C85974091FBB2405B762BFF" ma:contentTypeVersion="13" ma:contentTypeDescription="Create a new document." ma:contentTypeScope="" ma:versionID="3c70ef4ae1e918009c0f53a95ea7d81c">
  <xsd:schema xmlns:xsd="http://www.w3.org/2001/XMLSchema" xmlns:xs="http://www.w3.org/2001/XMLSchema" xmlns:p="http://schemas.microsoft.com/office/2006/metadata/properties" xmlns:ns2="11b2c38e-0ecf-46b0-aa5d-2e7c1b16ecb2" xmlns:ns3="c4991ce6-da3f-42b9-9635-0234a6e9b425" targetNamespace="http://schemas.microsoft.com/office/2006/metadata/properties" ma:root="true" ma:fieldsID="2bd0bc8c5813e8ef69836b7ae4849db2" ns2:_="" ns3:_="">
    <xsd:import namespace="11b2c38e-0ecf-46b0-aa5d-2e7c1b16ecb2"/>
    <xsd:import namespace="c4991ce6-da3f-42b9-9635-0234a6e9b42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b2c38e-0ecf-46b0-aa5d-2e7c1b16ec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6584d0-d3ae-43b1-92be-2c6473a37b33"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991ce6-da3f-42b9-9635-0234a6e9b42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e625eca-725c-40ac-b382-a29400f7ee70}" ma:internalName="TaxCatchAll" ma:showField="CatchAllData" ma:web="c4991ce6-da3f-42b9-9635-0234a6e9b4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80E779-D478-45E7-8A02-2FA5E8B9B7B9}">
  <ds:schemaRefs>
    <ds:schemaRef ds:uri="http://schemas.microsoft.com/office/2006/metadata/properties"/>
    <ds:schemaRef ds:uri="http://schemas.microsoft.com/office/infopath/2007/PartnerControls"/>
    <ds:schemaRef ds:uri="c4991ce6-da3f-42b9-9635-0234a6e9b425"/>
    <ds:schemaRef ds:uri="11b2c38e-0ecf-46b0-aa5d-2e7c1b16ecb2"/>
  </ds:schemaRefs>
</ds:datastoreItem>
</file>

<file path=customXml/itemProps2.xml><?xml version="1.0" encoding="utf-8"?>
<ds:datastoreItem xmlns:ds="http://schemas.openxmlformats.org/officeDocument/2006/customXml" ds:itemID="{3C83AED2-0746-40BC-84F9-516EFD2D91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b2c38e-0ecf-46b0-aa5d-2e7c1b16ecb2"/>
    <ds:schemaRef ds:uri="c4991ce6-da3f-42b9-9635-0234a6e9b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82D743-AFC9-499E-AD40-EE6EEBD5F07F}">
  <ds:schemaRefs>
    <ds:schemaRef ds:uri="http://schemas.openxmlformats.org/officeDocument/2006/bibliography"/>
  </ds:schemaRefs>
</ds:datastoreItem>
</file>

<file path=customXml/itemProps4.xml><?xml version="1.0" encoding="utf-8"?>
<ds:datastoreItem xmlns:ds="http://schemas.openxmlformats.org/officeDocument/2006/customXml" ds:itemID="{BDC6E8FD-A10A-47E2-852B-DC0618E25414}">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ECA0138</dc:title>
  <cp:revision>0</cp:revision>
</cp:coreProperties>
</file>