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6FBA" w:rsidP="00876FBA">
      <w:pPr>
        <w:spacing w:line="240" w:lineRule="auto"/>
        <w:jc w:val="center"/>
        <w:rPr>
          <w:rFonts w:ascii="Arial" w:eastAsia="Times New Roman" w:hAnsi="Arial" w:cs="Arial"/>
          <w:b/>
          <w:bCs/>
          <w:color w:val="000000"/>
          <w:sz w:val="32"/>
          <w:szCs w:val="32"/>
          <w:lang w:eastAsia="en-GB"/>
        </w:rPr>
      </w:pPr>
      <w:r>
        <w:rPr>
          <w:rFonts w:ascii="Arial" w:eastAsia="Times New Roman" w:hAnsi="Arial" w:cs="Arial"/>
          <w:b/>
          <w:bCs/>
          <w:color w:val="000000"/>
          <w:sz w:val="32"/>
          <w:szCs w:val="32"/>
          <w:lang w:eastAsia="en-GB"/>
        </w:rPr>
        <w:t>Written evidence by</w:t>
      </w:r>
      <w:r w:rsidRPr="00876FBA">
        <w:rPr>
          <w:rFonts w:ascii="Verdana" w:hAnsi="Verdana"/>
          <w:b/>
          <w:bCs/>
          <w:color w:val="333333"/>
          <w:shd w:val="clear" w:color="auto" w:fill="EFEFEF"/>
        </w:rPr>
        <w:t xml:space="preserve"> </w:t>
      </w:r>
      <w:r w:rsidRPr="00876FBA">
        <w:rPr>
          <w:rFonts w:ascii="Arial" w:eastAsia="Times New Roman" w:hAnsi="Arial" w:cs="Arial"/>
          <w:b/>
          <w:bCs/>
          <w:color w:val="000000"/>
          <w:sz w:val="32"/>
          <w:szCs w:val="32"/>
          <w:lang w:eastAsia="en-GB"/>
        </w:rPr>
        <w:t>The Southbank Centre</w:t>
      </w:r>
      <w:r>
        <w:rPr>
          <w:rFonts w:ascii="Arial" w:eastAsia="Times New Roman" w:hAnsi="Arial" w:cs="Arial"/>
          <w:b/>
          <w:bCs/>
          <w:color w:val="000000"/>
          <w:sz w:val="32"/>
          <w:szCs w:val="32"/>
          <w:lang w:eastAsia="en-GB"/>
        </w:rPr>
        <w:t xml:space="preserve"> (ECA0137)</w:t>
      </w:r>
    </w:p>
    <w:p w:rsidR="00876FBA" w:rsidRPr="00876FBA" w:rsidP="00876FBA">
      <w:pPr>
        <w:spacing w:line="240" w:lineRule="auto"/>
        <w:jc w:val="center"/>
        <w:rPr>
          <w:rFonts w:ascii="Arial" w:eastAsia="Times New Roman" w:hAnsi="Arial" w:cs="Arial"/>
          <w:color w:val="000000"/>
          <w:sz w:val="32"/>
          <w:szCs w:val="32"/>
          <w:lang w:eastAsia="en-GB"/>
        </w:rPr>
      </w:pPr>
    </w:p>
    <w:p w:rsidR="00D64571" w:rsidRPr="000F46A9" w:rsidP="00F70BFB">
      <w:pPr>
        <w:spacing w:line="240" w:lineRule="auto"/>
        <w:rPr>
          <w:rFonts w:ascii="Arial" w:eastAsia="Times New Roman" w:hAnsi="Arial" w:cs="Arial"/>
          <w:sz w:val="24"/>
          <w:szCs w:val="24"/>
          <w:lang w:eastAsia="en-GB"/>
        </w:rPr>
      </w:pPr>
      <w:r w:rsidRPr="000F46A9">
        <w:rPr>
          <w:rFonts w:ascii="Arial" w:eastAsia="Times New Roman" w:hAnsi="Arial" w:cs="Arial"/>
          <w:b/>
          <w:bCs/>
          <w:color w:val="000000"/>
          <w:sz w:val="32"/>
          <w:szCs w:val="32"/>
          <w:lang w:eastAsia="en-GB"/>
        </w:rPr>
        <w:t>‘Every Child Achieving and Thriving’ White Paper: Education Committee Inquiry</w:t>
      </w:r>
    </w:p>
    <w:p w:rsidR="00D64571" w:rsidRPr="000F46A9" w:rsidP="00F70BFB">
      <w:pPr>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32"/>
          <w:szCs w:val="32"/>
          <w:lang w:eastAsia="en-GB"/>
        </w:rPr>
        <w:t>Southbank Centre Submission</w:t>
      </w:r>
    </w:p>
    <w:p w:rsidR="00D64571" w:rsidRPr="000F46A9" w:rsidP="00F70BFB">
      <w:pPr>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32"/>
          <w:szCs w:val="32"/>
          <w:lang w:eastAsia="en-GB"/>
        </w:rPr>
        <w:t>July 2026</w:t>
      </w:r>
    </w:p>
    <w:p w:rsidR="00D64571" w:rsidRPr="000F46A9" w:rsidP="00F70BFB">
      <w:pPr>
        <w:spacing w:after="0" w:line="240" w:lineRule="auto"/>
        <w:rPr>
          <w:rFonts w:ascii="Arial" w:eastAsia="Times New Roman" w:hAnsi="Arial" w:cs="Arial"/>
          <w:sz w:val="24"/>
          <w:szCs w:val="24"/>
          <w:lang w:eastAsia="en-GB"/>
        </w:rPr>
      </w:pPr>
    </w:p>
    <w:p w:rsidR="00D64571" w:rsidRPr="000F46A9" w:rsidP="00F70BFB">
      <w:pPr>
        <w:spacing w:before="360" w:after="80" w:line="240" w:lineRule="auto"/>
        <w:jc w:val="both"/>
        <w:outlineLvl w:val="1"/>
        <w:rPr>
          <w:rFonts w:ascii="Arial" w:eastAsia="Times New Roman" w:hAnsi="Arial" w:cs="Arial"/>
          <w:b/>
          <w:bCs/>
          <w:sz w:val="36"/>
          <w:szCs w:val="36"/>
          <w:lang w:eastAsia="en-GB"/>
        </w:rPr>
      </w:pPr>
      <w:r w:rsidRPr="000F46A9">
        <w:rPr>
          <w:rFonts w:ascii="Arial" w:eastAsia="Times New Roman" w:hAnsi="Arial" w:cs="Arial"/>
          <w:b/>
          <w:bCs/>
          <w:color w:val="000000"/>
          <w:sz w:val="28"/>
          <w:szCs w:val="28"/>
          <w:lang w:eastAsia="en-GB"/>
        </w:rPr>
        <w:t>About the Southbank Centre:</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The Southbank Centre is the UK’s largest multi-arts centre. Driven by the ambition and values of our 1951 Festival of Britain origins, our guiding principle remains that arts, ideas, and culture can heal communities and should be accessible to everyone. While we are uniquely able to offer a world-class artistic programme across our iconic venues (including the Royal Festival Hall and Hayward Gallery) and alongside our resident orchestras, our core mission extends far beyond our buildings. As the home to the</w:t>
      </w:r>
      <w:r w:rsidRPr="000F46A9">
        <w:rPr>
          <w:rFonts w:ascii="Arial" w:eastAsia="Times New Roman" w:hAnsi="Arial" w:cs="Arial"/>
          <w:color w:val="000000"/>
          <w:sz w:val="24"/>
          <w:szCs w:val="24"/>
          <w:lang w:eastAsia="en-GB"/>
        </w:rPr>
        <w:t xml:space="preserve"> National Academy for Social Prescribing (NASP) and youth organisations like Tomorrow’s Warriors, we are uniquely positioned to deliver impactful, large-scale educational and community programmes that address systemic disadvantages for young people across the UK. </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fldChar w:fldCharType="begin"/>
      </w:r>
      <w:r>
        <w:instrText xml:space="preserve"> HYPERLINK "http://www.southbankcentre.co.uk/" </w:instrText>
      </w:r>
      <w:r>
        <w:fldChar w:fldCharType="separate"/>
      </w:r>
      <w:r w:rsidRPr="000F46A9">
        <w:rPr>
          <w:rFonts w:ascii="Arial" w:eastAsia="Times New Roman" w:hAnsi="Arial" w:cs="Arial"/>
          <w:color w:val="1155CC"/>
          <w:sz w:val="24"/>
          <w:szCs w:val="24"/>
          <w:u w:val="single"/>
          <w:lang w:eastAsia="en-GB"/>
        </w:rPr>
        <w:t>www.southbankcentre.co.uk</w:t>
      </w:r>
      <w:r>
        <w:fldChar w:fldCharType="end"/>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This submission addresses the following elements of the Inquiry’s Terms of Reference:</w:t>
      </w:r>
    </w:p>
    <w:p w:rsidR="00D64571" w:rsidRPr="000F46A9" w:rsidP="00F70BFB">
      <w:pPr>
        <w:numPr>
          <w:ilvl w:val="0"/>
          <w:numId w:val="1"/>
        </w:numPr>
        <w:shd w:val="clear" w:color="auto" w:fill="FFFFFF"/>
        <w:spacing w:after="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color w:val="000000"/>
          <w:sz w:val="24"/>
          <w:szCs w:val="24"/>
          <w:lang w:eastAsia="en-GB"/>
        </w:rPr>
        <w:t>Enrichment, belonging and behaviour</w:t>
      </w:r>
    </w:p>
    <w:p w:rsidR="00D64571" w:rsidRPr="000F46A9" w:rsidP="00F70BFB">
      <w:pPr>
        <w:numPr>
          <w:ilvl w:val="1"/>
          <w:numId w:val="1"/>
        </w:numPr>
        <w:shd w:val="clear" w:color="auto" w:fill="FFFFFF"/>
        <w:spacing w:after="0" w:line="240" w:lineRule="auto"/>
        <w:textAlignment w:val="baseline"/>
        <w:rPr>
          <w:rFonts w:ascii="Arial" w:eastAsia="Times New Roman" w:hAnsi="Arial" w:cs="Arial"/>
          <w:color w:val="000000"/>
          <w:lang w:eastAsia="en-GB"/>
        </w:rPr>
      </w:pPr>
      <w:r w:rsidRPr="000F46A9">
        <w:rPr>
          <w:rFonts w:ascii="Arial" w:eastAsia="Times New Roman" w:hAnsi="Arial" w:cs="Arial"/>
          <w:color w:val="000000"/>
          <w:sz w:val="24"/>
          <w:szCs w:val="24"/>
          <w:lang w:eastAsia="en-GB"/>
        </w:rPr>
        <w:t>The role of enrichment activities (including arts, sport, and civic engagement) in improving pupil outcomes and wellbeing.</w:t>
      </w:r>
    </w:p>
    <w:p w:rsidR="00D64571" w:rsidRPr="000F46A9" w:rsidP="00F70BFB">
      <w:pPr>
        <w:shd w:val="clear" w:color="auto" w:fill="FFFFFF"/>
        <w:spacing w:after="0" w:line="240" w:lineRule="auto"/>
        <w:ind w:left="1440"/>
        <w:rPr>
          <w:rFonts w:ascii="Arial" w:eastAsia="Times New Roman" w:hAnsi="Arial" w:cs="Arial"/>
          <w:sz w:val="24"/>
          <w:szCs w:val="24"/>
          <w:lang w:eastAsia="en-GB"/>
        </w:rPr>
      </w:pPr>
    </w:p>
    <w:p w:rsidR="00D64571" w:rsidRPr="000F46A9" w:rsidP="00F70BFB">
      <w:pPr>
        <w:shd w:val="clear" w:color="auto" w:fill="FFFFFF"/>
        <w:spacing w:line="240" w:lineRule="auto"/>
        <w:jc w:val="both"/>
        <w:rPr>
          <w:rFonts w:ascii="Arial" w:eastAsia="Times New Roman" w:hAnsi="Arial" w:cs="Arial"/>
          <w:sz w:val="24"/>
          <w:szCs w:val="24"/>
          <w:lang w:eastAsia="en-GB"/>
        </w:rPr>
      </w:pPr>
      <w:r w:rsidRPr="000F46A9">
        <w:rPr>
          <w:rFonts w:ascii="Arial" w:eastAsia="Times New Roman" w:hAnsi="Arial" w:cs="Arial"/>
          <w:b/>
          <w:bCs/>
          <w:color w:val="000000"/>
          <w:sz w:val="28"/>
          <w:szCs w:val="28"/>
          <w:lang w:eastAsia="en-GB"/>
        </w:rPr>
        <w:t>Recommendations:</w:t>
      </w:r>
    </w:p>
    <w:p w:rsidR="00D64571" w:rsidRPr="000F46A9" w:rsidP="00F70BFB">
      <w:pPr>
        <w:numPr>
          <w:ilvl w:val="0"/>
          <w:numId w:val="2"/>
        </w:numPr>
        <w:shd w:val="clear" w:color="auto" w:fill="FFFFFF"/>
        <w:spacing w:before="240" w:after="0" w:line="240" w:lineRule="auto"/>
        <w:jc w:val="both"/>
        <w:textAlignment w:val="baseline"/>
        <w:rPr>
          <w:rFonts w:ascii="Arial" w:eastAsia="Times New Roman" w:hAnsi="Arial" w:cs="Arial"/>
          <w:color w:val="000000"/>
          <w:sz w:val="24"/>
          <w:szCs w:val="24"/>
          <w:lang w:eastAsia="en-GB"/>
        </w:rPr>
      </w:pPr>
      <w:r w:rsidRPr="000F46A9">
        <w:rPr>
          <w:rFonts w:ascii="Arial" w:eastAsia="Times New Roman" w:hAnsi="Arial" w:cs="Arial"/>
          <w:b/>
          <w:bCs/>
          <w:color w:val="000000"/>
          <w:sz w:val="24"/>
          <w:szCs w:val="24"/>
          <w:lang w:eastAsia="en-GB"/>
        </w:rPr>
        <w:t xml:space="preserve">Recommendation 1 (Evidence Base): </w:t>
      </w:r>
      <w:r w:rsidRPr="000F46A9">
        <w:rPr>
          <w:rFonts w:ascii="Arial" w:eastAsia="Times New Roman" w:hAnsi="Arial" w:cs="Arial"/>
          <w:color w:val="000000"/>
          <w:sz w:val="24"/>
          <w:szCs w:val="24"/>
          <w:lang w:eastAsia="en-GB"/>
        </w:rPr>
        <w:t>To support evidence-based policymaking, DfE should establish a National Arts Education and Participation Evidence Hub to collate and share research on the role, importance, and impact creative subjects have on pupil attainment, happiness, and health. This should include sharing best practice across arts disciplines, tracking teacher numbers, and collecting robust data on the take-up of arts subjects at GCSE. </w:t>
      </w:r>
    </w:p>
    <w:p w:rsidR="00D64571" w:rsidRPr="000F46A9" w:rsidP="00F70BFB">
      <w:pPr>
        <w:numPr>
          <w:ilvl w:val="0"/>
          <w:numId w:val="2"/>
        </w:numPr>
        <w:shd w:val="clear" w:color="auto" w:fill="FFFFFF"/>
        <w:spacing w:after="0" w:line="240" w:lineRule="auto"/>
        <w:jc w:val="both"/>
        <w:textAlignment w:val="baseline"/>
        <w:rPr>
          <w:rFonts w:ascii="Arial" w:eastAsia="Times New Roman" w:hAnsi="Arial" w:cs="Arial"/>
          <w:color w:val="000000"/>
          <w:sz w:val="24"/>
          <w:szCs w:val="24"/>
          <w:lang w:eastAsia="en-GB"/>
        </w:rPr>
      </w:pPr>
      <w:r w:rsidRPr="000F46A9">
        <w:rPr>
          <w:rFonts w:ascii="Arial" w:eastAsia="Times New Roman" w:hAnsi="Arial" w:cs="Arial"/>
          <w:b/>
          <w:bCs/>
          <w:color w:val="000000"/>
          <w:sz w:val="24"/>
          <w:szCs w:val="24"/>
          <w:lang w:eastAsia="en-GB"/>
        </w:rPr>
        <w:t>Recommendation 2 (Enrichment Funding):</w:t>
      </w:r>
      <w:r w:rsidRPr="000F46A9">
        <w:rPr>
          <w:rFonts w:ascii="Arial" w:eastAsia="Times New Roman" w:hAnsi="Arial" w:cs="Arial"/>
          <w:color w:val="000000"/>
          <w:sz w:val="24"/>
          <w:szCs w:val="24"/>
          <w:lang w:eastAsia="en-GB"/>
        </w:rPr>
        <w:t xml:space="preserve"> DfE should replace fragmented, short-term competitive grant schemes with a streamlined, multi-year targeted enrichment grant calculated on Free School Meal (FSM) density, coupled with mandatory equity monitoring across local authorities, to complement and extend core statutory arts education, rather than replace it. We advocate for a stronger role for local communities, VCSE organisations, and specialist arts organisations in supporting schools to run projects. </w:t>
      </w:r>
    </w:p>
    <w:p w:rsidR="00D64571" w:rsidRPr="000F46A9" w:rsidP="00F70BFB">
      <w:pPr>
        <w:numPr>
          <w:ilvl w:val="0"/>
          <w:numId w:val="2"/>
        </w:numPr>
        <w:shd w:val="clear" w:color="auto" w:fill="FFFFFF"/>
        <w:spacing w:after="0" w:line="240" w:lineRule="auto"/>
        <w:jc w:val="both"/>
        <w:textAlignment w:val="baseline"/>
        <w:rPr>
          <w:rFonts w:ascii="Arial" w:eastAsia="Times New Roman" w:hAnsi="Arial" w:cs="Arial"/>
          <w:color w:val="000000"/>
          <w:sz w:val="24"/>
          <w:szCs w:val="24"/>
          <w:lang w:eastAsia="en-GB"/>
        </w:rPr>
      </w:pPr>
      <w:r w:rsidRPr="000F46A9">
        <w:rPr>
          <w:rFonts w:ascii="Arial" w:eastAsia="Times New Roman" w:hAnsi="Arial" w:cs="Arial"/>
          <w:b/>
          <w:bCs/>
          <w:color w:val="000000"/>
          <w:sz w:val="24"/>
          <w:szCs w:val="24"/>
          <w:lang w:eastAsia="en-GB"/>
        </w:rPr>
        <w:t>Recommendation 3 (Mental Health &amp; CAMHS):</w:t>
      </w:r>
      <w:r w:rsidRPr="000F46A9">
        <w:rPr>
          <w:rFonts w:ascii="Arial" w:eastAsia="Times New Roman" w:hAnsi="Arial" w:cs="Arial"/>
          <w:color w:val="000000"/>
          <w:sz w:val="24"/>
          <w:szCs w:val="24"/>
          <w:lang w:eastAsia="en-GB"/>
        </w:rPr>
        <w:t xml:space="preserve"> DfE and DHSC should establish a joint Non-Clinical Early Intervention Fund to support creative projects that enhance young people’s wellbeing. This fund should support both preventative measures and interventions for those on Child and Adolescent Mental Health Services (CAMHS) waiting lists - such as the Southbank Centre’s </w:t>
      </w:r>
      <w:r w:rsidRPr="000F46A9">
        <w:rPr>
          <w:rFonts w:ascii="Arial" w:eastAsia="Times New Roman" w:hAnsi="Arial" w:cs="Arial"/>
          <w:i/>
          <w:iCs/>
          <w:color w:val="000000"/>
          <w:sz w:val="24"/>
          <w:szCs w:val="24"/>
          <w:lang w:eastAsia="en-GB"/>
        </w:rPr>
        <w:t>Creative Waiting</w:t>
      </w:r>
      <w:r w:rsidRPr="000F46A9">
        <w:rPr>
          <w:rFonts w:ascii="Arial" w:eastAsia="Times New Roman" w:hAnsi="Arial" w:cs="Arial"/>
          <w:color w:val="000000"/>
          <w:sz w:val="24"/>
          <w:szCs w:val="24"/>
          <w:lang w:eastAsia="en-GB"/>
        </w:rPr>
        <w:t xml:space="preserve"> programme. </w:t>
      </w:r>
    </w:p>
    <w:p w:rsidR="00D64571" w:rsidRPr="000F46A9" w:rsidP="00F70BFB">
      <w:pPr>
        <w:numPr>
          <w:ilvl w:val="0"/>
          <w:numId w:val="2"/>
        </w:numPr>
        <w:shd w:val="clear" w:color="auto" w:fill="FFFFFF"/>
        <w:spacing w:after="240" w:line="240" w:lineRule="auto"/>
        <w:jc w:val="both"/>
        <w:textAlignment w:val="baseline"/>
        <w:rPr>
          <w:rFonts w:ascii="Arial" w:eastAsia="Times New Roman" w:hAnsi="Arial" w:cs="Arial"/>
          <w:color w:val="000000"/>
          <w:sz w:val="24"/>
          <w:szCs w:val="24"/>
          <w:lang w:eastAsia="en-GB"/>
        </w:rPr>
      </w:pPr>
      <w:r w:rsidRPr="000F46A9">
        <w:rPr>
          <w:rFonts w:ascii="Arial" w:eastAsia="Times New Roman" w:hAnsi="Arial" w:cs="Arial"/>
          <w:b/>
          <w:bCs/>
          <w:color w:val="000000"/>
          <w:sz w:val="24"/>
          <w:szCs w:val="24"/>
          <w:lang w:eastAsia="en-GB"/>
        </w:rPr>
        <w:t>Recommendation 4 (Workforce &amp; Skills):</w:t>
      </w:r>
      <w:r w:rsidRPr="000F46A9">
        <w:rPr>
          <w:rFonts w:ascii="Arial" w:eastAsia="Times New Roman" w:hAnsi="Arial" w:cs="Arial"/>
          <w:color w:val="000000"/>
          <w:sz w:val="24"/>
          <w:szCs w:val="24"/>
          <w:lang w:eastAsia="en-GB"/>
        </w:rPr>
        <w:t xml:space="preserve"> DfE should introduce specific measures to halt the decline in GCSE arts entries, supported by ring-fenced Continuing Professional Development (CPD) funding for creative subject leaders. We also advocate for a major recruitment and retention drive for specialist arts subject teachers to eliminate the current postcode lottery. </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b/>
          <w:bCs/>
          <w:color w:val="000000"/>
          <w:sz w:val="28"/>
          <w:szCs w:val="28"/>
          <w:lang w:eastAsia="en-GB"/>
        </w:rPr>
        <w:t>Background: The Southbank Centre’s work with Children and Young People:</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Our Arts &amp; Wellbeing programme offers year-round projects and events that foster comfort, connection, and creativity in our communities. In particular, it responds to the urgent need for accessible and inclusive support for young people at a time when an entire generation is experiencing significant pressure.</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We run year-round activities for primary and secondary schools through our Schools Programme to inspire a love of the arts and support curriculum learning. In 2025, we engaged 328 schools and 6,860 pupils.</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i/>
          <w:iCs/>
          <w:color w:val="000000"/>
          <w:sz w:val="24"/>
          <w:szCs w:val="24"/>
          <w:u w:val="single"/>
          <w:lang w:eastAsia="en-GB"/>
        </w:rPr>
        <w:t xml:space="preserve">CASE STUDY - </w:t>
      </w:r>
      <w:r>
        <w:fldChar w:fldCharType="begin"/>
      </w:r>
      <w:r>
        <w:instrText xml:space="preserve"> HYPERLINK "https://www.southbankcentre.co.uk/create-learn/schools/inspire-schools/" </w:instrText>
      </w:r>
      <w:r>
        <w:fldChar w:fldCharType="separate"/>
      </w:r>
      <w:r w:rsidRPr="000F46A9">
        <w:rPr>
          <w:rFonts w:ascii="Arial" w:eastAsia="Times New Roman" w:hAnsi="Arial" w:cs="Arial"/>
          <w:i/>
          <w:iCs/>
          <w:color w:val="1155CC"/>
          <w:sz w:val="24"/>
          <w:szCs w:val="24"/>
          <w:u w:val="single"/>
          <w:lang w:eastAsia="en-GB"/>
        </w:rPr>
        <w:t>Reframe: Inspire Schools</w:t>
      </w:r>
      <w:r>
        <w:fldChar w:fldCharType="end"/>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Through our </w:t>
      </w:r>
      <w:r w:rsidRPr="000F46A9">
        <w:rPr>
          <w:rFonts w:ascii="Arial" w:eastAsia="Times New Roman" w:hAnsi="Arial" w:cs="Arial"/>
          <w:i/>
          <w:iCs/>
          <w:color w:val="000000"/>
          <w:sz w:val="24"/>
          <w:szCs w:val="24"/>
          <w:lang w:eastAsia="en-GB"/>
        </w:rPr>
        <w:t>Reframe: Inspire Schools</w:t>
      </w:r>
      <w:r w:rsidRPr="000F46A9">
        <w:rPr>
          <w:rFonts w:ascii="Arial" w:eastAsia="Times New Roman" w:hAnsi="Arial" w:cs="Arial"/>
          <w:color w:val="000000"/>
          <w:sz w:val="24"/>
          <w:szCs w:val="24"/>
          <w:lang w:eastAsia="en-GB"/>
        </w:rPr>
        <w:t xml:space="preserve"> project, we have worked with Key Stage 3 pupils in Birmingham, London, and Manchester over several years. In the most recent </w:t>
      </w:r>
      <w:r w:rsidRPr="000F46A9">
        <w:rPr>
          <w:rFonts w:ascii="Arial" w:eastAsia="Times New Roman" w:hAnsi="Arial" w:cs="Arial"/>
          <w:color w:val="000000"/>
          <w:sz w:val="24"/>
          <w:szCs w:val="24"/>
          <w:lang w:eastAsia="en-GB"/>
        </w:rPr>
        <w:t>cohort, students worked with professional artists to create a digital zine, providing them with an opportunity to develop new creative skills and display their work in public exhibitions.</w:t>
      </w:r>
    </w:p>
    <w:p w:rsidR="00D64571" w:rsidRPr="000F46A9" w:rsidP="00F70BFB">
      <w:pPr>
        <w:shd w:val="clear" w:color="auto" w:fill="FFFFFF"/>
        <w:spacing w:after="24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Since 2022, the </w:t>
      </w:r>
      <w:r w:rsidRPr="000F46A9">
        <w:rPr>
          <w:rFonts w:ascii="Arial" w:eastAsia="Times New Roman" w:hAnsi="Arial" w:cs="Arial"/>
          <w:i/>
          <w:iCs/>
          <w:color w:val="000000"/>
          <w:sz w:val="24"/>
          <w:szCs w:val="24"/>
          <w:lang w:eastAsia="en-GB"/>
        </w:rPr>
        <w:t>Inspire Schools</w:t>
      </w:r>
      <w:r w:rsidRPr="000F46A9">
        <w:rPr>
          <w:rFonts w:ascii="Arial" w:eastAsia="Times New Roman" w:hAnsi="Arial" w:cs="Arial"/>
          <w:color w:val="000000"/>
          <w:sz w:val="24"/>
          <w:szCs w:val="24"/>
          <w:lang w:eastAsia="en-GB"/>
        </w:rPr>
        <w:t xml:space="preserve"> project has reached:</w:t>
      </w:r>
    </w:p>
    <w:p w:rsidR="00D64571" w:rsidRPr="000F46A9" w:rsidP="00F70BFB">
      <w:pPr>
        <w:numPr>
          <w:ilvl w:val="0"/>
          <w:numId w:val="3"/>
        </w:numPr>
        <w:shd w:val="clear" w:color="auto" w:fill="FFFFFF"/>
        <w:spacing w:before="240" w:after="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color w:val="000000"/>
          <w:sz w:val="24"/>
          <w:szCs w:val="24"/>
          <w:lang w:eastAsia="en-GB"/>
        </w:rPr>
        <w:t>39 secondary schools across London, Manchester, and Birmingham.</w:t>
      </w:r>
    </w:p>
    <w:p w:rsidR="00D64571" w:rsidRPr="000F46A9" w:rsidP="00F70BFB">
      <w:pPr>
        <w:numPr>
          <w:ilvl w:val="0"/>
          <w:numId w:val="3"/>
        </w:numPr>
        <w:shd w:val="clear" w:color="auto" w:fill="FFFFFF"/>
        <w:spacing w:after="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color w:val="000000"/>
          <w:sz w:val="24"/>
          <w:szCs w:val="24"/>
          <w:lang w:eastAsia="en-GB"/>
        </w:rPr>
        <w:t>1,252 young people.</w:t>
      </w:r>
    </w:p>
    <w:p w:rsidR="00D64571" w:rsidRPr="000F46A9" w:rsidP="00F70BFB">
      <w:pPr>
        <w:numPr>
          <w:ilvl w:val="0"/>
          <w:numId w:val="3"/>
        </w:numPr>
        <w:shd w:val="clear" w:color="auto" w:fill="FFFFFF"/>
        <w:spacing w:after="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color w:val="000000"/>
          <w:sz w:val="24"/>
          <w:szCs w:val="24"/>
          <w:lang w:eastAsia="en-GB"/>
        </w:rPr>
        <w:t>274 artist-led workshops nurturing creativity and digital skills.</w:t>
      </w:r>
    </w:p>
    <w:p w:rsidR="00D64571" w:rsidRPr="000F46A9" w:rsidP="00F70BFB">
      <w:pPr>
        <w:numPr>
          <w:ilvl w:val="0"/>
          <w:numId w:val="3"/>
        </w:numPr>
        <w:shd w:val="clear" w:color="auto" w:fill="FFFFFF"/>
        <w:spacing w:after="24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color w:val="000000"/>
          <w:sz w:val="24"/>
          <w:szCs w:val="24"/>
          <w:lang w:eastAsia="en-GB"/>
        </w:rPr>
        <w:t>14 schools participating in two or more projects, including 6 specialist schools supporting children outside mainstream education.</w:t>
      </w:r>
    </w:p>
    <w:p w:rsidR="00D64571" w:rsidRPr="000F46A9" w:rsidP="00F70BFB">
      <w:pPr>
        <w:spacing w:after="0" w:line="240" w:lineRule="auto"/>
        <w:rPr>
          <w:rFonts w:ascii="Arial" w:eastAsia="Times New Roman" w:hAnsi="Arial" w:cs="Arial"/>
          <w:sz w:val="24"/>
          <w:szCs w:val="24"/>
          <w:lang w:eastAsia="en-GB"/>
        </w:rPr>
      </w:pPr>
      <w:r w:rsidRPr="000F46A9">
        <w:rPr>
          <w:rFonts w:ascii="Arial" w:eastAsia="Times New Roman" w:hAnsi="Arial" w:cs="Arial"/>
          <w:color w:val="000000"/>
          <w:lang w:eastAsia="en-GB"/>
        </w:rPr>
        <w:t>‘Overall, REFRAME has built confidence, curiosity and pride. It has encouraged the boys to take creative risks, explore digital media, and recognise the value of their own voice as part of a wider artistic journey’.  - Teacher from Birmingham</w:t>
      </w:r>
    </w:p>
    <w:p w:rsidR="00D64571" w:rsidRPr="000F46A9" w:rsidP="00F70BFB">
      <w:pPr>
        <w:spacing w:after="0" w:line="240" w:lineRule="auto"/>
        <w:rPr>
          <w:rFonts w:ascii="Arial" w:eastAsia="Times New Roman" w:hAnsi="Arial" w:cs="Arial"/>
          <w:sz w:val="24"/>
          <w:szCs w:val="24"/>
          <w:lang w:eastAsia="en-GB"/>
        </w:rPr>
      </w:pPr>
    </w:p>
    <w:p w:rsidR="00D64571" w:rsidRPr="000F46A9" w:rsidP="00F70BFB">
      <w:pPr>
        <w:spacing w:after="0" w:line="240" w:lineRule="auto"/>
        <w:rPr>
          <w:rFonts w:ascii="Arial" w:eastAsia="Times New Roman" w:hAnsi="Arial" w:cs="Arial"/>
          <w:sz w:val="24"/>
          <w:szCs w:val="24"/>
          <w:lang w:eastAsia="en-GB"/>
        </w:rPr>
      </w:pPr>
      <w:r w:rsidRPr="000F46A9">
        <w:rPr>
          <w:rFonts w:ascii="Arial" w:eastAsia="Times New Roman" w:hAnsi="Arial" w:cs="Arial"/>
          <w:color w:val="000000"/>
          <w:lang w:eastAsia="en-GB"/>
        </w:rPr>
        <w:t>‘I am not looking into creative jobs, but I would say I am really creative and I want to continue this in the future so I might do some iPad scrapbooking to express my creativity.’ - Year 9 student from London</w:t>
      </w:r>
    </w:p>
    <w:p w:rsidR="00D64571" w:rsidRPr="000F46A9" w:rsidP="00F70BFB">
      <w:pPr>
        <w:spacing w:after="0" w:line="240" w:lineRule="auto"/>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i/>
          <w:iCs/>
          <w:color w:val="000000"/>
          <w:sz w:val="24"/>
          <w:szCs w:val="24"/>
          <w:u w:val="single"/>
          <w:lang w:eastAsia="en-GB"/>
        </w:rPr>
        <w:t xml:space="preserve">CASE STUDY - </w:t>
      </w:r>
      <w:r>
        <w:fldChar w:fldCharType="begin"/>
      </w:r>
      <w:r>
        <w:instrText xml:space="preserve"> HYPERLINK "https://www.southbankcentre.co.uk/create-learn/schools/imagine-a-story-a-creative-writing-project-for-schools/" </w:instrText>
      </w:r>
      <w:r>
        <w:fldChar w:fldCharType="separate"/>
      </w:r>
      <w:r w:rsidRPr="000F46A9">
        <w:rPr>
          <w:rFonts w:ascii="Arial" w:eastAsia="Times New Roman" w:hAnsi="Arial" w:cs="Arial"/>
          <w:i/>
          <w:iCs/>
          <w:color w:val="1155CC"/>
          <w:sz w:val="24"/>
          <w:szCs w:val="24"/>
          <w:u w:val="single"/>
          <w:lang w:eastAsia="en-GB"/>
        </w:rPr>
        <w:t>Imagine a Story</w:t>
      </w:r>
      <w:r>
        <w:fldChar w:fldCharType="end"/>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Our Key Stage 2 literacy and creative writing programme, </w:t>
      </w:r>
      <w:r w:rsidRPr="000F46A9">
        <w:rPr>
          <w:rFonts w:ascii="Arial" w:eastAsia="Times New Roman" w:hAnsi="Arial" w:cs="Arial"/>
          <w:i/>
          <w:iCs/>
          <w:color w:val="000000"/>
          <w:sz w:val="24"/>
          <w:szCs w:val="24"/>
          <w:lang w:eastAsia="en-GB"/>
        </w:rPr>
        <w:t>Imagine a Story</w:t>
      </w:r>
      <w:r w:rsidRPr="000F46A9">
        <w:rPr>
          <w:rFonts w:ascii="Arial" w:eastAsia="Times New Roman" w:hAnsi="Arial" w:cs="Arial"/>
          <w:color w:val="000000"/>
          <w:sz w:val="24"/>
          <w:szCs w:val="24"/>
          <w:lang w:eastAsia="en-GB"/>
        </w:rPr>
        <w:t>, turns children into published co-authors of a professionally produced book. Using an author’s framework as a starting point, participating schools author individual chapters of an adventure story—without knowing the details of other chapters—until they come together for a final sharing celebration. We prioritise diversity in our guest authors and illustrators, ensuring children see themselves reflected in the stories they create.</w:t>
      </w:r>
    </w:p>
    <w:p w:rsidR="00D64571" w:rsidRPr="000F46A9" w:rsidP="00F70BFB">
      <w:pPr>
        <w:shd w:val="clear" w:color="auto" w:fill="FFFFFF"/>
        <w:spacing w:after="24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Impact in 2025:</w:t>
      </w:r>
    </w:p>
    <w:p w:rsidR="00D64571" w:rsidRPr="000F46A9" w:rsidP="00F70BFB">
      <w:pPr>
        <w:numPr>
          <w:ilvl w:val="0"/>
          <w:numId w:val="4"/>
        </w:numPr>
        <w:shd w:val="clear" w:color="auto" w:fill="FFFFFF"/>
        <w:spacing w:before="240" w:after="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color w:val="000000"/>
          <w:sz w:val="24"/>
          <w:szCs w:val="24"/>
          <w:lang w:eastAsia="en-GB"/>
        </w:rPr>
        <w:t>96% of teachers reported a positive impact on pupils’ interest in writing, leading to improved focus and classroom engagement.</w:t>
      </w:r>
    </w:p>
    <w:p w:rsidR="00D64571" w:rsidRPr="000F46A9" w:rsidP="00F70BFB">
      <w:pPr>
        <w:numPr>
          <w:ilvl w:val="0"/>
          <w:numId w:val="4"/>
        </w:numPr>
        <w:shd w:val="clear" w:color="auto" w:fill="FFFFFF"/>
        <w:spacing w:after="24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color w:val="000000"/>
          <w:sz w:val="24"/>
          <w:szCs w:val="24"/>
          <w:lang w:eastAsia="en-GB"/>
        </w:rPr>
        <w:t>85% of teachers saw a boost in pupils’ creative confidence, translating directly to improved behaviour and greater willingness to participate in school life.</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i/>
          <w:iCs/>
          <w:color w:val="000000"/>
          <w:sz w:val="24"/>
          <w:szCs w:val="24"/>
          <w:u w:val="single"/>
          <w:lang w:eastAsia="en-GB"/>
        </w:rPr>
        <w:t xml:space="preserve">CASE STUDY - Launching the </w:t>
      </w:r>
      <w:r>
        <w:fldChar w:fldCharType="begin"/>
      </w:r>
      <w:r>
        <w:instrText xml:space="preserve"> HYPERLINK "https://www.southbankcentre.co.uk/create-learn/arts-wellbeing/youth-collective/" </w:instrText>
      </w:r>
      <w:r>
        <w:fldChar w:fldCharType="separate"/>
      </w:r>
      <w:r w:rsidRPr="000F46A9">
        <w:rPr>
          <w:rFonts w:ascii="Arial" w:eastAsia="Times New Roman" w:hAnsi="Arial" w:cs="Arial"/>
          <w:i/>
          <w:iCs/>
          <w:color w:val="1155CC"/>
          <w:sz w:val="24"/>
          <w:szCs w:val="24"/>
          <w:u w:val="single"/>
          <w:lang w:eastAsia="en-GB"/>
        </w:rPr>
        <w:t>Youth Collective</w:t>
      </w:r>
      <w:r>
        <w:fldChar w:fldCharType="end"/>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24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In summer 2025, we launched the Youth Collective in partnership with Lambeth-based organisation Black Thrive. This collective consists of 11–25-year-olds from our local area who co-design our Arts &amp; Wellbeing youth programmes. To establish the group, we hosted creative workshops and taster sessions across youth clubs, schools, and community spaces in Lambeth and Southwark. The group meets regularly to develop skills and shape future youth programming.</w:t>
      </w:r>
    </w:p>
    <w:p w:rsidR="00D64571" w:rsidRPr="000F46A9" w:rsidP="00F70BFB">
      <w:pPr>
        <w:numPr>
          <w:ilvl w:val="0"/>
          <w:numId w:val="5"/>
        </w:numPr>
        <w:shd w:val="clear" w:color="auto" w:fill="FFFFFF"/>
        <w:spacing w:before="240" w:after="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i/>
          <w:iCs/>
          <w:color w:val="000000"/>
          <w:sz w:val="24"/>
          <w:szCs w:val="24"/>
          <w:lang w:eastAsia="en-GB"/>
        </w:rPr>
        <w:t>“Youth Collective feels like a warm living room.”</w:t>
      </w:r>
      <w:r w:rsidRPr="000F46A9">
        <w:rPr>
          <w:rFonts w:ascii="Arial" w:eastAsia="Times New Roman" w:hAnsi="Arial" w:cs="Arial"/>
          <w:color w:val="000000"/>
          <w:sz w:val="24"/>
          <w:szCs w:val="24"/>
          <w:lang w:eastAsia="en-GB"/>
        </w:rPr>
        <w:t xml:space="preserve"> — Participant quote, demonstrating a safe, inclusive environment.</w:t>
      </w:r>
    </w:p>
    <w:p w:rsidR="00D64571" w:rsidRPr="000F46A9" w:rsidP="00F70BFB">
      <w:pPr>
        <w:numPr>
          <w:ilvl w:val="0"/>
          <w:numId w:val="5"/>
        </w:numPr>
        <w:shd w:val="clear" w:color="auto" w:fill="FFFFFF"/>
        <w:spacing w:after="240" w:line="240" w:lineRule="auto"/>
        <w:textAlignment w:val="baseline"/>
        <w:rPr>
          <w:rFonts w:ascii="Arial" w:eastAsia="Times New Roman" w:hAnsi="Arial" w:cs="Arial"/>
          <w:color w:val="000000"/>
          <w:sz w:val="24"/>
          <w:szCs w:val="24"/>
          <w:lang w:eastAsia="en-GB"/>
        </w:rPr>
      </w:pPr>
      <w:r w:rsidRPr="000F46A9">
        <w:rPr>
          <w:rFonts w:ascii="Arial" w:eastAsia="Times New Roman" w:hAnsi="Arial" w:cs="Arial"/>
          <w:i/>
          <w:iCs/>
          <w:color w:val="000000"/>
          <w:sz w:val="24"/>
          <w:szCs w:val="24"/>
          <w:lang w:eastAsia="en-GB"/>
        </w:rPr>
        <w:t>“I feel supported and I know there’s a space I can come to and be myself, take a break from life and meet new people, it’s great.”</w:t>
      </w:r>
      <w:r w:rsidRPr="000F46A9">
        <w:rPr>
          <w:rFonts w:ascii="Arial" w:eastAsia="Times New Roman" w:hAnsi="Arial" w:cs="Arial"/>
          <w:color w:val="000000"/>
          <w:sz w:val="24"/>
          <w:szCs w:val="24"/>
          <w:lang w:eastAsia="en-GB"/>
        </w:rPr>
        <w:t xml:space="preserve"> — Participant quote, highlighting how community arts spaces support positive social behaviour and peer connection.</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i/>
          <w:iCs/>
          <w:color w:val="000000"/>
          <w:sz w:val="24"/>
          <w:szCs w:val="24"/>
          <w:u w:val="single"/>
          <w:lang w:eastAsia="en-GB"/>
        </w:rPr>
        <w:t xml:space="preserve">CASE STUDY - </w:t>
      </w:r>
      <w:r>
        <w:fldChar w:fldCharType="begin"/>
      </w:r>
      <w:r>
        <w:instrText xml:space="preserve"> HYPERLINK "https://www.southbankcentre.co.uk/create-learn/arts-wellbeing/creative-health-system-change-partnership/" </w:instrText>
      </w:r>
      <w:r>
        <w:fldChar w:fldCharType="separate"/>
      </w:r>
      <w:r w:rsidRPr="000F46A9">
        <w:rPr>
          <w:rFonts w:ascii="Arial" w:eastAsia="Times New Roman" w:hAnsi="Arial" w:cs="Arial"/>
          <w:i/>
          <w:iCs/>
          <w:color w:val="1155CC"/>
          <w:sz w:val="24"/>
          <w:szCs w:val="24"/>
          <w:u w:val="single"/>
          <w:lang w:eastAsia="en-GB"/>
        </w:rPr>
        <w:t>Creative Waiting</w:t>
      </w:r>
      <w:r>
        <w:fldChar w:fldCharType="end"/>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In 2025, we developed </w:t>
      </w:r>
      <w:r w:rsidRPr="000F46A9">
        <w:rPr>
          <w:rFonts w:ascii="Arial" w:eastAsia="Times New Roman" w:hAnsi="Arial" w:cs="Arial"/>
          <w:i/>
          <w:iCs/>
          <w:color w:val="000000"/>
          <w:sz w:val="24"/>
          <w:szCs w:val="24"/>
          <w:lang w:eastAsia="en-GB"/>
        </w:rPr>
        <w:t>Creative Waiting</w:t>
      </w:r>
      <w:r w:rsidRPr="000F46A9">
        <w:rPr>
          <w:rFonts w:ascii="Arial" w:eastAsia="Times New Roman" w:hAnsi="Arial" w:cs="Arial"/>
          <w:color w:val="000000"/>
          <w:sz w:val="24"/>
          <w:szCs w:val="24"/>
          <w:lang w:eastAsia="en-GB"/>
        </w:rPr>
        <w:t>, a transformative programme co-designed with young people aged 15–18 waiting for ADHD assessments. In partnership with the South East London Integrated Care Board and South London and the Maudsley NHS Foundation Trust—with R&amp;D funding from the Baring Foundation—we collaborated with young people who have experienced mental health challenges to design a 12-week creative programme co-facilitated by an artist and a therapist.</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We are confident this model offers a scalable solution to national youth mental health waiting list pressures. By equipping young people with coping mechanisms during a vulnerable period, we can prevent behavioural escalations and educational disengagement.</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‘Creativity can make waiting less lonely. It gives young people skills and coping mechanisms to use for the future.’ - Evie, co-design participant. </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b/>
          <w:bCs/>
          <w:color w:val="000000"/>
          <w:sz w:val="28"/>
          <w:szCs w:val="28"/>
          <w:lang w:eastAsia="en-GB"/>
        </w:rPr>
        <w:t>The potential of arts-rich education:</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Arts education is a powerful, yet often overlooked, catalyst for developing essential transferable skills, improving confidence and wellbeing, and closing disadvantage gaps. At a time when young people in the UK face record levels of anxiety, disconnection from peers and school, and an increasingly hostile online environment, the arts possess unique power to connect, build trust, and heal.</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Yet, over a decade of funding cuts and underinvestment in workforce and resources have relegated arts education to a ‘nice-to-have’. The result is a postcode lottery, where areas with the highest levels of deprivation report the lowest levels of provision and participation.</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The arts entitlement gap is widening, with severe consequences for attainment, wellbeing, and opportunity - particularly post-pandemic. This represents a lost opportunity, and current proposals in the ‘Every Child Achieving and Thriving’ White Paper do not fully unlock the potential of the arts.</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b/>
          <w:bCs/>
          <w:color w:val="000000"/>
          <w:sz w:val="28"/>
          <w:szCs w:val="28"/>
          <w:lang w:eastAsia="en-GB"/>
        </w:rPr>
        <w:t>Building the evidence base</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A key challenge in advancing arts-rich education is the fragmented nature of the evidence base and the lack of a coherent, well-understood narrative regarding the value of arts education as both a universal right and a targeted social good. Research demonstrating the benefits of arts participation is substantial, but divided across disciplines—including music, drama, dance, and visual arts—each with different outcomes, methodologies, and policy audiences. This creates compelling but disconnected cases for i</w:t>
      </w:r>
      <w:r w:rsidRPr="000F46A9">
        <w:rPr>
          <w:rFonts w:ascii="Arial" w:eastAsia="Times New Roman" w:hAnsi="Arial" w:cs="Arial"/>
          <w:color w:val="000000"/>
          <w:sz w:val="24"/>
          <w:szCs w:val="24"/>
          <w:lang w:eastAsia="en-GB"/>
        </w:rPr>
        <w:t>ndividual art forms, rather than a single, persuasive account of the value of arts-rich education as a whole.</w:t>
      </w:r>
    </w:p>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This stands in contrast to sport, where diverse evidence has been consolidated into a clear policy narrative. Sport is recognised not only as a universal entitlement, but also as a powerful driver of health, wellbeing, educational engagement, and social inclusion. That shared understanding has secured its place in the curriculum and justified sustained public investment.</w:t>
      </w:r>
    </w:p>
    <w:p w:rsidR="00D64571" w:rsidRPr="000F46A9" w:rsidP="00F70BFB">
      <w:pPr>
        <w:shd w:val="clear" w:color="auto" w:fill="FFFFFF"/>
        <w:spacing w:after="24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If arts education is to achieve a similar status, synthesising that evidence base into a tangible Action Plan with an irrefutable narrative must be a strategic priority. This requires moving beyond discipline-specific evidence to build an integrated understanding of how arts-rich education supports children's learning, development, health, and life chances. A stronger evidence base will give policymakers greater confidence, support targeted investment, and embed arts-rich education as a core element of a br</w:t>
      </w:r>
      <w:r w:rsidRPr="000F46A9">
        <w:rPr>
          <w:rFonts w:ascii="Arial" w:eastAsia="Times New Roman" w:hAnsi="Arial" w:cs="Arial"/>
          <w:color w:val="000000"/>
          <w:sz w:val="24"/>
          <w:szCs w:val="24"/>
          <w:lang w:eastAsia="en-GB"/>
        </w:rPr>
        <w:t>oad and balanced curriculum.</w:t>
      </w:r>
    </w:p>
    <w:tbl>
      <w:tblPr>
        <w:tblW w:w="0" w:type="auto"/>
        <w:tblCellMar>
          <w:top w:w="15" w:type="dxa"/>
          <w:left w:w="15" w:type="dxa"/>
          <w:bottom w:w="15" w:type="dxa"/>
          <w:right w:w="15" w:type="dxa"/>
        </w:tblCellMar>
        <w:tblLook w:val="04A0"/>
      </w:tblPr>
      <w:tblGrid>
        <w:gridCol w:w="9010"/>
      </w:tblGrid>
      <w:tr w:rsidTr="00F70BFB">
        <w:tblPrEx>
          <w:tblW w:w="0" w:type="auto"/>
          <w:tblCellMar>
            <w:top w:w="15" w:type="dxa"/>
            <w:left w:w="15" w:type="dxa"/>
            <w:bottom w:w="15" w:type="dxa"/>
            <w:right w:w="15" w:type="dxa"/>
          </w:tblCellMar>
          <w:tblLook w:val="04A0"/>
        </w:tblPrEx>
        <w:trPr>
          <w:trHeight w:val="1095"/>
        </w:trPr>
        <w:tc>
          <w:tcPr>
            <w:tcW w:w="0" w:type="auto"/>
            <w:tcBorders>
              <w:top w:val="single" w:sz="6" w:space="0" w:color="FFFFFF"/>
              <w:left w:val="single" w:sz="6" w:space="0" w:color="FFFFFF"/>
              <w:bottom w:val="single" w:sz="6" w:space="0" w:color="FFFFFF"/>
              <w:right w:val="single" w:sz="6" w:space="0" w:color="FFFFFF"/>
            </w:tcBorders>
            <w:tcMar>
              <w:top w:w="0" w:type="dxa"/>
              <w:left w:w="100" w:type="dxa"/>
              <w:bottom w:w="0" w:type="dxa"/>
              <w:right w:w="100" w:type="dxa"/>
            </w:tcMar>
            <w:hideMark/>
          </w:tcPr>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b/>
                <w:bCs/>
                <w:color w:val="000000"/>
                <w:sz w:val="24"/>
                <w:szCs w:val="24"/>
                <w:lang w:eastAsia="en-GB"/>
              </w:rPr>
              <w:t xml:space="preserve">Recommendation: </w:t>
            </w:r>
            <w:r w:rsidRPr="000F46A9">
              <w:rPr>
                <w:rFonts w:ascii="Arial" w:eastAsia="Times New Roman" w:hAnsi="Arial" w:cs="Arial"/>
                <w:color w:val="000000"/>
                <w:sz w:val="24"/>
                <w:szCs w:val="24"/>
                <w:lang w:eastAsia="en-GB"/>
              </w:rPr>
              <w:t>To support evidence-based policy making, DfE should establish a National Arts Education and Participation Evidence Hub, collating and sharing research and best practice across arts disciplines, including teacher numbers across the arts, and robust data on take up of arts subjects at GCSE. </w:t>
            </w:r>
          </w:p>
        </w:tc>
      </w:tr>
    </w:tbl>
    <w:p w:rsidR="00D64571" w:rsidRPr="000F46A9" w:rsidP="00F70BFB">
      <w:pPr>
        <w:shd w:val="clear" w:color="auto" w:fill="FFFFFF"/>
        <w:spacing w:after="0" w:line="240" w:lineRule="auto"/>
        <w:jc w:val="both"/>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w:t>
      </w:r>
    </w:p>
    <w:p w:rsidR="00D64571" w:rsidRPr="000F46A9" w:rsidP="00F70BFB">
      <w:pPr>
        <w:shd w:val="clear" w:color="auto" w:fill="FFFFFF"/>
        <w:spacing w:line="240" w:lineRule="auto"/>
        <w:jc w:val="both"/>
        <w:rPr>
          <w:rFonts w:ascii="Arial" w:eastAsia="Times New Roman" w:hAnsi="Arial" w:cs="Arial"/>
          <w:sz w:val="24"/>
          <w:szCs w:val="24"/>
          <w:lang w:eastAsia="en-GB"/>
        </w:rPr>
      </w:pPr>
      <w:r w:rsidRPr="000F46A9">
        <w:rPr>
          <w:rFonts w:ascii="Arial" w:eastAsia="Times New Roman" w:hAnsi="Arial" w:cs="Arial"/>
          <w:b/>
          <w:bCs/>
          <w:color w:val="000000"/>
          <w:sz w:val="28"/>
          <w:szCs w:val="28"/>
          <w:lang w:eastAsia="en-GB"/>
        </w:rPr>
        <w:t>Enrichment:</w:t>
      </w:r>
    </w:p>
    <w:p w:rsidR="00D64571" w:rsidRPr="000F46A9" w:rsidP="00F70BFB">
      <w:pPr>
        <w:numPr>
          <w:ilvl w:val="0"/>
          <w:numId w:val="6"/>
        </w:numPr>
        <w:shd w:val="clear" w:color="auto" w:fill="FFFFFF"/>
        <w:spacing w:line="240" w:lineRule="auto"/>
        <w:jc w:val="both"/>
        <w:textAlignment w:val="baseline"/>
        <w:rPr>
          <w:rFonts w:ascii="Arial" w:eastAsia="Times New Roman" w:hAnsi="Arial" w:cs="Arial"/>
          <w:i/>
          <w:iCs/>
          <w:color w:val="000000"/>
          <w:sz w:val="24"/>
          <w:szCs w:val="24"/>
          <w:lang w:eastAsia="en-GB"/>
        </w:rPr>
      </w:pPr>
      <w:r w:rsidRPr="000F46A9">
        <w:rPr>
          <w:rFonts w:ascii="Arial" w:eastAsia="Times New Roman" w:hAnsi="Arial" w:cs="Arial"/>
          <w:i/>
          <w:iCs/>
          <w:color w:val="000000"/>
          <w:sz w:val="24"/>
          <w:szCs w:val="24"/>
          <w:lang w:eastAsia="en-GB"/>
        </w:rPr>
        <w:t>The role of enrichment activities (including arts, sport, and civic engagement) in improving pupil outcomes and wellbeing.</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Extracurricular enrichment, including access to the arts, is associated with higher educational attainment and long-lasting positive impacts into adulthood. However, current provision is unacceptably variable, and schools with a higher proportion of pupils eligible for Free School Meals (FSM) report lower participation rates. We support the White Paper’s conclusion that this inequality demonstrates why enrichment should not be treated as an ‘add-on’, but rather embedded into the school day. This removes fin</w:t>
      </w:r>
      <w:r w:rsidRPr="000F46A9">
        <w:rPr>
          <w:rFonts w:ascii="Arial" w:eastAsia="Times New Roman" w:hAnsi="Arial" w:cs="Arial"/>
          <w:color w:val="000000"/>
          <w:sz w:val="24"/>
          <w:szCs w:val="24"/>
          <w:lang w:eastAsia="en-GB"/>
        </w:rPr>
        <w:t>ancial, transport, and logistical barriers for families balancing caring responsibilities and employment.</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The government’s recently published ‘Enrichment Framework’ (June 2026) is a helpful first step in establishing clear expectations and helping schools evaluate their provision. However, as the guidance is non-mandatory, schools struggling with workforce shortages and chronic underfunding will struggle to engage.</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The DCMS and DfE commitment of £22.5 million over 3 years for 400 schools, along with funding for the </w:t>
      </w:r>
      <w:r w:rsidRPr="000F46A9">
        <w:rPr>
          <w:rFonts w:ascii="Arial" w:eastAsia="Times New Roman" w:hAnsi="Arial" w:cs="Arial"/>
          <w:i/>
          <w:iCs/>
          <w:color w:val="000000"/>
          <w:sz w:val="24"/>
          <w:szCs w:val="24"/>
          <w:lang w:eastAsia="en-GB"/>
        </w:rPr>
        <w:t>Every Child Can</w:t>
      </w:r>
      <w:r w:rsidRPr="000F46A9">
        <w:rPr>
          <w:rFonts w:ascii="Arial" w:eastAsia="Times New Roman" w:hAnsi="Arial" w:cs="Arial"/>
          <w:color w:val="000000"/>
          <w:sz w:val="24"/>
          <w:szCs w:val="24"/>
          <w:lang w:eastAsia="en-GB"/>
        </w:rPr>
        <w:t xml:space="preserve"> programme and links with the EU Erasmus+ programme, are welcome. However, siloed funding pots fail to address systemic barriers to delivering a comprehensive, high-quality extracurricular offer.</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Anchor cultural institutions like the Southbank Centre already partner with regional schools—for example, nearly half of the students in our </w:t>
      </w:r>
      <w:r w:rsidRPr="000F46A9">
        <w:rPr>
          <w:rFonts w:ascii="Arial" w:eastAsia="Times New Roman" w:hAnsi="Arial" w:cs="Arial"/>
          <w:i/>
          <w:iCs/>
          <w:color w:val="000000"/>
          <w:sz w:val="24"/>
          <w:szCs w:val="24"/>
          <w:lang w:eastAsia="en-GB"/>
        </w:rPr>
        <w:t>Reframe</w:t>
      </w:r>
      <w:r w:rsidRPr="000F46A9">
        <w:rPr>
          <w:rFonts w:ascii="Arial" w:eastAsia="Times New Roman" w:hAnsi="Arial" w:cs="Arial"/>
          <w:color w:val="000000"/>
          <w:sz w:val="24"/>
          <w:szCs w:val="24"/>
          <w:lang w:eastAsia="en-GB"/>
        </w:rPr>
        <w:t xml:space="preserve"> project were eligible for FSM. However, for enrichment activities to reach the most disadvantaged children, schools require administrative and financial capacity to build long-term partnerships. Competitive grant schemes heavily disadvantage schools in deprived areas that lack bid-writing capacity.</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Dedicated funding for local broker roles would also help build and sustain partnerships between schools, VCSE bodies, and cultural organisations.</w:t>
      </w:r>
    </w:p>
    <w:p w:rsidR="00D64571" w:rsidRPr="000F46A9" w:rsidP="00F70BFB">
      <w:pPr>
        <w:spacing w:after="0" w:line="240" w:lineRule="auto"/>
        <w:rPr>
          <w:rFonts w:ascii="Arial" w:eastAsia="Times New Roman" w:hAnsi="Arial" w:cs="Arial"/>
          <w:sz w:val="24"/>
          <w:szCs w:val="24"/>
          <w:lang w:eastAsia="en-GB"/>
        </w:rPr>
      </w:pP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b/>
          <w:bCs/>
          <w:color w:val="000000"/>
          <w:sz w:val="24"/>
          <w:szCs w:val="24"/>
          <w:lang w:eastAsia="en-GB"/>
        </w:rPr>
        <w:t>Recommendation:</w:t>
      </w:r>
      <w:r w:rsidRPr="000F46A9">
        <w:rPr>
          <w:rFonts w:ascii="Arial" w:eastAsia="Times New Roman" w:hAnsi="Arial" w:cs="Arial"/>
          <w:color w:val="000000"/>
          <w:sz w:val="24"/>
          <w:szCs w:val="24"/>
          <w:lang w:eastAsia="en-GB"/>
        </w:rPr>
        <w:t xml:space="preserve"> The government must move away from fragmented, competitive grant schemes for schools’ ‘enrichment offers’. Instead, we recommend a streamlined, multi-year funding stream strictly targeted at schools with high Free School Meal (FSM) eligibility, coupled with mandatory local authority equity monitoring to ensure provision reaches disadvantaged young people.</w:t>
      </w:r>
    </w:p>
    <w:p w:rsidR="00D64571" w:rsidRPr="000F46A9" w:rsidP="00F70BFB">
      <w:pPr>
        <w:spacing w:after="0" w:line="240" w:lineRule="auto"/>
        <w:rPr>
          <w:rFonts w:ascii="Arial" w:eastAsia="Times New Roman" w:hAnsi="Arial" w:cs="Arial"/>
          <w:sz w:val="24"/>
          <w:szCs w:val="24"/>
          <w:lang w:eastAsia="en-GB"/>
        </w:rPr>
      </w:pPr>
    </w:p>
    <w:p w:rsidR="00D64571" w:rsidRPr="000F46A9" w:rsidP="00F70BFB">
      <w:pPr>
        <w:shd w:val="clear" w:color="auto" w:fill="FFFFFF"/>
        <w:spacing w:after="0" w:line="480" w:lineRule="auto"/>
        <w:jc w:val="both"/>
        <w:rPr>
          <w:rFonts w:ascii="Arial" w:eastAsia="Times New Roman" w:hAnsi="Arial" w:cs="Arial"/>
          <w:sz w:val="24"/>
          <w:szCs w:val="24"/>
          <w:lang w:eastAsia="en-GB"/>
        </w:rPr>
      </w:pPr>
      <w:r w:rsidRPr="000F46A9">
        <w:rPr>
          <w:rFonts w:ascii="Arial" w:eastAsia="Times New Roman" w:hAnsi="Arial" w:cs="Arial"/>
          <w:b/>
          <w:bCs/>
          <w:color w:val="000000"/>
          <w:sz w:val="28"/>
          <w:szCs w:val="28"/>
          <w:lang w:eastAsia="en-GB"/>
        </w:rPr>
        <w:t>Workforce and Curriculum: Reversing the GCSE Decline</w:t>
      </w:r>
      <w:r w:rsidRPr="000F46A9">
        <w:rPr>
          <w:rFonts w:ascii="Arial" w:eastAsia="Times New Roman" w:hAnsi="Arial" w:cs="Arial"/>
          <w:color w:val="000000"/>
          <w:lang w:eastAsia="en-GB"/>
        </w:rPr>
        <w:t> </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Over the last decade, there has been a severe and well-documented decline in students taking arts subjects at GCSE level </w:t>
      </w:r>
      <w:r w:rsidRPr="000F46A9">
        <w:rPr>
          <w:rFonts w:ascii="Arial" w:eastAsia="Times New Roman" w:hAnsi="Arial" w:cs="Arial"/>
          <w:i/>
          <w:iCs/>
          <w:color w:val="000000"/>
          <w:sz w:val="24"/>
          <w:szCs w:val="24"/>
          <w:lang w:eastAsia="en-GB"/>
        </w:rPr>
        <w:t>(Cultural Learning Alliance Report Card, 2026)</w:t>
      </w:r>
      <w:r w:rsidRPr="000F46A9">
        <w:rPr>
          <w:rFonts w:ascii="Arial" w:eastAsia="Times New Roman" w:hAnsi="Arial" w:cs="Arial"/>
          <w:color w:val="000000"/>
          <w:sz w:val="24"/>
          <w:szCs w:val="24"/>
          <w:lang w:eastAsia="en-GB"/>
        </w:rPr>
        <w:t>. This restricts the talent pipeline for the UK's creative industries and deprives young people of essential creative and critical skills. This is particularly concerning given that in 2023, the creative sector generated £124 billion in Gross Value Added (~5% of UK economic output) and supported 2.4 million jobs (7% of total employment).</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 xml:space="preserve">Year 11 students eligible for Free School Meals are disproportionately underrepresented in all Arts GCSE subjects. Regions with the highest FSM eligibility rates - the West Midlands and the North East—report the lowest proportion of Arts GCSE entries </w:t>
      </w:r>
      <w:r w:rsidRPr="000F46A9">
        <w:rPr>
          <w:rFonts w:ascii="Arial" w:eastAsia="Times New Roman" w:hAnsi="Arial" w:cs="Arial"/>
          <w:i/>
          <w:iCs/>
          <w:color w:val="000000"/>
          <w:sz w:val="24"/>
          <w:szCs w:val="24"/>
          <w:lang w:eastAsia="en-GB"/>
        </w:rPr>
        <w:t>(CLA, 2026)</w:t>
      </w:r>
      <w:r w:rsidRPr="000F46A9">
        <w:rPr>
          <w:rFonts w:ascii="Arial" w:eastAsia="Times New Roman" w:hAnsi="Arial" w:cs="Arial"/>
          <w:color w:val="000000"/>
          <w:sz w:val="24"/>
          <w:szCs w:val="24"/>
          <w:lang w:eastAsia="en-GB"/>
        </w:rPr>
        <w:t>.</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The government correctly acknowledges that the current Progress 8 measure narrow-mindedly focuses on core academic subjects, disincentivising schools from offering a broad curriculum. While we welcome proposals building on the Curriculum and Assessment Review to balance academic core and curriculum breadth at Key Stage 4, current Progress 8 reform proposals do not go far enough.</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The proposed Progress 8 model groups Creative, Humanities, and Languages together into 'Breadth' slots 5 and 6. Because only the top two scoring subjects across these categories count toward a school's score, schools can completely deprioritise creative subjects by relying solely on Humanities and Languages.</w:t>
      </w:r>
    </w:p>
    <w:p w:rsidR="00D64571" w:rsidRPr="000F46A9" w:rsidP="00F70BFB">
      <w:pPr>
        <w:spacing w:before="240" w:after="240" w:line="240" w:lineRule="auto"/>
        <w:rPr>
          <w:rFonts w:ascii="Arial" w:eastAsia="Times New Roman" w:hAnsi="Arial" w:cs="Arial"/>
          <w:sz w:val="24"/>
          <w:szCs w:val="24"/>
          <w:lang w:eastAsia="en-GB"/>
        </w:rPr>
      </w:pPr>
      <w:r w:rsidRPr="000F46A9">
        <w:rPr>
          <w:rFonts w:ascii="Arial" w:eastAsia="Times New Roman" w:hAnsi="Arial" w:cs="Arial"/>
          <w:color w:val="000000"/>
          <w:sz w:val="24"/>
          <w:szCs w:val="24"/>
          <w:lang w:eastAsia="en-GB"/>
        </w:rPr>
        <w:t>Creative subjects cultivate critical thinking, collaboration, and adaptability - attributes highly valued by employers across all sectors.</w:t>
      </w:r>
    </w:p>
    <w:p w:rsidR="00D64571" w:rsidRPr="000F46A9" w:rsidP="00F70BFB">
      <w:pPr>
        <w:spacing w:after="0" w:line="240" w:lineRule="auto"/>
        <w:rPr>
          <w:rFonts w:ascii="Arial" w:eastAsia="Times New Roman" w:hAnsi="Arial" w:cs="Arial"/>
          <w:sz w:val="24"/>
          <w:szCs w:val="24"/>
          <w:lang w:eastAsia="en-GB"/>
        </w:rPr>
      </w:pPr>
    </w:p>
    <w:p w:rsidR="00D64571" w:rsidRPr="000F46A9" w:rsidP="00F70BFB">
      <w:pPr>
        <w:spacing w:after="0" w:line="240" w:lineRule="auto"/>
        <w:rPr>
          <w:rFonts w:ascii="Arial" w:eastAsia="Times New Roman" w:hAnsi="Arial" w:cs="Arial"/>
          <w:sz w:val="24"/>
          <w:szCs w:val="24"/>
          <w:lang w:eastAsia="en-GB"/>
        </w:rPr>
      </w:pPr>
      <w:r w:rsidRPr="000F46A9">
        <w:rPr>
          <w:rFonts w:ascii="Arial" w:eastAsia="Times New Roman" w:hAnsi="Arial" w:cs="Arial"/>
          <w:b/>
          <w:bCs/>
          <w:color w:val="000000"/>
          <w:sz w:val="24"/>
          <w:szCs w:val="24"/>
          <w:lang w:eastAsia="en-GB"/>
        </w:rPr>
        <w:t xml:space="preserve">Recommendation: </w:t>
      </w:r>
      <w:r w:rsidRPr="000F46A9">
        <w:rPr>
          <w:rFonts w:ascii="Arial" w:eastAsia="Times New Roman" w:hAnsi="Arial" w:cs="Arial"/>
          <w:color w:val="000000"/>
          <w:sz w:val="24"/>
          <w:szCs w:val="24"/>
          <w:lang w:eastAsia="en-GB"/>
        </w:rPr>
        <w:t>Proposals for Progress 8 'Breadth' slots 5 and 6 should be separated. One slot should be dedicated specifically to arts, design, and vocational creative subjects, with the other allocated to Languages and Humanities. This structural change would signal to schools, pupils, and parents that creative subjects represent vital, viable career pathways. </w:t>
      </w:r>
    </w:p>
    <w:p w:rsidR="00D64571" w:rsidRPr="000F46A9" w:rsidP="00F70BFB">
      <w:pPr>
        <w:spacing w:after="240" w:line="240" w:lineRule="auto"/>
        <w:rPr>
          <w:rFonts w:ascii="Arial" w:eastAsia="Times New Roman" w:hAnsi="Arial" w:cs="Arial"/>
          <w:sz w:val="24"/>
          <w:szCs w:val="24"/>
          <w:lang w:eastAsia="en-GB"/>
        </w:rPr>
      </w:pPr>
      <w:r w:rsidRPr="000F46A9">
        <w:rPr>
          <w:rFonts w:ascii="Arial" w:eastAsia="Times New Roman" w:hAnsi="Arial" w:cs="Arial"/>
          <w:sz w:val="24"/>
          <w:szCs w:val="24"/>
          <w:lang w:eastAsia="en-GB"/>
        </w:rPr>
        <w:br/>
      </w:r>
    </w:p>
    <w:p w:rsidR="00D64571" w:rsidP="000F46A9">
      <w:pPr>
        <w:shd w:val="clear" w:color="auto" w:fill="FFFFFF"/>
        <w:spacing w:after="0" w:line="480" w:lineRule="auto"/>
        <w:jc w:val="both"/>
        <w:rPr>
          <w:rFonts w:ascii="Arial" w:eastAsia="Times New Roman" w:hAnsi="Arial" w:cs="Arial"/>
          <w:color w:val="000000"/>
          <w:lang w:eastAsia="en-GB"/>
        </w:rPr>
      </w:pPr>
      <w:r w:rsidRPr="000F46A9">
        <w:rPr>
          <w:rFonts w:ascii="Arial" w:eastAsia="Times New Roman" w:hAnsi="Arial" w:cs="Arial"/>
          <w:color w:val="000000"/>
          <w:lang w:eastAsia="en-GB"/>
        </w:rPr>
        <w:t xml:space="preserve">Source: Cultural Learning Alliance Report Card 2026 - </w:t>
      </w:r>
      <w:r>
        <w:fldChar w:fldCharType="begin"/>
      </w:r>
      <w:r>
        <w:instrText xml:space="preserve"> HYPERLINK "https://www.culturallearningalliance.org.uk/wp-content/uploads/2026/05/CLA-2026-Report-Card-final.pdf" </w:instrText>
      </w:r>
      <w:r>
        <w:fldChar w:fldCharType="separate"/>
      </w:r>
      <w:r w:rsidRPr="002677F6" w:rsidR="00876FBA">
        <w:rPr>
          <w:rStyle w:val="Hyperlink"/>
          <w:rFonts w:ascii="Arial" w:eastAsia="Times New Roman" w:hAnsi="Arial" w:cs="Arial"/>
          <w:lang w:eastAsia="en-GB"/>
        </w:rPr>
        <w:t>https://www.culturallearningalliance.org.uk/wp-content/uploads/2026/05/CLA-2026-Report-Card-final.pdf</w:t>
      </w:r>
      <w:r>
        <w:fldChar w:fldCharType="end"/>
      </w:r>
    </w:p>
    <w:p w:rsidR="00876FBA" w:rsidRPr="00876FBA" w:rsidP="000F46A9">
      <w:pPr>
        <w:shd w:val="clear" w:color="auto" w:fill="FFFFFF"/>
        <w:spacing w:after="0" w:line="480" w:lineRule="auto"/>
        <w:jc w:val="both"/>
        <w:rPr>
          <w:rFonts w:ascii="Arial" w:eastAsia="Times New Roman" w:hAnsi="Arial" w:cs="Arial"/>
          <w:i/>
          <w:iCs/>
          <w:sz w:val="24"/>
          <w:szCs w:val="24"/>
          <w:lang w:eastAsia="en-GB"/>
        </w:rPr>
      </w:pPr>
      <w:r w:rsidRPr="00876FBA">
        <w:rPr>
          <w:rFonts w:ascii="Arial" w:eastAsia="Times New Roman" w:hAnsi="Arial" w:cs="Arial"/>
          <w:i/>
          <w:iCs/>
          <w:color w:val="000000"/>
          <w:lang w:eastAsia="en-GB"/>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466DD9"/>
    <w:multiLevelType w:val="multilevel"/>
    <w:tmpl w:val="D25C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046254"/>
    <w:multiLevelType w:val="multilevel"/>
    <w:tmpl w:val="F8E4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DF09BE"/>
    <w:multiLevelType w:val="multilevel"/>
    <w:tmpl w:val="EF4C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385D05"/>
    <w:multiLevelType w:val="multilevel"/>
    <w:tmpl w:val="8E66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977906"/>
    <w:multiLevelType w:val="multilevel"/>
    <w:tmpl w:val="772E7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D1049A"/>
    <w:multiLevelType w:val="multilevel"/>
    <w:tmpl w:val="6780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2">
    <w:name w:val="heading 2"/>
    <w:basedOn w:val="Normal"/>
    <w:link w:val="Heading2Char"/>
    <w:uiPriority w:val="9"/>
    <w:qFormat/>
    <w:rsid w:val="00F70BF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0BFB"/>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F70B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0BFB"/>
    <w:rPr>
      <w:color w:val="0000FF"/>
      <w:u w:val="single"/>
    </w:rPr>
  </w:style>
  <w:style w:type="character" w:customStyle="1" w:styleId="UnresolvedMention">
    <w:name w:val="Unresolved Mention"/>
    <w:basedOn w:val="DefaultParagraphFont"/>
    <w:uiPriority w:val="99"/>
    <w:rsid w:val="00876F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ECA0137</dc:title>
  <cp:revision>0</cp:revision>
</cp:coreProperties>
</file>