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4710" w:rsidP="00964710">
      <w:pPr>
        <w:pStyle w:val="Title"/>
        <w:jc w:val="center"/>
        <w:rPr>
          <w:b/>
          <w:bCs/>
        </w:rPr>
      </w:pPr>
      <w:r w:rsidRPr="00964710">
        <w:rPr>
          <w:b/>
          <w:bCs/>
        </w:rPr>
        <w:t>Written evidence by</w:t>
      </w:r>
      <w:r>
        <w:t xml:space="preserve"> </w:t>
      </w:r>
      <w:r w:rsidRPr="00964710">
        <w:rPr>
          <w:b/>
          <w:bCs/>
        </w:rPr>
        <w:t>5Rights Foundation</w:t>
      </w:r>
      <w:r>
        <w:rPr>
          <w:b/>
          <w:bCs/>
        </w:rPr>
        <w:t xml:space="preserve"> (ECA0136)</w:t>
      </w:r>
    </w:p>
    <w:p w:rsidR="00964710" w:rsidP="396910A3">
      <w:pPr>
        <w:pStyle w:val="Title"/>
        <w:rPr>
          <w:b/>
          <w:bCs/>
        </w:rPr>
      </w:pPr>
    </w:p>
    <w:p w:rsidR="00FA7647" w:rsidP="396910A3">
      <w:pPr>
        <w:pStyle w:val="Title"/>
      </w:pPr>
      <w:r>
        <w:t>5Rights Foundation response to Education Committee inquiry in</w:t>
      </w:r>
      <w:r>
        <w:t>to</w:t>
      </w:r>
      <w:r>
        <w:t xml:space="preserve"> </w:t>
      </w:r>
      <w:r>
        <w:t xml:space="preserve">the </w:t>
      </w:r>
      <w:r w:rsidRPr="396910A3">
        <w:rPr>
          <w:i/>
          <w:iCs/>
        </w:rPr>
        <w:t>Every</w:t>
      </w:r>
      <w:r w:rsidRPr="396910A3">
        <w:rPr>
          <w:i/>
          <w:iCs/>
        </w:rPr>
        <w:t xml:space="preserve"> Child Achieving and Thriving</w:t>
      </w:r>
      <w:r>
        <w:t xml:space="preserve"> White Paper</w:t>
      </w:r>
    </w:p>
    <w:p w:rsidR="00FA7647" w:rsidP="396910A3">
      <w:pPr>
        <w:pStyle w:val="Subtitle"/>
      </w:pPr>
      <w:r>
        <w:t>July 2026</w:t>
      </w:r>
    </w:p>
    <w:p w:rsidR="00FA7647" w:rsidRPr="007F3FC9" w:rsidP="396910A3">
      <w:pPr>
        <w:rPr>
          <w:sz w:val="22"/>
          <w:szCs w:val="22"/>
        </w:rPr>
      </w:pPr>
      <w:r w:rsidRPr="007F3FC9">
        <w:rPr>
          <w:sz w:val="22"/>
          <w:szCs w:val="22"/>
          <w:u w:val="single"/>
        </w:rPr>
        <w:t>5Rights Foundation</w:t>
      </w:r>
    </w:p>
    <w:p w:rsidR="00FA7647" w:rsidRPr="007F3FC9" w:rsidP="396910A3">
      <w:pPr>
        <w:rPr>
          <w:rFonts w:ascii="Aptos" w:hAnsi="Aptos"/>
          <w:sz w:val="22"/>
          <w:szCs w:val="22"/>
          <w:lang w:val="en-GB"/>
        </w:rPr>
      </w:pPr>
      <w:r w:rsidRPr="007F3FC9">
        <w:rPr>
          <w:rFonts w:ascii="Aptos" w:hAnsi="Aptos"/>
          <w:sz w:val="22"/>
          <w:szCs w:val="22"/>
          <w:lang w:val="en-GB"/>
        </w:rPr>
        <w:t xml:space="preserve">5Rights Foundation is an international NGO founded in the UK that works with and for children to build a digital world that upholds their rights under the UN Convention on the Rights of the Child. Through our joint </w:t>
      </w:r>
      <w:r w:rsidRPr="007F3FC9">
        <w:rPr>
          <w:rFonts w:ascii="Aptos" w:hAnsi="Aptos"/>
          <w:sz w:val="22"/>
          <w:szCs w:val="22"/>
          <w:lang w:val="en-GB"/>
        </w:rPr>
        <w:t xml:space="preserve">research </w:t>
      </w:r>
      <w:r w:rsidRPr="007F3FC9">
        <w:rPr>
          <w:rFonts w:ascii="Aptos" w:hAnsi="Aptos"/>
          <w:sz w:val="22"/>
          <w:szCs w:val="22"/>
          <w:lang w:val="en-GB"/>
        </w:rPr>
        <w:t>centre with the London School of Economics and Political Science, the Digital Futures for Children Centre</w:t>
      </w:r>
      <w:r>
        <w:rPr>
          <w:rStyle w:val="FootnoteReference"/>
          <w:rFonts w:ascii="Aptos" w:hAnsi="Aptos"/>
          <w:sz w:val="22"/>
          <w:szCs w:val="22"/>
          <w:lang w:val="en-GB"/>
        </w:rPr>
        <w:footnoteReference w:id="2"/>
      </w:r>
      <w:r w:rsidRPr="007F3FC9">
        <w:rPr>
          <w:rFonts w:ascii="Aptos" w:hAnsi="Aptos"/>
          <w:sz w:val="22"/>
          <w:szCs w:val="22"/>
          <w:lang w:val="en-GB"/>
        </w:rPr>
        <w:t>, we undertake interdisciplinary research on children and digital technologies. We helped make the case for, and contributed to the development of, the UK's Age Appropriate Design Code</w:t>
      </w:r>
      <w:r>
        <w:rPr>
          <w:rStyle w:val="FootnoteReference"/>
          <w:rFonts w:ascii="Aptos" w:hAnsi="Aptos"/>
          <w:sz w:val="22"/>
          <w:szCs w:val="22"/>
          <w:lang w:val="en-GB"/>
        </w:rPr>
        <w:footnoteReference w:id="3"/>
      </w:r>
      <w:r w:rsidRPr="007F3FC9">
        <w:rPr>
          <w:rFonts w:ascii="Aptos" w:hAnsi="Aptos"/>
          <w:sz w:val="22"/>
          <w:szCs w:val="22"/>
          <w:lang w:val="en-GB"/>
        </w:rPr>
        <w:t>, and advocated for stronger protections for children throughout the development of the Online Safety Act. Internationally, we have also played a leading role in advancing age-appropriate design and child online safety legislation, translating research and advocacy into practical service design reforms through partnerships with governments, regulators, industry and professional bodies. To date, our work has informed legislative and regulatory reforms around the world and contributed to concrete changes in d</w:t>
      </w:r>
      <w:r w:rsidRPr="007F3FC9">
        <w:rPr>
          <w:rFonts w:ascii="Aptos" w:hAnsi="Aptos"/>
          <w:sz w:val="22"/>
          <w:szCs w:val="22"/>
          <w:lang w:val="en-GB"/>
        </w:rPr>
        <w:t>igital services that have made them safer for millions of children.</w:t>
      </w:r>
    </w:p>
    <w:p w:rsidR="00FA7647" w:rsidRPr="007F3FC9" w:rsidP="396910A3">
      <w:pPr>
        <w:rPr>
          <w:sz w:val="22"/>
          <w:szCs w:val="22"/>
        </w:rPr>
      </w:pPr>
      <w:r w:rsidRPr="007F3FC9">
        <w:rPr>
          <w:rFonts w:ascii="Aptos" w:hAnsi="Aptos"/>
          <w:sz w:val="22"/>
          <w:szCs w:val="22"/>
          <w:lang w:val="en-GB"/>
        </w:rPr>
        <w:t>Through our</w:t>
      </w:r>
      <w:r w:rsidRPr="007F3FC9">
        <w:rPr>
          <w:rFonts w:ascii="Aptos" w:hAnsi="Aptos"/>
          <w:sz w:val="22"/>
          <w:szCs w:val="22"/>
          <w:lang w:val="en-GB"/>
        </w:rPr>
        <w:t xml:space="preserve"> joint</w:t>
      </w:r>
      <w:r w:rsidRPr="007F3FC9">
        <w:rPr>
          <w:rFonts w:ascii="Aptos" w:hAnsi="Aptos"/>
          <w:sz w:val="22"/>
          <w:szCs w:val="22"/>
          <w:lang w:val="en-GB"/>
        </w:rPr>
        <w:t xml:space="preserve"> research </w:t>
      </w:r>
      <w:r w:rsidRPr="007F3FC9">
        <w:rPr>
          <w:rFonts w:ascii="Aptos" w:hAnsi="Aptos"/>
          <w:sz w:val="22"/>
          <w:szCs w:val="22"/>
          <w:lang w:val="en-GB"/>
        </w:rPr>
        <w:t>centre,</w:t>
      </w:r>
      <w:r w:rsidRPr="007F3FC9">
        <w:rPr>
          <w:rFonts w:ascii="Aptos" w:hAnsi="Aptos"/>
          <w:sz w:val="22"/>
          <w:szCs w:val="22"/>
          <w:lang w:val="en-GB"/>
        </w:rPr>
        <w:t xml:space="preserve"> we are currently researching how educational technologies (EdTech) are shaping children’s learning experiences and rights in diverse contexts, with a specific focus on AI.</w:t>
      </w:r>
      <w:r w:rsidRPr="007F3FC9">
        <w:rPr>
          <w:rFonts w:ascii="Aptos" w:hAnsi="Aptos"/>
          <w:sz w:val="22"/>
          <w:szCs w:val="22"/>
          <w:lang w:val="en-GB"/>
        </w:rPr>
        <w:t xml:space="preserve"> </w:t>
      </w:r>
      <w:r w:rsidRPr="007F3FC9">
        <w:rPr>
          <w:rFonts w:ascii="Aptos" w:hAnsi="Aptos"/>
          <w:sz w:val="22"/>
          <w:szCs w:val="22"/>
          <w:lang w:val="en-GB"/>
        </w:rPr>
        <w:t>During</w:t>
      </w:r>
      <w:r w:rsidRPr="007F3FC9">
        <w:rPr>
          <w:rFonts w:ascii="Aptos" w:hAnsi="Aptos"/>
          <w:sz w:val="22"/>
          <w:szCs w:val="22"/>
          <w:lang w:val="en-GB"/>
        </w:rPr>
        <w:t xml:space="preserve"> this pro</w:t>
      </w:r>
      <w:r w:rsidRPr="007F3FC9">
        <w:rPr>
          <w:rFonts w:ascii="Aptos" w:hAnsi="Aptos"/>
          <w:sz w:val="22"/>
          <w:szCs w:val="22"/>
          <w:lang w:val="en-GB"/>
        </w:rPr>
        <w:t>gramme</w:t>
      </w:r>
      <w:r w:rsidRPr="007F3FC9">
        <w:rPr>
          <w:rFonts w:ascii="Aptos" w:hAnsi="Aptos"/>
          <w:sz w:val="22"/>
          <w:szCs w:val="22"/>
          <w:lang w:val="en-GB"/>
        </w:rPr>
        <w:t xml:space="preserve"> of work</w:t>
      </w:r>
      <w:r>
        <w:rPr>
          <w:rStyle w:val="FootnoteReference"/>
          <w:rFonts w:ascii="Aptos" w:hAnsi="Aptos"/>
          <w:sz w:val="22"/>
          <w:szCs w:val="22"/>
          <w:lang w:val="en-GB"/>
        </w:rPr>
        <w:footnoteReference w:id="4"/>
      </w:r>
      <w:r w:rsidRPr="007F3FC9">
        <w:rPr>
          <w:rFonts w:ascii="Aptos" w:hAnsi="Aptos"/>
          <w:sz w:val="22"/>
          <w:szCs w:val="22"/>
          <w:lang w:val="en-GB"/>
        </w:rPr>
        <w:t xml:space="preserve"> </w:t>
      </w:r>
      <w:r w:rsidRPr="007F3FC9">
        <w:rPr>
          <w:rFonts w:ascii="Aptos" w:hAnsi="Aptos"/>
          <w:sz w:val="22"/>
          <w:szCs w:val="22"/>
          <w:lang w:val="en-GB"/>
        </w:rPr>
        <w:t xml:space="preserve">we have spoken to over 450 children </w:t>
      </w:r>
      <w:r w:rsidRPr="007F3FC9">
        <w:rPr>
          <w:rFonts w:ascii="Aptos" w:hAnsi="Aptos"/>
          <w:sz w:val="22"/>
          <w:szCs w:val="22"/>
          <w:lang w:val="en-GB"/>
        </w:rPr>
        <w:t xml:space="preserve">and their </w:t>
      </w:r>
      <w:r w:rsidRPr="007F3FC9">
        <w:rPr>
          <w:rFonts w:ascii="Aptos" w:hAnsi="Aptos"/>
          <w:sz w:val="22"/>
          <w:szCs w:val="22"/>
          <w:lang w:val="en-GB"/>
        </w:rPr>
        <w:t xml:space="preserve">teachers </w:t>
      </w:r>
      <w:r w:rsidRPr="007F3FC9">
        <w:rPr>
          <w:rFonts w:ascii="Aptos" w:hAnsi="Aptos"/>
          <w:sz w:val="22"/>
          <w:szCs w:val="22"/>
          <w:lang w:val="en-GB"/>
        </w:rPr>
        <w:t>in schools across the UK</w:t>
      </w:r>
      <w:r w:rsidRPr="007F3FC9">
        <w:rPr>
          <w:rFonts w:ascii="Aptos" w:hAnsi="Aptos"/>
          <w:sz w:val="22"/>
          <w:szCs w:val="22"/>
          <w:lang w:val="en-GB"/>
        </w:rPr>
        <w:t xml:space="preserve"> to understand more about their experiences using tech in the classroom. </w:t>
      </w:r>
    </w:p>
    <w:p w:rsidR="00FA7647" w:rsidRPr="007F3FC9" w:rsidP="396910A3">
      <w:pPr>
        <w:rPr>
          <w:sz w:val="22"/>
          <w:szCs w:val="22"/>
          <w:u w:val="single"/>
        </w:rPr>
      </w:pPr>
    </w:p>
    <w:p w:rsidR="00FA7647" w:rsidRPr="007F3FC9" w:rsidP="396910A3">
      <w:pPr>
        <w:rPr>
          <w:sz w:val="22"/>
          <w:szCs w:val="22"/>
        </w:rPr>
      </w:pPr>
      <w:r w:rsidRPr="007F3FC9">
        <w:rPr>
          <w:sz w:val="22"/>
          <w:szCs w:val="22"/>
          <w:u w:val="single"/>
        </w:rPr>
        <w:t>Response</w:t>
      </w:r>
    </w:p>
    <w:p w:rsidR="00FA7647" w:rsidRPr="007F3FC9">
      <w:pPr>
        <w:rPr>
          <w:sz w:val="22"/>
          <w:szCs w:val="22"/>
        </w:rPr>
      </w:pPr>
      <w:r w:rsidRPr="007F3FC9">
        <w:rPr>
          <w:rFonts w:ascii="Aptos" w:hAnsi="Aptos"/>
          <w:sz w:val="22"/>
          <w:szCs w:val="22"/>
        </w:rPr>
        <w:t xml:space="preserve">5Rights Foundation welcomes the Government's ambition, set out in the </w:t>
      </w:r>
      <w:r w:rsidRPr="007F3FC9">
        <w:rPr>
          <w:rFonts w:ascii="Aptos" w:hAnsi="Aptos"/>
          <w:i/>
          <w:iCs/>
          <w:sz w:val="22"/>
          <w:szCs w:val="22"/>
        </w:rPr>
        <w:t>Every Child Achieving and Thriving</w:t>
      </w:r>
      <w:r w:rsidRPr="007F3FC9">
        <w:rPr>
          <w:rFonts w:ascii="Aptos" w:hAnsi="Aptos"/>
          <w:sz w:val="22"/>
          <w:szCs w:val="22"/>
        </w:rPr>
        <w:t xml:space="preserve"> White Paper, to ensure that every child has the opportunity to achieve and thrive. We particularly welcome the recognition that educational technology (EdTech) and artificial intelligence (AI) can play an important role in supporting this ambition when they are safe, evidence-based and used in ways that improve educational outcomes. We also welcome the Government's commitment to developing evidence-based standards for EdTech and strengthening the evidence base on efficacy.</w:t>
      </w:r>
    </w:p>
    <w:p w:rsidR="00FA7647" w:rsidRPr="007F3FC9" w:rsidP="396910A3">
      <w:pPr>
        <w:rPr>
          <w:rFonts w:ascii="Aptos" w:hAnsi="Aptos"/>
          <w:sz w:val="22"/>
          <w:szCs w:val="22"/>
        </w:rPr>
      </w:pPr>
      <w:r w:rsidRPr="007F3FC9">
        <w:rPr>
          <w:rFonts w:ascii="Aptos" w:hAnsi="Aptos"/>
          <w:sz w:val="22"/>
          <w:szCs w:val="22"/>
        </w:rPr>
        <w:t>This submission responds chiefly to the Committee's consideration of the role of technology and AI in schools, including how the Government should evaluate educational effectiveness, support teachers to use technology well, and ensure schools are equipped to make informed decisions about the technologies they adopt. Drawing on the Better EdTech Futures for Children research programme and previous work of the Digital Futures Commission</w:t>
      </w:r>
      <w:r>
        <w:rPr>
          <w:rStyle w:val="FootnoteReference"/>
          <w:rFonts w:ascii="Aptos" w:hAnsi="Aptos"/>
          <w:sz w:val="22"/>
          <w:szCs w:val="22"/>
        </w:rPr>
        <w:footnoteReference w:id="5"/>
      </w:r>
      <w:r w:rsidRPr="007F3FC9">
        <w:rPr>
          <w:rFonts w:ascii="Aptos" w:hAnsi="Aptos"/>
          <w:sz w:val="22"/>
          <w:szCs w:val="22"/>
        </w:rPr>
        <w:t>, we argue that the policy focus should extend beyond whether educational technology is effective to consider what educational purposes it is effective in achieving. Defining educational efficacy must serve as a precursor to developing meaningful evidence standards, supporting teachers and informing procurement.</w:t>
      </w:r>
    </w:p>
    <w:p w:rsidR="00FA7647" w:rsidRPr="007F3FC9">
      <w:pPr>
        <w:rPr>
          <w:sz w:val="22"/>
          <w:szCs w:val="22"/>
        </w:rPr>
      </w:pPr>
      <w:r w:rsidRPr="007F3FC9">
        <w:rPr>
          <w:rFonts w:ascii="Aptos" w:hAnsi="Aptos"/>
          <w:sz w:val="22"/>
          <w:szCs w:val="22"/>
        </w:rPr>
        <w:t>The White Paper rightly identifies evidence-based use of EdTech and AI as an important mechanism for improving educational outcomes. However, to realise this ambition, the Government should establish a clear understanding of the educational outcomes against which efficacy will be assessed. Without a shared definition there is a risk that evidence standards, evaluation frameworks and procurement decisions will be driven by a narrow conception of educational success that does not fully reflect the White Paper</w:t>
      </w:r>
      <w:r w:rsidRPr="007F3FC9">
        <w:rPr>
          <w:rFonts w:ascii="Aptos" w:hAnsi="Aptos"/>
          <w:sz w:val="22"/>
          <w:szCs w:val="22"/>
        </w:rPr>
        <w:t xml:space="preserve">'s ambition for every child to both achieve </w:t>
      </w:r>
      <w:r w:rsidRPr="007F3FC9">
        <w:rPr>
          <w:rFonts w:ascii="Aptos" w:hAnsi="Aptos"/>
          <w:b/>
          <w:bCs/>
          <w:sz w:val="22"/>
          <w:szCs w:val="22"/>
        </w:rPr>
        <w:t>and</w:t>
      </w:r>
      <w:r w:rsidRPr="007F3FC9">
        <w:rPr>
          <w:rFonts w:ascii="Aptos" w:hAnsi="Aptos"/>
          <w:sz w:val="22"/>
          <w:szCs w:val="22"/>
        </w:rPr>
        <w:t xml:space="preserve"> thrive.</w:t>
      </w:r>
    </w:p>
    <w:p w:rsidR="00FA7647" w:rsidRPr="007F3FC9" w:rsidP="396910A3">
      <w:pPr>
        <w:rPr>
          <w:rFonts w:ascii="Aptos" w:hAnsi="Aptos"/>
          <w:sz w:val="22"/>
          <w:szCs w:val="22"/>
        </w:rPr>
      </w:pPr>
      <w:r w:rsidRPr="007F3FC9">
        <w:rPr>
          <w:rFonts w:ascii="Aptos" w:hAnsi="Aptos"/>
          <w:sz w:val="22"/>
          <w:szCs w:val="22"/>
        </w:rPr>
        <w:t>The need for a clearer definition of efficacy is reflected in the current evidence base.</w:t>
      </w:r>
      <w:r w:rsidRPr="007F3FC9">
        <w:rPr>
          <w:rFonts w:ascii="Aptos" w:hAnsi="Aptos"/>
          <w:b/>
          <w:bCs/>
          <w:sz w:val="22"/>
          <w:szCs w:val="22"/>
        </w:rPr>
        <w:t xml:space="preserve"> </w:t>
      </w:r>
      <w:r w:rsidRPr="007F3FC9">
        <w:rPr>
          <w:rFonts w:ascii="Aptos" w:hAnsi="Aptos"/>
          <w:sz w:val="22"/>
          <w:szCs w:val="22"/>
        </w:rPr>
        <w:t>Our scoping review</w:t>
      </w:r>
      <w:r w:rsidRPr="007F3FC9">
        <w:rPr>
          <w:rFonts w:ascii="Aptos" w:hAnsi="Aptos"/>
          <w:sz w:val="22"/>
          <w:szCs w:val="22"/>
        </w:rPr>
        <w:t xml:space="preserve"> which assessed meta-analyses on the impact of using EdTech on children’s learning</w:t>
      </w:r>
      <w:r>
        <w:rPr>
          <w:rStyle w:val="FootnoteReference"/>
          <w:rFonts w:ascii="Aptos" w:hAnsi="Aptos"/>
          <w:sz w:val="22"/>
          <w:szCs w:val="22"/>
        </w:rPr>
        <w:footnoteReference w:id="6"/>
      </w:r>
      <w:r w:rsidRPr="007F3FC9">
        <w:rPr>
          <w:rFonts w:ascii="Aptos" w:hAnsi="Aptos"/>
          <w:sz w:val="22"/>
          <w:szCs w:val="22"/>
        </w:rPr>
        <w:t xml:space="preserve"> </w:t>
      </w:r>
      <w:r w:rsidRPr="007F3FC9">
        <w:rPr>
          <w:rFonts w:ascii="Aptos" w:hAnsi="Aptos"/>
          <w:sz w:val="22"/>
          <w:szCs w:val="22"/>
        </w:rPr>
        <w:t xml:space="preserve">found evidence that educational technology can improve learning outcomes, particularly in literacy, mathematics and science, and can support teaching and learning when it is developmentally appropriate, integrated into high-quality pedagogy and used by confident, well-supported teachers. </w:t>
      </w:r>
      <w:r w:rsidRPr="007F3FC9">
        <w:rPr>
          <w:rFonts w:ascii="Aptos" w:hAnsi="Aptos"/>
          <w:sz w:val="22"/>
          <w:szCs w:val="22"/>
        </w:rPr>
        <w:t>However, the review also identified important limitations in the current evidence base.</w:t>
      </w:r>
    </w:p>
    <w:p w:rsidR="00FA7647" w:rsidRPr="007F3FC9" w:rsidP="396910A3">
      <w:pPr>
        <w:rPr>
          <w:rFonts w:ascii="Aptos" w:hAnsi="Aptos"/>
          <w:sz w:val="22"/>
          <w:szCs w:val="22"/>
        </w:rPr>
      </w:pPr>
      <w:r w:rsidRPr="007F3FC9">
        <w:rPr>
          <w:rFonts w:ascii="Aptos" w:hAnsi="Aptos"/>
          <w:sz w:val="22"/>
          <w:szCs w:val="22"/>
        </w:rPr>
        <w:t xml:space="preserve">First, the evidence is relatively narrow in its conception of educational success. Existing research overwhelmingly measures academic attainment, while comparatively little attention is paid to </w:t>
      </w:r>
      <w:r w:rsidRPr="007F3FC9">
        <w:rPr>
          <w:rFonts w:ascii="Aptos" w:hAnsi="Aptos"/>
          <w:sz w:val="22"/>
          <w:szCs w:val="22"/>
        </w:rPr>
        <w:t>broader educational outcomes such as children's motivation, confidence, creativity, enjoyment of learning, participation, wellbeing or wider development. As a result, there is limited evidence about whether EdTech supports the broader aims of education and children's right to education beyond improvements in test scores.</w:t>
      </w:r>
    </w:p>
    <w:p w:rsidR="00FA7647" w:rsidRPr="007F3FC9">
      <w:pPr>
        <w:rPr>
          <w:sz w:val="22"/>
          <w:szCs w:val="22"/>
        </w:rPr>
      </w:pPr>
      <w:r w:rsidRPr="007F3FC9">
        <w:rPr>
          <w:rFonts w:ascii="Aptos" w:hAnsi="Aptos"/>
          <w:sz w:val="22"/>
          <w:szCs w:val="22"/>
        </w:rPr>
        <w:t xml:space="preserve">Second, there are significant gaps in the available evidence. There is limited evidence on the long-term impacts of EdTech, relatively little research from </w:t>
      </w:r>
      <w:r w:rsidRPr="007F3FC9">
        <w:rPr>
          <w:rFonts w:ascii="Aptos" w:hAnsi="Aptos"/>
          <w:sz w:val="22"/>
          <w:szCs w:val="22"/>
        </w:rPr>
        <w:t xml:space="preserve">real-world </w:t>
      </w:r>
      <w:r w:rsidRPr="007F3FC9">
        <w:rPr>
          <w:rFonts w:ascii="Aptos" w:hAnsi="Aptos"/>
          <w:sz w:val="22"/>
          <w:szCs w:val="22"/>
        </w:rPr>
        <w:t>UK classrooms (with much of the existing evidence originating from studies conducted in China), and insufficient understanding of what works for different groups of children, including children with SEND and differences in outcomes between boys and girls. These gaps make it difficult to draw robust conclusions about which technologies are effective, for whom, and under what conditions.</w:t>
      </w:r>
    </w:p>
    <w:p w:rsidR="00FA7647" w:rsidRPr="007F3FC9" w:rsidP="396910A3">
      <w:pPr>
        <w:rPr>
          <w:rFonts w:ascii="Aptos" w:hAnsi="Aptos"/>
          <w:sz w:val="22"/>
          <w:szCs w:val="22"/>
        </w:rPr>
      </w:pPr>
      <w:r w:rsidRPr="007F3FC9">
        <w:rPr>
          <w:rFonts w:ascii="Aptos" w:hAnsi="Aptos"/>
          <w:sz w:val="22"/>
          <w:szCs w:val="22"/>
        </w:rPr>
        <w:t xml:space="preserve">The review also highlights that educational outcomes are shaped not only by the technology itself, but by the conditions in which it is used. The evidence consistently demonstrates that EdTech is most effective when embedded within high-quality teaching and supported by confident, well-trained teachers. As the Government develops evidence standards for EdTech and AI, it </w:t>
      </w:r>
      <w:r w:rsidRPr="007F3FC9">
        <w:rPr>
          <w:rFonts w:ascii="Aptos" w:hAnsi="Aptos"/>
          <w:sz w:val="22"/>
          <w:szCs w:val="22"/>
        </w:rPr>
        <w:t>must</w:t>
      </w:r>
      <w:r w:rsidRPr="007F3FC9">
        <w:rPr>
          <w:rFonts w:ascii="Aptos" w:hAnsi="Aptos"/>
          <w:sz w:val="22"/>
          <w:szCs w:val="22"/>
        </w:rPr>
        <w:t xml:space="preserve"> consider not only whether a technology is effective, but also the pedagogical and implementation conditions required for it to deliver meaningful benefits in practice, including appropriate teacher capability and professional development.</w:t>
      </w:r>
    </w:p>
    <w:p w:rsidR="00FA7647" w:rsidRPr="007F3FC9" w:rsidP="396910A3">
      <w:pPr>
        <w:spacing w:before="240" w:after="240"/>
        <w:rPr>
          <w:sz w:val="22"/>
          <w:szCs w:val="22"/>
        </w:rPr>
      </w:pPr>
      <w:r w:rsidRPr="007F3FC9">
        <w:rPr>
          <w:rFonts w:ascii="Aptos" w:eastAsia="Aptos" w:hAnsi="Aptos" w:cs="Aptos"/>
          <w:sz w:val="22"/>
          <w:szCs w:val="22"/>
        </w:rPr>
        <w:t xml:space="preserve">These limitations in the evidence base have important implications for how </w:t>
      </w:r>
      <w:r w:rsidRPr="007F3FC9">
        <w:rPr>
          <w:rFonts w:ascii="Aptos" w:eastAsia="Aptos" w:hAnsi="Aptos" w:cs="Aptos"/>
          <w:sz w:val="22"/>
          <w:szCs w:val="22"/>
        </w:rPr>
        <w:t>EdTech</w:t>
      </w:r>
      <w:r w:rsidRPr="007F3FC9">
        <w:rPr>
          <w:rFonts w:ascii="Aptos" w:eastAsia="Aptos" w:hAnsi="Aptos" w:cs="Aptos"/>
          <w:sz w:val="22"/>
          <w:szCs w:val="22"/>
        </w:rPr>
        <w:t xml:space="preserve"> is evaluated </w:t>
      </w:r>
      <w:r w:rsidRPr="007F3FC9">
        <w:rPr>
          <w:rFonts w:ascii="Aptos" w:eastAsia="Aptos" w:hAnsi="Aptos" w:cs="Aptos"/>
          <w:sz w:val="22"/>
          <w:szCs w:val="22"/>
        </w:rPr>
        <w:t>and</w:t>
      </w:r>
      <w:r w:rsidRPr="007F3FC9">
        <w:rPr>
          <w:rFonts w:ascii="Aptos" w:eastAsia="Aptos" w:hAnsi="Aptos" w:cs="Aptos"/>
          <w:sz w:val="22"/>
          <w:szCs w:val="22"/>
        </w:rPr>
        <w:t xml:space="preserve"> procured. If efficacy is defined </w:t>
      </w:r>
      <w:r w:rsidRPr="007F3FC9">
        <w:rPr>
          <w:rFonts w:ascii="Aptos" w:eastAsia="Aptos" w:hAnsi="Aptos" w:cs="Aptos"/>
          <w:sz w:val="22"/>
          <w:szCs w:val="22"/>
        </w:rPr>
        <w:t>narrowly this</w:t>
      </w:r>
      <w:r w:rsidRPr="007F3FC9">
        <w:rPr>
          <w:rFonts w:ascii="Aptos" w:eastAsia="Aptos" w:hAnsi="Aptos" w:cs="Aptos"/>
          <w:sz w:val="22"/>
          <w:szCs w:val="22"/>
        </w:rPr>
        <w:t xml:space="preserve"> risks incentivising</w:t>
      </w:r>
      <w:r w:rsidRPr="007F3FC9">
        <w:rPr>
          <w:rFonts w:ascii="Aptos" w:eastAsia="Aptos" w:hAnsi="Aptos" w:cs="Aptos"/>
          <w:sz w:val="22"/>
          <w:szCs w:val="22"/>
        </w:rPr>
        <w:t xml:space="preserve"> products that improve test scores without considering whether they support the broader aims of education. This would sit uneasily with the White Paper's </w:t>
      </w:r>
      <w:r w:rsidRPr="007F3FC9">
        <w:rPr>
          <w:rFonts w:ascii="Aptos" w:eastAsia="Aptos" w:hAnsi="Aptos" w:cs="Aptos"/>
          <w:sz w:val="22"/>
          <w:szCs w:val="22"/>
        </w:rPr>
        <w:t xml:space="preserve">overall ambition. </w:t>
      </w:r>
    </w:p>
    <w:p w:rsidR="00FA7647" w:rsidRPr="007F3FC9" w:rsidP="396910A3">
      <w:pPr>
        <w:spacing w:before="240" w:after="240"/>
        <w:rPr>
          <w:rFonts w:ascii="Aptos" w:eastAsia="Aptos" w:hAnsi="Aptos" w:cs="Aptos"/>
          <w:sz w:val="22"/>
          <w:szCs w:val="22"/>
        </w:rPr>
      </w:pPr>
      <w:r w:rsidRPr="007F3FC9">
        <w:rPr>
          <w:rFonts w:ascii="Aptos" w:eastAsia="Aptos" w:hAnsi="Aptos" w:cs="Aptos"/>
          <w:sz w:val="22"/>
          <w:szCs w:val="22"/>
        </w:rPr>
        <w:t>In line with Article 29 of the UN Convention on the Rights of the Child, children's right to education extends beyond academic achievement to encompass the development of their personality, talents and abilities to their fullest potential. A broader conception of educational efficacy should consider whether technologies support children's learning, wellbeing, participation, inclusion and wider development alongside educational attainment.</w:t>
      </w:r>
    </w:p>
    <w:p w:rsidR="00FA7647" w:rsidRPr="007F3FC9" w:rsidP="396910A3">
      <w:pPr>
        <w:spacing w:before="240" w:after="240"/>
        <w:rPr>
          <w:sz w:val="22"/>
          <w:szCs w:val="22"/>
        </w:rPr>
      </w:pPr>
      <w:r w:rsidRPr="007F3FC9">
        <w:rPr>
          <w:rFonts w:ascii="Aptos" w:eastAsia="Aptos" w:hAnsi="Aptos" w:cs="Aptos"/>
          <w:sz w:val="22"/>
          <w:szCs w:val="22"/>
        </w:rPr>
        <w:t>This is particularly important because schools cannot reasonably be expected to make these judgements independently. Previous research by the Digital Futures Commission found that schools often lack the expertise and resources to evaluate educational claims, legal compliance and the wider impacts of EdTech products.</w:t>
      </w:r>
      <w:r>
        <w:rPr>
          <w:rStyle w:val="FootnoteReference"/>
          <w:rFonts w:ascii="Aptos" w:eastAsia="Aptos" w:hAnsi="Aptos" w:cs="Aptos"/>
          <w:sz w:val="22"/>
          <w:szCs w:val="22"/>
        </w:rPr>
        <w:footnoteReference w:id="7"/>
      </w:r>
      <w:r w:rsidRPr="007F3FC9">
        <w:rPr>
          <w:rFonts w:ascii="Aptos" w:eastAsia="Aptos" w:hAnsi="Aptos" w:cs="Aptos"/>
          <w:sz w:val="22"/>
          <w:szCs w:val="22"/>
        </w:rPr>
        <w:t xml:space="preserve"> More fundamentally, the Commission highlighted that responsibility for ensuring educational technologies are safe, effective and support children's rights should not rest solely with individual schools or teachers. Government therefore has an important role in establishing the standards, evidence requirements and governance arrangements that enable informed decision-making.</w:t>
      </w:r>
    </w:p>
    <w:p w:rsidR="00FA7647" w:rsidRPr="007F3FC9" w:rsidP="396910A3">
      <w:pPr>
        <w:spacing w:before="240" w:after="240"/>
        <w:rPr>
          <w:sz w:val="22"/>
          <w:szCs w:val="22"/>
        </w:rPr>
      </w:pPr>
      <w:r w:rsidRPr="007F3FC9">
        <w:rPr>
          <w:rFonts w:ascii="Aptos" w:eastAsia="Aptos" w:hAnsi="Aptos" w:cs="Aptos"/>
          <w:sz w:val="22"/>
          <w:szCs w:val="22"/>
        </w:rPr>
        <w:t xml:space="preserve">The White Paper rightly envisages a stronger role for evidence in supporting schools to adopt high-quality technology. A government-led framework defining educational efficacy would provide a consistent basis for evidence standards, independent evaluation and procurement, enabling schools to make more informed decisions while creating stronger incentives for developers to </w:t>
      </w:r>
      <w:r w:rsidRPr="007F3FC9">
        <w:rPr>
          <w:rFonts w:ascii="Aptos" w:eastAsia="Aptos" w:hAnsi="Aptos" w:cs="Aptos"/>
          <w:sz w:val="22"/>
          <w:szCs w:val="22"/>
        </w:rPr>
        <w:t>design technologies that demonstrably support children's learning, wellbeing, participation and inclusion, in line with the Government's ambition for every child to achieve and thrive.</w:t>
      </w:r>
    </w:p>
    <w:p w:rsidR="00FA7647" w:rsidRPr="007F3FC9" w:rsidP="396910A3">
      <w:pPr>
        <w:pStyle w:val="Heading3"/>
        <w:spacing w:before="281" w:after="281"/>
        <w:rPr>
          <w:sz w:val="22"/>
          <w:szCs w:val="22"/>
        </w:rPr>
      </w:pPr>
      <w:r w:rsidRPr="007F3FC9">
        <w:rPr>
          <w:rFonts w:ascii="Aptos" w:eastAsia="Aptos" w:hAnsi="Aptos" w:cs="Aptos"/>
          <w:b/>
          <w:bCs/>
          <w:sz w:val="22"/>
          <w:szCs w:val="22"/>
        </w:rPr>
        <w:t>Recommendations</w:t>
      </w:r>
    </w:p>
    <w:p w:rsidR="00FA7647" w:rsidRPr="007F3FC9" w:rsidP="396910A3">
      <w:pPr>
        <w:rPr>
          <w:rFonts w:ascii="Aptos" w:hAnsi="Aptos"/>
          <w:b/>
          <w:bCs/>
          <w:sz w:val="22"/>
          <w:szCs w:val="22"/>
        </w:rPr>
      </w:pPr>
      <w:r w:rsidRPr="007F3FC9">
        <w:rPr>
          <w:rFonts w:ascii="Aptos" w:hAnsi="Aptos"/>
          <w:sz w:val="22"/>
          <w:szCs w:val="22"/>
        </w:rPr>
        <w:t>Our assessment is that the Government's ambition for every child to achieve and thrive will require more than expanding the use of EdTech and AI. It will require a clear, shared understanding of educational efficacy, grounded in children's rights and supported by robust evidence, effective implementation and appropriate procurement. To strengthen the White Paper's approach to educational technology and AI, we recommend the following:</w:t>
      </w:r>
    </w:p>
    <w:p w:rsidR="00FA7647" w:rsidRPr="007F3FC9" w:rsidP="396910A3">
      <w:pPr>
        <w:rPr>
          <w:rFonts w:ascii="Aptos" w:hAnsi="Aptos"/>
          <w:b/>
          <w:bCs/>
          <w:sz w:val="22"/>
          <w:szCs w:val="22"/>
        </w:rPr>
      </w:pPr>
      <w:r w:rsidRPr="007F3FC9">
        <w:rPr>
          <w:rFonts w:ascii="Aptos" w:hAnsi="Aptos"/>
          <w:b/>
          <w:bCs/>
          <w:sz w:val="22"/>
          <w:szCs w:val="22"/>
        </w:rPr>
        <w:t>1. Define educational efficacy</w:t>
      </w:r>
    </w:p>
    <w:p w:rsidR="00FA7647" w:rsidRPr="007F3FC9" w:rsidP="396910A3">
      <w:pPr>
        <w:rPr>
          <w:rFonts w:ascii="Aptos" w:hAnsi="Aptos"/>
          <w:sz w:val="22"/>
          <w:szCs w:val="22"/>
        </w:rPr>
      </w:pPr>
      <w:r w:rsidRPr="007F3FC9">
        <w:rPr>
          <w:rFonts w:ascii="Aptos" w:hAnsi="Aptos"/>
          <w:sz w:val="22"/>
          <w:szCs w:val="22"/>
        </w:rPr>
        <w:t>Publish a framework defining educational efficacy for EdTech that reflects the White Paper's ambition for every child to achieve and thrive. The framework should set out the educational outcomes against which the efficacy of EdTech and AI will be assessed.</w:t>
      </w:r>
    </w:p>
    <w:p w:rsidR="00FA7647" w:rsidRPr="007F3FC9" w:rsidP="396910A3">
      <w:pPr>
        <w:rPr>
          <w:rFonts w:ascii="Aptos" w:hAnsi="Aptos"/>
          <w:b/>
          <w:bCs/>
          <w:sz w:val="22"/>
          <w:szCs w:val="22"/>
        </w:rPr>
      </w:pPr>
      <w:r w:rsidRPr="007F3FC9">
        <w:rPr>
          <w:rFonts w:ascii="Aptos" w:hAnsi="Aptos"/>
          <w:b/>
          <w:bCs/>
          <w:sz w:val="22"/>
          <w:szCs w:val="22"/>
        </w:rPr>
        <w:t>2. Ground educational efficacy in children's rights</w:t>
      </w:r>
    </w:p>
    <w:p w:rsidR="00FA7647" w:rsidRPr="007F3FC9" w:rsidP="396910A3">
      <w:pPr>
        <w:rPr>
          <w:rFonts w:ascii="Aptos" w:hAnsi="Aptos"/>
          <w:sz w:val="22"/>
          <w:szCs w:val="22"/>
        </w:rPr>
      </w:pPr>
      <w:r w:rsidRPr="007F3FC9">
        <w:rPr>
          <w:rFonts w:ascii="Aptos" w:hAnsi="Aptos"/>
          <w:sz w:val="22"/>
          <w:szCs w:val="22"/>
        </w:rPr>
        <w:t>Ensure that the framework reflects the broader purposes of education, consistent with Article 29 of the UN Convention on the Rights of the Child. Evidence of efficacy should therefore extend beyond academic attainment to include children's learning, wellbeing, participation, inclusion and wider development.</w:t>
      </w:r>
    </w:p>
    <w:p w:rsidR="00FA7647" w:rsidRPr="007F3FC9" w:rsidP="396910A3">
      <w:pPr>
        <w:rPr>
          <w:rFonts w:ascii="Aptos" w:hAnsi="Aptos"/>
          <w:b/>
          <w:bCs/>
          <w:sz w:val="22"/>
          <w:szCs w:val="22"/>
        </w:rPr>
      </w:pPr>
      <w:r w:rsidRPr="007F3FC9">
        <w:rPr>
          <w:rFonts w:ascii="Aptos" w:hAnsi="Aptos"/>
          <w:b/>
          <w:bCs/>
          <w:sz w:val="22"/>
          <w:szCs w:val="22"/>
        </w:rPr>
        <w:t>3. Align evidence, implementation and procurement</w:t>
      </w:r>
    </w:p>
    <w:p w:rsidR="00FA7647" w:rsidP="396910A3">
      <w:pPr>
        <w:rPr>
          <w:rFonts w:ascii="Aptos" w:hAnsi="Aptos"/>
          <w:sz w:val="22"/>
          <w:szCs w:val="22"/>
        </w:rPr>
      </w:pPr>
      <w:r w:rsidRPr="007F3FC9">
        <w:rPr>
          <w:rFonts w:ascii="Aptos" w:hAnsi="Aptos"/>
          <w:sz w:val="22"/>
          <w:szCs w:val="22"/>
        </w:rPr>
        <w:t>Ensure that evidence standards, evaluation frameworks and procurement guidance are aligned with this definition of educational efficacy. These should also recognise the conditions under which technologies are most effective, including high-quality pedagogy and appropriate teacher capability and professional development, so that schools are supported to adopt technologies that genuinely improve children's learning and development. Clear expectations about educational efficacy would also create stronger incen</w:t>
      </w:r>
      <w:r w:rsidRPr="007F3FC9">
        <w:rPr>
          <w:rFonts w:ascii="Aptos" w:hAnsi="Aptos"/>
          <w:sz w:val="22"/>
          <w:szCs w:val="22"/>
        </w:rPr>
        <w:t>tives for developers to design products that demonstrably advance children's learning, wellbeing, participation and inclusion.</w:t>
      </w:r>
    </w:p>
    <w:p w:rsidR="00964710" w:rsidRPr="00964710" w:rsidP="396910A3">
      <w:pPr>
        <w:rPr>
          <w:rFonts w:ascii="Aptos" w:hAnsi="Aptos"/>
          <w:i/>
          <w:iCs/>
          <w:sz w:val="22"/>
          <w:szCs w:val="22"/>
        </w:rPr>
      </w:pPr>
      <w:r w:rsidRPr="00964710">
        <w:rPr>
          <w:rFonts w:ascii="Aptos" w:hAnsi="Aptos"/>
          <w:i/>
          <w:iCs/>
          <w:sz w:val="22"/>
          <w:szCs w:val="22"/>
        </w:rPr>
        <w:t>September 2026</w:t>
      </w:r>
    </w:p>
    <w:p w:rsidR="00FA7647" w:rsidP="396910A3">
      <w:pPr>
        <w:rPr>
          <w:rFonts w:ascii="Aptos" w:hAnsi="Aptos"/>
        </w:rPr>
      </w:pPr>
    </w:p>
    <w:sectPr>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120"/>
      <w:gridCol w:w="3120"/>
      <w:gridCol w:w="3120"/>
    </w:tblGrid>
    <w:tr w:rsidTr="396910A3">
      <w:tblPrEx>
        <w:tblW w:w="0" w:type="auto"/>
        <w:tblLook w:val="06A0"/>
      </w:tblPrEx>
      <w:trPr>
        <w:trHeight w:val="300"/>
      </w:trPr>
      <w:tc>
        <w:tcPr>
          <w:tcW w:w="3120" w:type="dxa"/>
        </w:tcPr>
        <w:p w:rsidR="00FA7647" w:rsidP="396910A3">
          <w:pPr>
            <w:pStyle w:val="Header"/>
            <w:ind w:left="-115"/>
          </w:pPr>
        </w:p>
      </w:tc>
      <w:tc>
        <w:tcPr>
          <w:tcW w:w="3120" w:type="dxa"/>
        </w:tcPr>
        <w:p w:rsidR="00FA7647" w:rsidP="396910A3">
          <w:pPr>
            <w:pStyle w:val="Header"/>
            <w:jc w:val="center"/>
          </w:pPr>
        </w:p>
      </w:tc>
      <w:tc>
        <w:tcPr>
          <w:tcW w:w="3120" w:type="dxa"/>
        </w:tcPr>
        <w:p w:rsidR="00FA7647" w:rsidP="396910A3">
          <w:pPr>
            <w:pStyle w:val="Header"/>
            <w:ind w:right="-115"/>
            <w:jc w:val="right"/>
          </w:pPr>
        </w:p>
      </w:tc>
    </w:tr>
  </w:tbl>
  <w:p w:rsidR="00FA7647" w:rsidP="39691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A7647">
      <w:pPr>
        <w:spacing w:after="0" w:line="240" w:lineRule="auto"/>
      </w:pPr>
      <w:r>
        <w:separator/>
      </w:r>
    </w:p>
  </w:footnote>
  <w:footnote w:type="continuationSeparator" w:id="1">
    <w:p w:rsidR="00FA7647">
      <w:pPr>
        <w:spacing w:after="0" w:line="240" w:lineRule="auto"/>
      </w:pPr>
      <w:r>
        <w:continuationSeparator/>
      </w:r>
    </w:p>
  </w:footnote>
  <w:footnote w:id="2">
    <w:p w:rsidR="00FA7647" w:rsidRPr="00756CEC">
      <w:pPr>
        <w:pStyle w:val="FootnoteText"/>
        <w:rPr>
          <w:lang w:val="en-GB"/>
        </w:rPr>
      </w:pPr>
      <w:r>
        <w:rPr>
          <w:rStyle w:val="FootnoteReference"/>
        </w:rPr>
        <w:footnoteRef/>
      </w:r>
      <w:r>
        <w:t xml:space="preserve"> </w:t>
      </w:r>
      <w:r>
        <w:rPr>
          <w:lang w:val="en-GB"/>
        </w:rPr>
        <w:t xml:space="preserve">Digital Futures for Children Centre, 5Rights Foundation and LSE, </w:t>
      </w:r>
      <w:r w:rsidRPr="00756CEC">
        <w:rPr>
          <w:lang w:val="en-GB"/>
        </w:rPr>
        <w:t>https://www.digital-futures-for-children.net/</w:t>
      </w:r>
    </w:p>
  </w:footnote>
  <w:footnote w:id="3">
    <w:p w:rsidR="00FA7647" w:rsidRPr="00756CEC">
      <w:pPr>
        <w:pStyle w:val="FootnoteText"/>
        <w:rPr>
          <w:lang w:val="en-GB"/>
        </w:rPr>
      </w:pPr>
      <w:r>
        <w:rPr>
          <w:rStyle w:val="FootnoteReference"/>
        </w:rPr>
        <w:footnoteRef/>
      </w:r>
      <w:r>
        <w:t xml:space="preserve"> </w:t>
      </w:r>
      <w:r>
        <w:rPr>
          <w:lang w:val="en-GB"/>
        </w:rPr>
        <w:t xml:space="preserve">Age Appropriate Design Code, 2021, ICO, </w:t>
      </w:r>
      <w:r w:rsidRPr="00756CEC">
        <w:rPr>
          <w:lang w:val="en-GB"/>
        </w:rPr>
        <w:t>https://ico.org.uk/for-organisations/uk-gdpr-guidance-and-resources/childrens-information/childrens-code-guidance-and-resources/age-appropriate-design-a-code-of-practice-for-online-services/</w:t>
      </w:r>
    </w:p>
  </w:footnote>
  <w:footnote w:id="4">
    <w:p w:rsidR="00FA7647" w:rsidP="396910A3">
      <w:pPr>
        <w:pStyle w:val="FootnoteText"/>
        <w:rPr>
          <w:rFonts w:ascii="Aptos" w:hAnsi="Aptos"/>
        </w:rPr>
      </w:pPr>
      <w:r w:rsidRPr="396910A3">
        <w:rPr>
          <w:rStyle w:val="FootnoteReference"/>
        </w:rPr>
        <w:footnoteRef/>
      </w:r>
      <w:r>
        <w:t xml:space="preserve"> Better EdTech Futures for Children, Digital Futures for Children</w:t>
      </w:r>
      <w:r>
        <w:t xml:space="preserve"> Centre,</w:t>
      </w:r>
      <w:r>
        <w:t xml:space="preserve"> </w:t>
      </w:r>
      <w:r w:rsidRPr="396910A3">
        <w:rPr>
          <w:rFonts w:ascii="Aptos" w:hAnsi="Aptos"/>
        </w:rPr>
        <w:t>https://www.digital-futures-for-children.net/our-work/edtech-future</w:t>
      </w:r>
    </w:p>
  </w:footnote>
  <w:footnote w:id="5">
    <w:p w:rsidR="00FA7647" w:rsidRPr="00756CEC">
      <w:pPr>
        <w:pStyle w:val="FootnoteText"/>
        <w:rPr>
          <w:lang w:val="en-GB"/>
        </w:rPr>
      </w:pPr>
      <w:r>
        <w:rPr>
          <w:rStyle w:val="FootnoteReference"/>
        </w:rPr>
        <w:footnoteRef/>
      </w:r>
      <w:r>
        <w:t xml:space="preserve"> </w:t>
      </w:r>
      <w:r>
        <w:rPr>
          <w:lang w:val="en-GB"/>
        </w:rPr>
        <w:t xml:space="preserve">Digital Futures Commission, </w:t>
      </w:r>
      <w:r w:rsidRPr="00756CEC">
        <w:rPr>
          <w:lang w:val="en-GB"/>
        </w:rPr>
        <w:t>https://www.digital-futures-for-children.net/about/digital-futures-commission</w:t>
      </w:r>
    </w:p>
  </w:footnote>
  <w:footnote w:id="6">
    <w:p w:rsidR="00FA7647" w:rsidP="396910A3">
      <w:pPr>
        <w:pStyle w:val="FootnoteText"/>
        <w:rPr>
          <w:rFonts w:ascii="Aptos" w:hAnsi="Aptos"/>
        </w:rPr>
      </w:pPr>
      <w:r w:rsidRPr="396910A3">
        <w:rPr>
          <w:rStyle w:val="FootnoteReference"/>
        </w:rPr>
        <w:footnoteRef/>
      </w:r>
      <w:r>
        <w:t xml:space="preserve"> </w:t>
      </w:r>
      <w:r w:rsidRPr="396910A3">
        <w:rPr>
          <w:rFonts w:ascii="Aptos" w:hAnsi="Aptos"/>
        </w:rPr>
        <w:t>Assessing the impact of using EdTech on children's learning: a scoping review of meta-analyses, Digital Futures for Children Centre, July 2026, https://researchonline.lse.ac.uk/id/eprint/140402/</w:t>
      </w:r>
    </w:p>
  </w:footnote>
  <w:footnote w:id="7">
    <w:p w:rsidR="00FA7647" w:rsidRPr="007F3FC9">
      <w:pPr>
        <w:pStyle w:val="FootnoteText"/>
        <w:rPr>
          <w:lang w:val="en-GB"/>
        </w:rPr>
      </w:pPr>
      <w:r>
        <w:rPr>
          <w:rStyle w:val="FootnoteReference"/>
        </w:rPr>
        <w:footnoteRef/>
      </w:r>
      <w:r>
        <w:t xml:space="preserve"> Governance of data for children’s learning in UK state schools, Digital Futures Commission, 2021, </w:t>
      </w:r>
      <w:r w:rsidRPr="007F3FC9">
        <w:t>https://researchonline.lse.ac.uk/id/eprint/119734/1/Governance_of_data_for_children_learning.pdf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120"/>
      <w:gridCol w:w="3120"/>
      <w:gridCol w:w="3120"/>
    </w:tblGrid>
    <w:tr w:rsidTr="396910A3">
      <w:tblPrEx>
        <w:tblW w:w="0" w:type="auto"/>
        <w:tblLook w:val="06A0"/>
      </w:tblPrEx>
      <w:trPr>
        <w:trHeight w:val="300"/>
      </w:trPr>
      <w:tc>
        <w:tcPr>
          <w:tcW w:w="3120" w:type="dxa"/>
        </w:tcPr>
        <w:p w:rsidR="00FA7647" w:rsidP="396910A3">
          <w:pPr>
            <w:pStyle w:val="Header"/>
            <w:ind w:left="-115"/>
          </w:pPr>
          <w:r>
            <w:fldChar w:fldCharType="begin"/>
          </w:r>
          <w:r>
            <w:instrText>PAGE</w:instrText>
          </w:r>
          <w:r>
            <w:fldChar w:fldCharType="separate"/>
          </w:r>
          <w:r>
            <w:rPr>
              <w:noProof/>
            </w:rPr>
            <w:t>1</w:t>
          </w:r>
          <w:r>
            <w:fldChar w:fldCharType="end"/>
          </w:r>
        </w:p>
      </w:tc>
      <w:tc>
        <w:tcPr>
          <w:tcW w:w="3120" w:type="dxa"/>
        </w:tcPr>
        <w:p w:rsidR="00FA7647" w:rsidP="396910A3">
          <w:pPr>
            <w:pStyle w:val="Header"/>
            <w:jc w:val="center"/>
          </w:pPr>
        </w:p>
      </w:tc>
      <w:tc>
        <w:tcPr>
          <w:tcW w:w="3120" w:type="dxa"/>
        </w:tcPr>
        <w:p w:rsidR="00FA7647" w:rsidP="396910A3">
          <w:pPr>
            <w:pStyle w:val="Header"/>
            <w:ind w:right="-115"/>
            <w:jc w:val="right"/>
          </w:pPr>
        </w:p>
      </w:tc>
    </w:tr>
  </w:tbl>
  <w:p w:rsidR="00FA7647" w:rsidP="396910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B5ECB01"/>
    <w:multiLevelType w:val="hybridMultilevel"/>
    <w:tmpl w:val="03FE6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rsid w:val="39691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uiPriority w:val="9"/>
    <w:unhideWhenUsed/>
    <w:qFormat/>
    <w:rsid w:val="396910A3"/>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6154C8F"/>
    <w:rPr>
      <w:color w:val="467886"/>
      <w:u w:val="single"/>
    </w:rPr>
  </w:style>
  <w:style w:type="paragraph" w:styleId="Title">
    <w:name w:val="Title"/>
    <w:basedOn w:val="Normal"/>
    <w:next w:val="Normal"/>
    <w:uiPriority w:val="10"/>
    <w:qFormat/>
    <w:rsid w:val="396910A3"/>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96910A3"/>
    <w:rPr>
      <w:rFonts w:eastAsiaTheme="majorEastAsia" w:cstheme="majorBidi"/>
      <w:color w:val="595959" w:themeColor="text1" w:themeTint="A6"/>
      <w:sz w:val="28"/>
      <w:szCs w:val="28"/>
    </w:rPr>
  </w:style>
  <w:style w:type="paragraph" w:customStyle="1" w:styleId="Callout-green">
    <w:name w:val="Callout-green"/>
    <w:basedOn w:val="Normal"/>
    <w:uiPriority w:val="1"/>
    <w:qFormat/>
    <w:rsid w:val="396910A3"/>
    <w:pPr>
      <w:pBdr>
        <w:top w:val="single" w:sz="2" w:space="12" w:color="C1FBC7"/>
        <w:left w:val="single" w:sz="2" w:space="12" w:color="C1FBC7"/>
        <w:bottom w:val="single" w:sz="2" w:space="12" w:color="C1FBC7"/>
        <w:right w:val="single" w:sz="2" w:space="15" w:color="C1FBC7"/>
      </w:pBdr>
      <w:shd w:val="clear" w:color="auto" w:fill="C1FBC7"/>
      <w:spacing w:after="140" w:line="240" w:lineRule="auto"/>
      <w:ind w:left="340" w:right="340"/>
    </w:pPr>
    <w:rPr>
      <w:sz w:val="22"/>
      <w:szCs w:val="22"/>
    </w:rPr>
  </w:style>
  <w:style w:type="paragraph" w:styleId="FootnoteText">
    <w:name w:val="footnote text"/>
    <w:basedOn w:val="Normal"/>
    <w:uiPriority w:val="99"/>
    <w:semiHidden/>
    <w:unhideWhenUsed/>
    <w:rsid w:val="396910A3"/>
    <w:pPr>
      <w:spacing w:after="0" w:line="240" w:lineRule="auto"/>
    </w:pPr>
    <w:rPr>
      <w:sz w:val="20"/>
      <w:szCs w:val="20"/>
    </w:rPr>
  </w:style>
  <w:style w:type="character" w:styleId="FootnoteReference">
    <w:name w:val="footnote reference"/>
    <w:basedOn w:val="DefaultParagraphFont"/>
    <w:uiPriority w:val="99"/>
    <w:semiHidden/>
    <w:unhideWhenUsed/>
    <w:rsid w:val="396910A3"/>
    <w:rPr>
      <w:vertAlign w:val="superscript"/>
    </w:rPr>
  </w:style>
  <w:style w:type="paragraph" w:styleId="ListParagraph">
    <w:name w:val="List Paragraph"/>
    <w:basedOn w:val="Normal"/>
    <w:uiPriority w:val="34"/>
    <w:qFormat/>
    <w:rsid w:val="396910A3"/>
    <w:pPr>
      <w:ind w:left="720"/>
      <w:contextualSpacing/>
    </w:pPr>
  </w:style>
  <w:style w:type="paragraph" w:styleId="Header">
    <w:name w:val="header"/>
    <w:basedOn w:val="Normal"/>
    <w:uiPriority w:val="99"/>
    <w:unhideWhenUsed/>
    <w:rsid w:val="396910A3"/>
    <w:pPr>
      <w:tabs>
        <w:tab w:val="center" w:pos="4680"/>
        <w:tab w:val="right" w:pos="9360"/>
      </w:tabs>
      <w:spacing w:after="0" w:line="240" w:lineRule="auto"/>
    </w:pPr>
  </w:style>
  <w:style w:type="paragraph" w:styleId="Footer">
    <w:name w:val="footer"/>
    <w:basedOn w:val="Normal"/>
    <w:uiPriority w:val="99"/>
    <w:unhideWhenUsed/>
    <w:rsid w:val="396910A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024d28-b06a-4604-9d29-5cacb63c9fa0">
      <Terms xmlns="http://schemas.microsoft.com/office/infopath/2007/PartnerControls"/>
    </lcf76f155ced4ddcb4097134ff3c332f>
    <TaxCatchAll xmlns="6ffcb870-e240-45ef-9b42-22495e36c2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FBB905CBDCF4DB8E8BE7E780E98D3" ma:contentTypeVersion="12" ma:contentTypeDescription="Create a new document." ma:contentTypeScope="" ma:versionID="0cc091a39a6ca1a3d8e4b51c6793f833">
  <xsd:schema xmlns:xsd="http://www.w3.org/2001/XMLSchema" xmlns:xs="http://www.w3.org/2001/XMLSchema" xmlns:p="http://schemas.microsoft.com/office/2006/metadata/properties" xmlns:ns2="1c024d28-b06a-4604-9d29-5cacb63c9fa0" xmlns:ns3="6ffcb870-e240-45ef-9b42-22495e36c214" targetNamespace="http://schemas.microsoft.com/office/2006/metadata/properties" ma:root="true" ma:fieldsID="bf7a316d18ed1d66930166ba013f185d" ns2:_="" ns3:_="">
    <xsd:import namespace="1c024d28-b06a-4604-9d29-5cacb63c9fa0"/>
    <xsd:import namespace="6ffcb870-e240-45ef-9b42-22495e36c2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24d28-b06a-4604-9d29-5cacb63c9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e42104e-4564-41ee-8093-6183c8e16f8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fcb870-e240-45ef-9b42-22495e36c21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36762a-0b0d-4432-a7e2-04ac5544369b}" ma:internalName="TaxCatchAll" ma:showField="CatchAllData" ma:web="6ffcb870-e240-45ef-9b42-22495e36c2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7C7B39-312F-43DC-B51F-C83DC7B6A8F6}">
  <ds:schemaRefs>
    <ds:schemaRef ds:uri="http://schemas.microsoft.com/office/2006/metadata/properties"/>
    <ds:schemaRef ds:uri="http://schemas.microsoft.com/office/infopath/2007/PartnerControls"/>
    <ds:schemaRef ds:uri="1c024d28-b06a-4604-9d29-5cacb63c9fa0"/>
    <ds:schemaRef ds:uri="6ffcb870-e240-45ef-9b42-22495e36c214"/>
  </ds:schemaRefs>
</ds:datastoreItem>
</file>

<file path=customXml/itemProps2.xml><?xml version="1.0" encoding="utf-8"?>
<ds:datastoreItem xmlns:ds="http://schemas.openxmlformats.org/officeDocument/2006/customXml" ds:itemID="{51C1F1A1-F292-4891-BA0B-E65ABCF82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24d28-b06a-4604-9d29-5cacb63c9fa0"/>
    <ds:schemaRef ds:uri="6ffcb870-e240-45ef-9b42-22495e36c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617CC-806B-1C4A-ABC1-236D8B44B28F}">
  <ds:schemaRefs>
    <ds:schemaRef ds:uri="http://schemas.openxmlformats.org/officeDocument/2006/bibliography"/>
  </ds:schemaRefs>
</ds:datastoreItem>
</file>

<file path=customXml/itemProps4.xml><?xml version="1.0" encoding="utf-8"?>
<ds:datastoreItem xmlns:ds="http://schemas.openxmlformats.org/officeDocument/2006/customXml" ds:itemID="{B564F02C-8337-4328-BF44-4B6389EA020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ECA0136</dc:title>
  <cp:revision>0</cp:revision>
</cp:coreProperties>
</file>