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D034B" w:rsidRPr="003A3BDE" w:rsidP="003A3BDE">
      <w:pPr>
        <w:jc w:val="center"/>
        <w:rPr>
          <w:rFonts w:ascii="Calibri" w:eastAsia="Century Gothic" w:hAnsi="Calibri" w:cs="Calibri"/>
          <w:b/>
          <w:bCs/>
          <w:sz w:val="22"/>
          <w:szCs w:val="22"/>
        </w:rPr>
      </w:pPr>
      <w:r w:rsidRPr="003A3BDE">
        <w:rPr>
          <w:rFonts w:ascii="Calibri" w:eastAsia="Century Gothic" w:hAnsi="Calibri" w:cs="Calibri"/>
          <w:b/>
          <w:bCs/>
          <w:sz w:val="22"/>
          <w:szCs w:val="22"/>
        </w:rPr>
        <w:t xml:space="preserve">Written evidence by </w:t>
      </w:r>
      <w:r w:rsidRPr="003A3BDE">
        <w:rPr>
          <w:rFonts w:ascii="Calibri" w:eastAsia="Century Gothic" w:hAnsi="Calibri" w:cs="Calibri"/>
          <w:b/>
          <w:bCs/>
          <w:sz w:val="22"/>
          <w:szCs w:val="22"/>
        </w:rPr>
        <w:t>The Brilliant Club</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ECA0135</w:t>
      </w:r>
      <w:r w:rsidRPr="003A3BDE">
        <w:rPr>
          <w:rFonts w:ascii="Calibri" w:eastAsia="Century Gothic" w:hAnsi="Calibri" w:cs="Calibri"/>
          <w:b/>
          <w:bCs/>
          <w:sz w:val="22"/>
          <w:szCs w:val="22"/>
        </w:rPr>
        <w:t>)</w:t>
      </w:r>
    </w:p>
    <w:p w:rsidR="003A3BDE" w:rsidRPr="003A3BDE" w:rsidP="003A3BDE">
      <w:pPr>
        <w:jc w:val="center"/>
        <w:rPr>
          <w:rFonts w:ascii="Calibri" w:eastAsia="Century Gothic" w:hAnsi="Calibri" w:cs="Calibri"/>
          <w:b/>
          <w:bCs/>
          <w:sz w:val="22"/>
          <w:szCs w:val="22"/>
        </w:rPr>
      </w:pPr>
    </w:p>
    <w:p w:rsidR="003A3BDE" w:rsidRPr="003A3BDE" w:rsidP="003A3BDE">
      <w:pPr>
        <w:rPr>
          <w:rFonts w:ascii="Calibri" w:eastAsia="Century Gothic" w:hAnsi="Calibri" w:cs="Calibri"/>
          <w:b/>
          <w:bCs/>
          <w:sz w:val="22"/>
          <w:szCs w:val="22"/>
        </w:rPr>
      </w:pPr>
      <w:r w:rsidRPr="003A3BDE">
        <w:rPr>
          <w:rFonts w:ascii="Calibri" w:eastAsia="Century Gothic" w:hAnsi="Calibri" w:cs="Calibri"/>
          <w:b/>
          <w:bCs/>
          <w:sz w:val="22"/>
          <w:szCs w:val="22"/>
        </w:rPr>
        <w:t>Education Committee</w:t>
      </w:r>
    </w:p>
    <w:p w:rsidR="003A3BDE" w:rsidRPr="003A3BDE" w:rsidP="003A3BDE">
      <w:pPr>
        <w:rPr>
          <w:rFonts w:ascii="Calibri" w:eastAsia="Century Gothic" w:hAnsi="Calibri" w:cs="Calibri"/>
          <w:b/>
          <w:bCs/>
          <w:sz w:val="22"/>
          <w:szCs w:val="22"/>
        </w:rPr>
      </w:pPr>
      <w:r w:rsidRPr="003A3BDE">
        <w:rPr>
          <w:rFonts w:ascii="Calibri" w:eastAsia="Times New Roman" w:hAnsi="Calibri" w:cs="Calibri"/>
          <w:b/>
          <w:bCs/>
          <w:sz w:val="22"/>
          <w:szCs w:val="22"/>
        </w:rPr>
        <w:t>Every Child Achieving and Thriving’ White Paper</w:t>
      </w:r>
    </w:p>
    <w:p w:rsidR="008539A9" w:rsidRPr="003A3BDE" w:rsidP="5E85F9EA">
      <w:pPr>
        <w:rPr>
          <w:rFonts w:ascii="Calibri" w:eastAsia="Century Gothic" w:hAnsi="Calibri" w:cs="Calibri"/>
          <w:b/>
          <w:bCs/>
          <w:sz w:val="22"/>
          <w:szCs w:val="22"/>
        </w:rPr>
      </w:pPr>
      <w:r w:rsidRPr="003A3BDE">
        <w:rPr>
          <w:rFonts w:ascii="Calibri" w:eastAsia="Century Gothic" w:hAnsi="Calibri" w:cs="Calibri"/>
          <w:b/>
          <w:bCs/>
          <w:sz w:val="22"/>
          <w:szCs w:val="22"/>
        </w:rPr>
        <w:t xml:space="preserve">Background </w:t>
      </w:r>
    </w:p>
    <w:p w:rsidR="008D034B" w:rsidRPr="003A3BDE" w:rsidP="772B9AF7">
      <w:pPr>
        <w:rPr>
          <w:rFonts w:ascii="Calibri" w:eastAsia="Century Gothic" w:hAnsi="Calibri" w:cs="Calibri"/>
          <w:color w:val="000000" w:themeColor="text1"/>
          <w:sz w:val="22"/>
          <w:szCs w:val="22"/>
        </w:rPr>
      </w:pPr>
      <w:r w:rsidRPr="003A3BDE">
        <w:rPr>
          <w:rFonts w:ascii="Calibri" w:eastAsia="Century Gothic" w:hAnsi="Calibri" w:cs="Calibri"/>
          <w:color w:val="000000" w:themeColor="text1"/>
          <w:sz w:val="22"/>
          <w:szCs w:val="22"/>
        </w:rPr>
        <w:t>The Brilliant Club is a social mobility charity that supports students from less advantaged backgrounds to access competitive universities and thrive when they get there. Since 2011, we have supported</w:t>
      </w:r>
      <w:r w:rsidRPr="003A3BDE">
        <w:rPr>
          <w:rFonts w:ascii="Calibri" w:eastAsia="Century Gothic" w:hAnsi="Calibri" w:cs="Calibri"/>
          <w:color w:val="000000" w:themeColor="text1"/>
          <w:sz w:val="22"/>
          <w:szCs w:val="22"/>
        </w:rPr>
        <w:t xml:space="preserve"> almost 15</w:t>
      </w:r>
      <w:r w:rsidRPr="003A3BDE">
        <w:rPr>
          <w:rFonts w:ascii="Calibri" w:eastAsia="Century Gothic" w:hAnsi="Calibri" w:cs="Calibri"/>
          <w:color w:val="000000" w:themeColor="text1"/>
          <w:sz w:val="22"/>
          <w:szCs w:val="22"/>
        </w:rPr>
        <w:t>0,000 students to access university through our flagship Scholars Programme, which mobilises the PhD community to help build academic, critical thinking, and self-efficacy skills amongst young people. We also deliver our Parent Power programme in 16 locations across England, Wales, and Scotland, building networks of parents and carers who advocate for educational equity and access to opportunity.</w:t>
      </w:r>
    </w:p>
    <w:p w:rsidR="008539A9" w:rsidRPr="003A3BDE" w:rsidP="772B9AF7">
      <w:pPr>
        <w:rPr>
          <w:rFonts w:ascii="Calibri" w:eastAsia="Century Gothic" w:hAnsi="Calibri" w:cs="Calibri"/>
          <w:sz w:val="22"/>
          <w:szCs w:val="22"/>
        </w:rPr>
      </w:pPr>
      <w:r w:rsidRPr="003A3BDE">
        <w:rPr>
          <w:rFonts w:ascii="Calibri" w:eastAsia="Century Gothic" w:hAnsi="Calibri" w:cs="Calibri"/>
          <w:color w:val="000000" w:themeColor="text1"/>
          <w:sz w:val="22"/>
          <w:szCs w:val="22"/>
          <w:u w:val="single"/>
        </w:rPr>
        <w:t>T</w:t>
      </w:r>
      <w:r w:rsidRPr="003A3BDE">
        <w:rPr>
          <w:rFonts w:ascii="Calibri" w:eastAsia="Century Gothic" w:hAnsi="Calibri" w:cs="Calibri"/>
          <w:sz w:val="22"/>
          <w:szCs w:val="22"/>
          <w:u w:val="single"/>
        </w:rPr>
        <w:t>he Brilliant Club</w:t>
      </w:r>
      <w:r w:rsidRPr="003A3BDE">
        <w:rPr>
          <w:rFonts w:ascii="Calibri" w:eastAsia="Century Gothic" w:hAnsi="Calibri" w:cs="Calibri"/>
          <w:sz w:val="22"/>
          <w:szCs w:val="22"/>
          <w:u w:val="single"/>
        </w:rPr>
        <w:t xml:space="preserve"> strongly welcomes </w:t>
      </w:r>
      <w:r w:rsidRPr="003A3BDE">
        <w:rPr>
          <w:rFonts w:ascii="Calibri" w:eastAsia="Century Gothic" w:hAnsi="Calibri" w:cs="Calibri"/>
          <w:sz w:val="22"/>
          <w:szCs w:val="22"/>
          <w:u w:val="single"/>
        </w:rPr>
        <w:t xml:space="preserve">the ambition set out in the Schools White Paper </w:t>
      </w:r>
      <w:r w:rsidRPr="003A3BDE">
        <w:rPr>
          <w:rFonts w:ascii="Calibri" w:eastAsia="Century Gothic" w:hAnsi="Calibri" w:cs="Calibri"/>
          <w:sz w:val="22"/>
          <w:szCs w:val="22"/>
          <w:u w:val="single"/>
        </w:rPr>
        <w:t xml:space="preserve">to halve the </w:t>
      </w:r>
      <w:r w:rsidRPr="003A3BDE">
        <w:rPr>
          <w:rFonts w:ascii="Calibri" w:eastAsia="Century Gothic" w:hAnsi="Calibri" w:cs="Calibri"/>
          <w:sz w:val="22"/>
          <w:szCs w:val="22"/>
          <w:u w:val="single"/>
        </w:rPr>
        <w:t>disadvantage gap by 2040.</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A</w:t>
      </w:r>
      <w:r w:rsidRPr="003A3BDE">
        <w:rPr>
          <w:rFonts w:ascii="Calibri" w:eastAsia="Century Gothic" w:hAnsi="Calibri" w:cs="Calibri"/>
          <w:sz w:val="22"/>
          <w:szCs w:val="22"/>
        </w:rPr>
        <w:t>ttainment gap</w:t>
      </w:r>
      <w:r w:rsidRPr="003A3BDE">
        <w:rPr>
          <w:rFonts w:ascii="Calibri" w:eastAsia="Century Gothic" w:hAnsi="Calibri" w:cs="Calibri"/>
          <w:sz w:val="22"/>
          <w:szCs w:val="22"/>
        </w:rPr>
        <w:t>s</w:t>
      </w:r>
      <w:r w:rsidRPr="003A3BDE">
        <w:rPr>
          <w:rFonts w:ascii="Calibri" w:eastAsia="Century Gothic" w:hAnsi="Calibri" w:cs="Calibri"/>
          <w:sz w:val="22"/>
          <w:szCs w:val="22"/>
        </w:rPr>
        <w:t xml:space="preserve"> between less advantaged pupils and their peers</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remain </w:t>
      </w:r>
      <w:r w:rsidRPr="003A3BDE">
        <w:rPr>
          <w:rFonts w:ascii="Calibri" w:eastAsia="Century Gothic" w:hAnsi="Calibri" w:cs="Calibri"/>
          <w:sz w:val="22"/>
          <w:szCs w:val="22"/>
        </w:rPr>
        <w:t>one of the most persistent challenges facing the English education sector</w:t>
      </w:r>
      <w:r w:rsidRPr="003A3BDE">
        <w:rPr>
          <w:rFonts w:ascii="Calibri" w:eastAsia="Century Gothic" w:hAnsi="Calibri" w:cs="Calibri"/>
          <w:sz w:val="22"/>
          <w:szCs w:val="22"/>
        </w:rPr>
        <w:t xml:space="preserve">, resulting in lifelong implications for young people </w:t>
      </w:r>
      <w:r w:rsidRPr="003A3BDE">
        <w:rPr>
          <w:rFonts w:ascii="Calibri" w:eastAsia="Century Gothic" w:hAnsi="Calibri" w:cs="Calibri"/>
          <w:sz w:val="22"/>
          <w:szCs w:val="22"/>
        </w:rPr>
        <w:t>and widening socio-economic inequality</w:t>
      </w:r>
      <w:r>
        <w:rPr>
          <w:rStyle w:val="FootnoteReference"/>
          <w:rFonts w:ascii="Calibri" w:eastAsia="Century Gothic" w:hAnsi="Calibri" w:cs="Calibri"/>
          <w:sz w:val="22"/>
          <w:szCs w:val="22"/>
        </w:rPr>
        <w:footnoteReference w:id="2"/>
      </w:r>
      <w:r w:rsidRPr="003A3BDE">
        <w:rPr>
          <w:rFonts w:ascii="Calibri" w:eastAsia="Century Gothic" w:hAnsi="Calibri" w:cs="Calibri"/>
          <w:sz w:val="22"/>
          <w:szCs w:val="22"/>
        </w:rPr>
        <w:t xml:space="preserve">. </w:t>
      </w:r>
    </w:p>
    <w:p w:rsidR="008D034B" w:rsidRPr="003A3BDE" w:rsidP="772B9AF7">
      <w:pPr>
        <w:rPr>
          <w:rFonts w:ascii="Calibri" w:eastAsia="Century Gothic" w:hAnsi="Calibri" w:cs="Calibri"/>
          <w:b/>
          <w:bCs/>
          <w:sz w:val="22"/>
          <w:szCs w:val="22"/>
        </w:rPr>
      </w:pPr>
      <w:r w:rsidRPr="003A3BDE">
        <w:rPr>
          <w:rFonts w:ascii="Calibri" w:eastAsia="Century Gothic" w:hAnsi="Calibri" w:cs="Calibri"/>
          <w:b/>
          <w:bCs/>
          <w:sz w:val="22"/>
          <w:szCs w:val="22"/>
        </w:rPr>
        <w:t xml:space="preserve">To achieve this ambition, The Brilliant Club recommends: </w:t>
      </w:r>
    </w:p>
    <w:p w:rsidR="008D034B" w:rsidRPr="003A3BDE" w:rsidP="1F6BA04A">
      <w:pPr>
        <w:pStyle w:val="ListParagraph"/>
        <w:numPr>
          <w:ilvl w:val="0"/>
          <w:numId w:val="18"/>
        </w:num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Revers</w:t>
      </w:r>
      <w:r w:rsidRPr="003A3BDE">
        <w:rPr>
          <w:rFonts w:ascii="Calibri" w:eastAsia="Century Gothic" w:hAnsi="Calibri" w:cs="Calibri"/>
          <w:b/>
          <w:bCs/>
          <w:color w:val="000000" w:themeColor="text1"/>
          <w:sz w:val="22"/>
          <w:szCs w:val="22"/>
        </w:rPr>
        <w:t>ing</w:t>
      </w:r>
      <w:r w:rsidRPr="003A3BDE">
        <w:rPr>
          <w:rFonts w:ascii="Calibri" w:eastAsia="Century Gothic" w:hAnsi="Calibri" w:cs="Calibri"/>
          <w:b/>
          <w:bCs/>
          <w:color w:val="000000" w:themeColor="text1"/>
          <w:sz w:val="22"/>
          <w:szCs w:val="22"/>
        </w:rPr>
        <w:t xml:space="preserve"> the real terms erosion of Pupil Premium funding, restoring funding to previous levels.</w:t>
      </w:r>
    </w:p>
    <w:p w:rsidR="008D034B" w:rsidRPr="003A3BDE" w:rsidP="772B9AF7">
      <w:pPr>
        <w:pStyle w:val="ListParagraph"/>
        <w:numPr>
          <w:ilvl w:val="0"/>
          <w:numId w:val="18"/>
        </w:num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Maximising impact of Pupil Premium funding</w:t>
      </w:r>
      <w:r w:rsidRPr="003A3BDE">
        <w:rPr>
          <w:rFonts w:ascii="Calibri" w:eastAsia="Century Gothic" w:hAnsi="Calibri" w:cs="Calibri"/>
          <w:b/>
          <w:bCs/>
          <w:color w:val="000000" w:themeColor="text1"/>
          <w:sz w:val="22"/>
          <w:szCs w:val="22"/>
        </w:rPr>
        <w:t xml:space="preserve"> through</w:t>
      </w:r>
      <w:r w:rsidRPr="003A3BDE">
        <w:rPr>
          <w:rFonts w:ascii="Calibri" w:eastAsia="Century Gothic" w:hAnsi="Calibri" w:cs="Calibri"/>
          <w:b/>
          <w:bCs/>
          <w:color w:val="000000" w:themeColor="text1"/>
          <w:sz w:val="22"/>
          <w:szCs w:val="22"/>
        </w:rPr>
        <w:t xml:space="preserve"> </w:t>
      </w:r>
      <w:r w:rsidRPr="003A3BDE">
        <w:rPr>
          <w:rFonts w:ascii="Calibri" w:eastAsia="Century Gothic" w:hAnsi="Calibri" w:cs="Calibri"/>
          <w:b/>
          <w:bCs/>
          <w:sz w:val="22"/>
          <w:szCs w:val="22"/>
        </w:rPr>
        <w:t>creating dedicated mechanisms to evaluate, scale and embed proven interventions for disadvantaged pupils,</w:t>
      </w:r>
      <w:r w:rsidRPr="003A3BDE">
        <w:rPr>
          <w:rFonts w:ascii="Calibri" w:eastAsia="Century Gothic" w:hAnsi="Calibri" w:cs="Calibri"/>
          <w:b/>
          <w:bCs/>
          <w:color w:val="000000" w:themeColor="text1"/>
          <w:sz w:val="22"/>
          <w:szCs w:val="22"/>
        </w:rPr>
        <w:t xml:space="preserve"> including for white working-class and care experienced young people</w:t>
      </w:r>
      <w:r w:rsidRPr="003A3BDE">
        <w:rPr>
          <w:rFonts w:ascii="Calibri" w:eastAsia="Century Gothic" w:hAnsi="Calibri" w:cs="Calibri"/>
          <w:b/>
          <w:bCs/>
          <w:color w:val="000000" w:themeColor="text1"/>
          <w:sz w:val="22"/>
          <w:szCs w:val="22"/>
        </w:rPr>
        <w:t xml:space="preserve">. </w:t>
      </w:r>
    </w:p>
    <w:p w:rsidR="008D034B" w:rsidRPr="003A3BDE" w:rsidP="772B9AF7">
      <w:pPr>
        <w:pStyle w:val="ListParagraph"/>
        <w:numPr>
          <w:ilvl w:val="0"/>
          <w:numId w:val="18"/>
        </w:num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Establishing</w:t>
      </w:r>
      <w:r w:rsidRPr="003A3BDE">
        <w:rPr>
          <w:rFonts w:ascii="Calibri" w:eastAsia="Century Gothic" w:hAnsi="Calibri" w:cs="Calibri"/>
          <w:b/>
          <w:bCs/>
          <w:color w:val="000000" w:themeColor="text1"/>
          <w:sz w:val="22"/>
          <w:szCs w:val="22"/>
        </w:rPr>
        <w:t xml:space="preserve"> a ‘Student Premium’ to introduce new disadvantage funding for young people in 16-19 education.</w:t>
      </w:r>
    </w:p>
    <w:p w:rsidR="008D034B" w:rsidRPr="003A3BDE" w:rsidP="772B9AF7">
      <w:pPr>
        <w:pStyle w:val="ListParagraph"/>
        <w:numPr>
          <w:ilvl w:val="0"/>
          <w:numId w:val="18"/>
        </w:num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Embed</w:t>
      </w:r>
      <w:r w:rsidRPr="003A3BDE">
        <w:rPr>
          <w:rFonts w:ascii="Calibri" w:eastAsia="Century Gothic" w:hAnsi="Calibri" w:cs="Calibri"/>
          <w:b/>
          <w:bCs/>
          <w:color w:val="000000" w:themeColor="text1"/>
          <w:sz w:val="22"/>
          <w:szCs w:val="22"/>
        </w:rPr>
        <w:t>ding</w:t>
      </w:r>
      <w:r w:rsidRPr="003A3BDE">
        <w:rPr>
          <w:rFonts w:ascii="Calibri" w:eastAsia="Century Gothic" w:hAnsi="Calibri" w:cs="Calibri"/>
          <w:b/>
          <w:bCs/>
          <w:color w:val="000000" w:themeColor="text1"/>
          <w:sz w:val="22"/>
          <w:szCs w:val="22"/>
        </w:rPr>
        <w:t xml:space="preserve"> evidence-based principles for engaging parents from underserved communities in schools’ approach to parental engagement via the new pupil engagement framework and minimum expectations for home-to-school partnerships.</w:t>
      </w:r>
    </w:p>
    <w:p w:rsidR="008D034B" w:rsidRPr="003A3BDE" w:rsidP="772B9AF7">
      <w:pPr>
        <w:pStyle w:val="ListParagraph"/>
        <w:numPr>
          <w:ilvl w:val="0"/>
          <w:numId w:val="18"/>
        </w:num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Scal</w:t>
      </w:r>
      <w:r w:rsidRPr="003A3BDE">
        <w:rPr>
          <w:rFonts w:ascii="Calibri" w:eastAsia="Century Gothic" w:hAnsi="Calibri" w:cs="Calibri"/>
          <w:b/>
          <w:bCs/>
          <w:color w:val="000000" w:themeColor="text1"/>
          <w:sz w:val="22"/>
          <w:szCs w:val="22"/>
        </w:rPr>
        <w:t>ing</w:t>
      </w:r>
      <w:r w:rsidRPr="003A3BDE">
        <w:rPr>
          <w:rFonts w:ascii="Calibri" w:eastAsia="Century Gothic" w:hAnsi="Calibri" w:cs="Calibri"/>
          <w:b/>
          <w:bCs/>
          <w:color w:val="000000" w:themeColor="text1"/>
          <w:sz w:val="22"/>
          <w:szCs w:val="22"/>
        </w:rPr>
        <w:t xml:space="preserve"> </w:t>
      </w:r>
      <w:r w:rsidRPr="003A3BDE">
        <w:rPr>
          <w:rFonts w:ascii="Calibri" w:eastAsia="Century Gothic" w:hAnsi="Calibri" w:cs="Calibri"/>
          <w:b/>
          <w:bCs/>
          <w:color w:val="000000" w:themeColor="text1"/>
          <w:sz w:val="22"/>
          <w:szCs w:val="22"/>
        </w:rPr>
        <w:t xml:space="preserve">targeted, </w:t>
      </w:r>
      <w:r w:rsidRPr="003A3BDE">
        <w:rPr>
          <w:rFonts w:ascii="Calibri" w:eastAsia="Century Gothic" w:hAnsi="Calibri" w:cs="Calibri"/>
          <w:b/>
          <w:bCs/>
          <w:color w:val="000000" w:themeColor="text1"/>
          <w:sz w:val="22"/>
          <w:szCs w:val="22"/>
        </w:rPr>
        <w:t>evidence-based parental engagement programmes</w:t>
      </w:r>
      <w:r w:rsidRPr="003A3BDE">
        <w:rPr>
          <w:rFonts w:ascii="Calibri" w:eastAsia="Century Gothic" w:hAnsi="Calibri" w:cs="Calibri"/>
          <w:b/>
          <w:bCs/>
          <w:color w:val="000000" w:themeColor="text1"/>
          <w:sz w:val="22"/>
          <w:szCs w:val="22"/>
        </w:rPr>
        <w:t xml:space="preserve">. For </w:t>
      </w:r>
      <w:r w:rsidRPr="003A3BDE">
        <w:rPr>
          <w:rFonts w:ascii="Calibri" w:eastAsia="Century Gothic" w:hAnsi="Calibri" w:cs="Calibri"/>
          <w:b/>
          <w:bCs/>
          <w:color w:val="000000" w:themeColor="text1"/>
          <w:sz w:val="22"/>
          <w:szCs w:val="22"/>
        </w:rPr>
        <w:t>example,</w:t>
      </w:r>
      <w:r w:rsidRPr="003A3BDE">
        <w:rPr>
          <w:rFonts w:ascii="Calibri" w:eastAsia="Century Gothic" w:hAnsi="Calibri" w:cs="Calibri"/>
          <w:b/>
          <w:bCs/>
          <w:color w:val="000000" w:themeColor="text1"/>
          <w:sz w:val="22"/>
          <w:szCs w:val="22"/>
        </w:rPr>
        <w:t xml:space="preserve"> including parental engagement as a core component of Mission </w:t>
      </w:r>
      <w:r w:rsidRPr="003A3BDE">
        <w:rPr>
          <w:rFonts w:ascii="Calibri" w:eastAsia="Century Gothic" w:hAnsi="Calibri" w:cs="Calibri"/>
          <w:b/>
          <w:bCs/>
          <w:color w:val="000000" w:themeColor="text1"/>
          <w:sz w:val="22"/>
          <w:szCs w:val="22"/>
        </w:rPr>
        <w:t>North East</w:t>
      </w:r>
      <w:r w:rsidRPr="003A3BDE">
        <w:rPr>
          <w:rFonts w:ascii="Calibri" w:eastAsia="Century Gothic" w:hAnsi="Calibri" w:cs="Calibri"/>
          <w:b/>
          <w:bCs/>
          <w:color w:val="000000" w:themeColor="text1"/>
          <w:sz w:val="22"/>
          <w:szCs w:val="22"/>
        </w:rPr>
        <w:t xml:space="preserve"> and Coastal pilots.</w:t>
      </w:r>
    </w:p>
    <w:p w:rsidR="008D034B" w:rsidRPr="003A3BDE" w:rsidP="772B9AF7">
      <w:pPr>
        <w:pStyle w:val="ListParagraph"/>
        <w:numPr>
          <w:ilvl w:val="0"/>
          <w:numId w:val="18"/>
        </w:num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Establish</w:t>
      </w:r>
      <w:r w:rsidRPr="003A3BDE">
        <w:rPr>
          <w:rFonts w:ascii="Calibri" w:eastAsia="Century Gothic" w:hAnsi="Calibri" w:cs="Calibri"/>
          <w:b/>
          <w:bCs/>
          <w:color w:val="000000" w:themeColor="text1"/>
          <w:sz w:val="22"/>
          <w:szCs w:val="22"/>
        </w:rPr>
        <w:t>ing</w:t>
      </w:r>
      <w:r w:rsidRPr="003A3BDE">
        <w:rPr>
          <w:rFonts w:ascii="Calibri" w:eastAsia="Century Gothic" w:hAnsi="Calibri" w:cs="Calibri"/>
          <w:b/>
          <w:bCs/>
          <w:color w:val="000000" w:themeColor="text1"/>
          <w:sz w:val="22"/>
          <w:szCs w:val="22"/>
        </w:rPr>
        <w:t xml:space="preserve"> s</w:t>
      </w:r>
      <w:r w:rsidRPr="003A3BDE">
        <w:rPr>
          <w:rFonts w:ascii="Calibri" w:eastAsia="Century Gothic" w:hAnsi="Calibri" w:cs="Calibri"/>
          <w:b/>
          <w:bCs/>
          <w:color w:val="000000" w:themeColor="text1"/>
          <w:sz w:val="22"/>
          <w:szCs w:val="22"/>
        </w:rPr>
        <w:t xml:space="preserve">ustainable, targeted funding </w:t>
      </w:r>
      <w:r w:rsidRPr="003A3BDE">
        <w:rPr>
          <w:rFonts w:ascii="Calibri" w:eastAsia="Century Gothic" w:hAnsi="Calibri" w:cs="Calibri"/>
          <w:b/>
          <w:bCs/>
          <w:color w:val="000000" w:themeColor="text1"/>
          <w:sz w:val="22"/>
          <w:szCs w:val="22"/>
        </w:rPr>
        <w:t>for the Enrichment Entitlement t</w:t>
      </w:r>
      <w:r w:rsidRPr="003A3BDE">
        <w:rPr>
          <w:rFonts w:ascii="Calibri" w:eastAsia="Century Gothic" w:hAnsi="Calibri" w:cs="Calibri"/>
          <w:b/>
          <w:bCs/>
          <w:color w:val="000000" w:themeColor="text1"/>
          <w:sz w:val="22"/>
          <w:szCs w:val="22"/>
        </w:rPr>
        <w:t xml:space="preserve">o </w:t>
      </w:r>
      <w:r w:rsidRPr="003A3BDE">
        <w:rPr>
          <w:rFonts w:ascii="Calibri" w:eastAsia="Century Gothic" w:hAnsi="Calibri" w:cs="Calibri"/>
          <w:b/>
          <w:bCs/>
          <w:color w:val="000000" w:themeColor="text1"/>
          <w:sz w:val="22"/>
          <w:szCs w:val="22"/>
        </w:rPr>
        <w:t>support engagement from</w:t>
      </w:r>
      <w:r w:rsidRPr="003A3BDE">
        <w:rPr>
          <w:rFonts w:ascii="Calibri" w:eastAsia="Century Gothic" w:hAnsi="Calibri" w:cs="Calibri"/>
          <w:b/>
          <w:bCs/>
          <w:color w:val="000000" w:themeColor="text1"/>
          <w:sz w:val="22"/>
          <w:szCs w:val="22"/>
        </w:rPr>
        <w:t xml:space="preserve"> young people from the least advantaged backgrounds</w:t>
      </w:r>
      <w:r w:rsidRPr="003A3BDE">
        <w:rPr>
          <w:rFonts w:ascii="Calibri" w:eastAsia="Century Gothic" w:hAnsi="Calibri" w:cs="Calibri"/>
          <w:b/>
          <w:bCs/>
          <w:color w:val="000000" w:themeColor="text1"/>
          <w:sz w:val="22"/>
          <w:szCs w:val="22"/>
        </w:rPr>
        <w:t>.</w:t>
      </w:r>
    </w:p>
    <w:p w:rsidR="008D034B" w:rsidRPr="003A3BDE" w:rsidP="772B9AF7">
      <w:pPr>
        <w:pStyle w:val="ListParagraph"/>
        <w:numPr>
          <w:ilvl w:val="0"/>
          <w:numId w:val="18"/>
        </w:num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Embedd</w:t>
      </w:r>
      <w:r w:rsidRPr="003A3BDE">
        <w:rPr>
          <w:rFonts w:ascii="Calibri" w:eastAsia="Century Gothic" w:hAnsi="Calibri" w:cs="Calibri"/>
          <w:b/>
          <w:bCs/>
          <w:color w:val="000000" w:themeColor="text1"/>
          <w:sz w:val="22"/>
          <w:szCs w:val="22"/>
        </w:rPr>
        <w:t>ing</w:t>
      </w:r>
      <w:r w:rsidRPr="003A3BDE">
        <w:rPr>
          <w:rFonts w:ascii="Calibri" w:eastAsia="Century Gothic" w:hAnsi="Calibri" w:cs="Calibri"/>
          <w:b/>
          <w:bCs/>
          <w:color w:val="000000" w:themeColor="text1"/>
          <w:sz w:val="22"/>
          <w:szCs w:val="22"/>
        </w:rPr>
        <w:t xml:space="preserve"> ‘learning beyond the curriculum’ as </w:t>
      </w:r>
      <w:r w:rsidRPr="003A3BDE">
        <w:rPr>
          <w:rFonts w:ascii="Calibri" w:eastAsia="Century Gothic" w:hAnsi="Calibri" w:cs="Calibri"/>
          <w:b/>
          <w:bCs/>
          <w:color w:val="000000" w:themeColor="text1"/>
          <w:sz w:val="22"/>
          <w:szCs w:val="22"/>
        </w:rPr>
        <w:t>a core component of the</w:t>
      </w:r>
      <w:r w:rsidRPr="003A3BDE">
        <w:rPr>
          <w:rFonts w:ascii="Calibri" w:eastAsia="Century Gothic" w:hAnsi="Calibri" w:cs="Calibri"/>
          <w:b/>
          <w:bCs/>
          <w:color w:val="000000" w:themeColor="text1"/>
          <w:sz w:val="22"/>
          <w:szCs w:val="22"/>
        </w:rPr>
        <w:t xml:space="preserve"> Enrichment Framework.</w:t>
      </w:r>
    </w:p>
    <w:p w:rsidR="008D034B" w:rsidRPr="003A3BDE" w:rsidP="772B9AF7">
      <w:pPr>
        <w:pStyle w:val="ListParagraph"/>
        <w:rPr>
          <w:rFonts w:ascii="Calibri" w:eastAsia="Century Gothic" w:hAnsi="Calibri" w:cs="Calibri"/>
          <w:b/>
          <w:bCs/>
          <w:color w:val="000000" w:themeColor="text1"/>
          <w:sz w:val="22"/>
          <w:szCs w:val="22"/>
        </w:rPr>
      </w:pPr>
    </w:p>
    <w:p w:rsidR="008D034B" w:rsidRPr="003A3BDE" w:rsidP="772B9AF7">
      <w:pPr>
        <w:rPr>
          <w:rFonts w:ascii="Calibri" w:eastAsia="Century Gothic" w:hAnsi="Calibri" w:cs="Calibri"/>
          <w:b/>
          <w:bCs/>
          <w:sz w:val="22"/>
          <w:szCs w:val="22"/>
        </w:rPr>
      </w:pPr>
      <w:r w:rsidRPr="003A3BDE">
        <w:rPr>
          <w:rFonts w:ascii="Calibri" w:eastAsia="Century Gothic" w:hAnsi="Calibri" w:cs="Calibri"/>
          <w:b/>
          <w:bCs/>
          <w:sz w:val="22"/>
          <w:szCs w:val="22"/>
        </w:rPr>
        <w:t>Scope</w:t>
      </w:r>
    </w:p>
    <w:p w:rsidR="008D034B" w:rsidRPr="003A3BDE" w:rsidP="5E85F9EA">
      <w:pPr>
        <w:rPr>
          <w:rFonts w:ascii="Calibri" w:eastAsia="Century Gothic" w:hAnsi="Calibri" w:cs="Calibri"/>
          <w:color w:val="000000" w:themeColor="text1"/>
          <w:sz w:val="22"/>
          <w:szCs w:val="22"/>
        </w:rPr>
      </w:pPr>
      <w:r w:rsidRPr="003A3BDE">
        <w:rPr>
          <w:rFonts w:ascii="Calibri" w:eastAsia="Century Gothic" w:hAnsi="Calibri" w:cs="Calibri"/>
          <w:color w:val="000000" w:themeColor="text1"/>
          <w:sz w:val="22"/>
          <w:szCs w:val="22"/>
        </w:rPr>
        <w:t xml:space="preserve">This submission responds to the following criteria within the Inquiry’s terms of reference: </w:t>
      </w:r>
    </w:p>
    <w:p w:rsidR="008D034B" w:rsidRPr="003A3BDE" w:rsidP="5E85F9EA">
      <w:pPr>
        <w:pStyle w:val="ListParagraph"/>
        <w:numPr>
          <w:ilvl w:val="0"/>
          <w:numId w:val="9"/>
        </w:numPr>
        <w:tabs>
          <w:tab w:val="left" w:pos="0"/>
          <w:tab w:val="left" w:pos="720"/>
        </w:tabs>
        <w:spacing w:after="0"/>
        <w:rPr>
          <w:rFonts w:ascii="Calibri" w:eastAsia="Century Gothic" w:hAnsi="Calibri" w:cs="Calibri"/>
          <w:color w:val="000000" w:themeColor="text1"/>
          <w:sz w:val="22"/>
          <w:szCs w:val="22"/>
        </w:rPr>
      </w:pPr>
      <w:r w:rsidRPr="003A3BDE">
        <w:rPr>
          <w:rFonts w:ascii="Calibri" w:eastAsia="Century Gothic" w:hAnsi="Calibri" w:cs="Calibri"/>
          <w:color w:val="000000" w:themeColor="text1"/>
          <w:sz w:val="22"/>
          <w:szCs w:val="22"/>
        </w:rPr>
        <w:t>The government’s ambition to raise attainment, including reducing the disadvantage gap.</w:t>
      </w:r>
    </w:p>
    <w:p w:rsidR="008D034B" w:rsidRPr="003A3BDE" w:rsidP="5E85F9EA">
      <w:pPr>
        <w:pStyle w:val="ListParagraph"/>
        <w:numPr>
          <w:ilvl w:val="0"/>
          <w:numId w:val="9"/>
        </w:numPr>
        <w:tabs>
          <w:tab w:val="left" w:pos="0"/>
          <w:tab w:val="left" w:pos="720"/>
        </w:tabs>
        <w:spacing w:after="0"/>
        <w:rPr>
          <w:rFonts w:ascii="Calibri" w:eastAsia="Century Gothic" w:hAnsi="Calibri" w:cs="Calibri"/>
          <w:color w:val="000000" w:themeColor="text1"/>
          <w:sz w:val="22"/>
          <w:szCs w:val="22"/>
        </w:rPr>
      </w:pPr>
      <w:r w:rsidRPr="003A3BDE">
        <w:rPr>
          <w:rFonts w:ascii="Calibri" w:eastAsia="Century Gothic" w:hAnsi="Calibri" w:cs="Calibri"/>
          <w:color w:val="000000" w:themeColor="text1"/>
          <w:sz w:val="22"/>
          <w:szCs w:val="22"/>
        </w:rPr>
        <w:t>The role of evidence-based interventions and external reviews (e.g. pupil premium strategy reviews) in improving outcomes.</w:t>
      </w:r>
    </w:p>
    <w:p w:rsidR="008D034B" w:rsidRPr="003A3BDE" w:rsidP="5E85F9EA">
      <w:pPr>
        <w:pStyle w:val="ListParagraph"/>
        <w:numPr>
          <w:ilvl w:val="0"/>
          <w:numId w:val="9"/>
        </w:numPr>
        <w:tabs>
          <w:tab w:val="left" w:pos="0"/>
          <w:tab w:val="left" w:pos="720"/>
        </w:tabs>
        <w:spacing w:after="0"/>
        <w:rPr>
          <w:rFonts w:ascii="Calibri" w:eastAsia="Century Gothic" w:hAnsi="Calibri" w:cs="Calibri"/>
          <w:color w:val="000000" w:themeColor="text1"/>
          <w:sz w:val="22"/>
          <w:szCs w:val="22"/>
        </w:rPr>
      </w:pPr>
      <w:r w:rsidRPr="003A3BDE">
        <w:rPr>
          <w:rFonts w:ascii="Calibri" w:eastAsia="Century Gothic" w:hAnsi="Calibri" w:cs="Calibri"/>
          <w:color w:val="000000" w:themeColor="text1"/>
          <w:sz w:val="22"/>
          <w:szCs w:val="22"/>
        </w:rPr>
        <w:t>The role of enrichment activities in improving pupil outcomes and wellbeing.</w:t>
      </w:r>
    </w:p>
    <w:p w:rsidR="008D034B" w:rsidRPr="003A3BDE" w:rsidP="5E85F9EA">
      <w:pPr>
        <w:rPr>
          <w:rFonts w:ascii="Calibri" w:eastAsia="Century Gothic" w:hAnsi="Calibri" w:cs="Calibri"/>
          <w:b/>
          <w:bCs/>
          <w:color w:val="000000" w:themeColor="text1"/>
          <w:sz w:val="22"/>
          <w:szCs w:val="22"/>
        </w:rPr>
      </w:pPr>
    </w:p>
    <w:p w:rsidR="008D034B" w:rsidRPr="003A3BDE" w:rsidP="1F6BA04A">
      <w:pPr>
        <w:rPr>
          <w:rFonts w:ascii="Calibri" w:eastAsia="Century Gothic" w:hAnsi="Calibri" w:cs="Calibri"/>
          <w:b/>
          <w:bCs/>
          <w:sz w:val="22"/>
          <w:szCs w:val="22"/>
        </w:rPr>
      </w:pPr>
      <w:r w:rsidRPr="003A3BDE">
        <w:rPr>
          <w:rFonts w:ascii="Calibri" w:eastAsia="Century Gothic" w:hAnsi="Calibri" w:cs="Calibri"/>
          <w:b/>
          <w:bCs/>
          <w:sz w:val="22"/>
          <w:szCs w:val="22"/>
        </w:rPr>
        <w:t>The disadvantage gap</w:t>
      </w:r>
    </w:p>
    <w:p w:rsidR="008539A9" w:rsidRPr="003A3BDE" w:rsidP="249EAC47">
      <w:pPr>
        <w:rPr>
          <w:rFonts w:ascii="Calibri" w:hAnsi="Calibri" w:cs="Calibri"/>
          <w:sz w:val="22"/>
          <w:szCs w:val="22"/>
        </w:rPr>
      </w:pPr>
      <w:r w:rsidRPr="003A3BDE">
        <w:rPr>
          <w:rFonts w:ascii="Calibri" w:eastAsia="Century Gothic" w:hAnsi="Calibri" w:cs="Calibri"/>
          <w:sz w:val="22"/>
          <w:szCs w:val="22"/>
        </w:rPr>
        <w:t>D</w:t>
      </w:r>
      <w:r w:rsidRPr="003A3BDE">
        <w:rPr>
          <w:rFonts w:ascii="Calibri" w:eastAsia="Century Gothic" w:hAnsi="Calibri" w:cs="Calibri"/>
          <w:sz w:val="22"/>
          <w:szCs w:val="22"/>
        </w:rPr>
        <w:t xml:space="preserve">isadvantage shapes </w:t>
      </w:r>
      <w:r w:rsidRPr="003A3BDE">
        <w:rPr>
          <w:rFonts w:ascii="Calibri" w:eastAsia="Century Gothic" w:hAnsi="Calibri" w:cs="Calibri"/>
          <w:sz w:val="22"/>
          <w:szCs w:val="22"/>
        </w:rPr>
        <w:t>young people’s</w:t>
      </w:r>
      <w:r w:rsidRPr="003A3BDE">
        <w:rPr>
          <w:rFonts w:ascii="Calibri" w:eastAsia="Century Gothic" w:hAnsi="Calibri" w:cs="Calibri"/>
          <w:sz w:val="22"/>
          <w:szCs w:val="22"/>
        </w:rPr>
        <w:t xml:space="preserve"> educational outcomes from the earliest years through to 16-19 education</w:t>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and beyond.</w:t>
      </w:r>
      <w:r w:rsidRPr="003A3BDE">
        <w:rPr>
          <w:rFonts w:ascii="Calibri" w:eastAsia="Century Gothic" w:hAnsi="Calibri" w:cs="Calibri"/>
          <w:sz w:val="22"/>
          <w:szCs w:val="22"/>
        </w:rPr>
        <w:t xml:space="preserve"> </w:t>
      </w:r>
      <w:r w:rsidRPr="003A3BDE">
        <w:rPr>
          <w:rFonts w:ascii="Calibri" w:eastAsia="Century Gothic" w:hAnsi="Calibri" w:cs="Calibri"/>
          <w:color w:val="272726"/>
          <w:sz w:val="22"/>
          <w:szCs w:val="22"/>
        </w:rPr>
        <w:t>In 2025, the disadvantage gap in GCSE English and Maths increased to 19 months – its highest level since 2013</w:t>
      </w:r>
      <w:r>
        <w:rPr>
          <w:rStyle w:val="FootnoteReference"/>
          <w:rFonts w:ascii="Calibri" w:eastAsia="Century Gothic" w:hAnsi="Calibri" w:cs="Calibri"/>
          <w:color w:val="272726"/>
          <w:sz w:val="22"/>
          <w:szCs w:val="22"/>
        </w:rPr>
        <w:footnoteReference w:id="3"/>
      </w:r>
      <w:r w:rsidRPr="003A3BDE">
        <w:rPr>
          <w:rFonts w:ascii="Calibri" w:eastAsia="Century Gothic" w:hAnsi="Calibri" w:cs="Calibri"/>
          <w:color w:val="272726"/>
          <w:sz w:val="22"/>
          <w:szCs w:val="22"/>
        </w:rPr>
        <w:t>.</w:t>
      </w:r>
      <w:r w:rsidRPr="003A3BDE">
        <w:rPr>
          <w:rFonts w:ascii="Calibri" w:eastAsia="Century Gothic" w:hAnsi="Calibri" w:cs="Calibri"/>
          <w:color w:val="272726"/>
          <w:sz w:val="22"/>
          <w:szCs w:val="22"/>
        </w:rPr>
        <w:t xml:space="preserve"> </w:t>
      </w:r>
      <w:r w:rsidRPr="003A3BDE">
        <w:rPr>
          <w:rFonts w:ascii="Calibri" w:eastAsia="Century Gothic" w:hAnsi="Calibri" w:cs="Calibri"/>
          <w:color w:val="000000" w:themeColor="text1"/>
          <w:sz w:val="22"/>
          <w:szCs w:val="22"/>
        </w:rPr>
        <w:t>For p</w:t>
      </w:r>
      <w:r w:rsidRPr="003A3BDE">
        <w:rPr>
          <w:rFonts w:ascii="Calibri" w:eastAsia="Century Gothic" w:hAnsi="Calibri" w:cs="Calibri"/>
          <w:color w:val="000000" w:themeColor="text1"/>
          <w:sz w:val="22"/>
          <w:szCs w:val="22"/>
        </w:rPr>
        <w:t>ersistently disadvantaged pupils</w:t>
      </w:r>
      <w:r>
        <w:rPr>
          <w:rStyle w:val="FootnoteReference"/>
          <w:rFonts w:ascii="Calibri" w:eastAsia="Century Gothic" w:hAnsi="Calibri" w:cs="Calibri"/>
          <w:color w:val="000000" w:themeColor="text1"/>
          <w:sz w:val="22"/>
          <w:szCs w:val="22"/>
        </w:rPr>
        <w:footnoteReference w:id="4"/>
      </w:r>
      <w:r w:rsidRPr="003A3BDE">
        <w:rPr>
          <w:rFonts w:ascii="Calibri" w:eastAsia="Century Gothic" w:hAnsi="Calibri" w:cs="Calibri"/>
          <w:color w:val="000000" w:themeColor="text1"/>
          <w:sz w:val="22"/>
          <w:szCs w:val="22"/>
        </w:rPr>
        <w:t>, the gap is even greater; on average</w:t>
      </w:r>
      <w:r w:rsidRPr="003A3BDE">
        <w:rPr>
          <w:rFonts w:ascii="Calibri" w:eastAsia="Century Gothic" w:hAnsi="Calibri" w:cs="Calibri"/>
          <w:color w:val="000000" w:themeColor="text1"/>
          <w:sz w:val="22"/>
          <w:szCs w:val="22"/>
        </w:rPr>
        <w:t>,</w:t>
      </w:r>
      <w:r w:rsidRPr="003A3BDE">
        <w:rPr>
          <w:rFonts w:ascii="Calibri" w:eastAsia="Century Gothic" w:hAnsi="Calibri" w:cs="Calibri"/>
          <w:color w:val="000000" w:themeColor="text1"/>
          <w:sz w:val="22"/>
          <w:szCs w:val="22"/>
        </w:rPr>
        <w:t xml:space="preserve"> persistently disadvantaged students are </w:t>
      </w:r>
      <w:r w:rsidRPr="003A3BDE">
        <w:rPr>
          <w:rFonts w:ascii="Calibri" w:eastAsia="Century Gothic" w:hAnsi="Calibri" w:cs="Calibri"/>
          <w:color w:val="000000" w:themeColor="text1"/>
          <w:sz w:val="22"/>
          <w:szCs w:val="22"/>
        </w:rPr>
        <w:t>almost two years behind their peers by the time they do their GCSEs</w:t>
      </w:r>
      <w:r>
        <w:rPr>
          <w:rStyle w:val="FootnoteReference"/>
          <w:rFonts w:ascii="Calibri" w:eastAsia="Century Gothic" w:hAnsi="Calibri" w:cs="Calibri"/>
          <w:color w:val="000000" w:themeColor="text1"/>
          <w:sz w:val="22"/>
          <w:szCs w:val="22"/>
        </w:rPr>
        <w:footnoteReference w:id="5"/>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b/>
          <w:bCs/>
          <w:sz w:val="22"/>
          <w:szCs w:val="22"/>
        </w:rPr>
        <w:t>How well pupils attain at school has a lifelong impact, both in terms of their next steps in education and their journey into the workplace.</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At every level, achieving lower grades closes off options, and limits access to prospective education and employment opportunities</w:t>
      </w:r>
      <w:r w:rsidRPr="003A3BDE">
        <w:rPr>
          <w:rFonts w:ascii="Calibri" w:eastAsia="Century Gothic" w:hAnsi="Calibri" w:cs="Calibri"/>
          <w:b/>
          <w:bCs/>
          <w:sz w:val="22"/>
          <w:szCs w:val="22"/>
        </w:rPr>
        <w:t>.</w:t>
      </w:r>
      <w:r w:rsidRPr="003A3BDE">
        <w:rPr>
          <w:rFonts w:ascii="Calibri" w:eastAsia="Century Gothic" w:hAnsi="Calibri" w:cs="Calibri"/>
          <w:b/>
          <w:bCs/>
          <w:sz w:val="22"/>
          <w:szCs w:val="22"/>
        </w:rPr>
        <w:t xml:space="preserve">  </w:t>
      </w:r>
    </w:p>
    <w:p w:rsidR="008539A9" w:rsidRPr="003A3BDE" w:rsidP="772B9AF7">
      <w:pPr>
        <w:rPr>
          <w:rFonts w:ascii="Calibri" w:eastAsia="Century Gothic" w:hAnsi="Calibri" w:cs="Calibri"/>
          <w:b/>
          <w:bCs/>
          <w:sz w:val="22"/>
          <w:szCs w:val="22"/>
        </w:rPr>
      </w:pPr>
      <w:r w:rsidRPr="003A3BDE">
        <w:rPr>
          <w:rFonts w:ascii="Calibri" w:eastAsia="Century Gothic" w:hAnsi="Calibri" w:cs="Calibri"/>
          <w:sz w:val="22"/>
          <w:szCs w:val="22"/>
        </w:rPr>
        <w:t>Young people from les</w:t>
      </w:r>
      <w:r w:rsidRPr="003A3BDE">
        <w:rPr>
          <w:rFonts w:ascii="Calibri" w:eastAsia="Century Gothic" w:hAnsi="Calibri" w:cs="Calibri"/>
          <w:sz w:val="22"/>
          <w:szCs w:val="22"/>
        </w:rPr>
        <w:t>s advantaged backgrounds are 52% less likely to achieve grad</w:t>
      </w:r>
      <w:r w:rsidRPr="003A3BDE">
        <w:rPr>
          <w:rFonts w:ascii="Calibri" w:eastAsia="Century Gothic" w:hAnsi="Calibri" w:cs="Calibri"/>
          <w:sz w:val="22"/>
          <w:szCs w:val="22"/>
        </w:rPr>
        <w:t>e</w:t>
      </w:r>
      <w:r w:rsidRPr="003A3BDE">
        <w:rPr>
          <w:rFonts w:ascii="Calibri" w:eastAsia="Century Gothic" w:hAnsi="Calibri" w:cs="Calibri"/>
          <w:sz w:val="22"/>
          <w:szCs w:val="22"/>
        </w:rPr>
        <w:t xml:space="preserve"> 5+ in their English and Maths GCSEs</w:t>
      </w:r>
      <w:r>
        <w:rPr>
          <w:rStyle w:val="FootnoteReference"/>
          <w:rFonts w:ascii="Calibri" w:eastAsia="Century Gothic" w:hAnsi="Calibri" w:cs="Calibri"/>
          <w:sz w:val="22"/>
          <w:szCs w:val="22"/>
        </w:rPr>
        <w:footnoteReference w:id="6"/>
      </w:r>
      <w:r w:rsidRPr="003A3BDE">
        <w:rPr>
          <w:rFonts w:ascii="Calibri" w:eastAsia="Century Gothic" w:hAnsi="Calibri" w:cs="Calibri"/>
          <w:b/>
          <w:bCs/>
          <w:sz w:val="22"/>
          <w:szCs w:val="22"/>
        </w:rPr>
        <w:t xml:space="preserve">. </w:t>
      </w:r>
      <w:r w:rsidRPr="003A3BDE">
        <w:rPr>
          <w:rFonts w:ascii="Calibri" w:eastAsia="Century Gothic" w:hAnsi="Calibri" w:cs="Calibri"/>
          <w:sz w:val="22"/>
          <w:szCs w:val="22"/>
        </w:rPr>
        <w:t>This has significant knock-on impacts, increasing their likelihood of becoming</w:t>
      </w:r>
      <w:r w:rsidRPr="003A3BDE">
        <w:rPr>
          <w:rFonts w:ascii="Calibri" w:eastAsia="Century Gothic" w:hAnsi="Calibri" w:cs="Calibri"/>
          <w:sz w:val="22"/>
          <w:szCs w:val="22"/>
        </w:rPr>
        <w:t xml:space="preserve"> NEE</w:t>
      </w:r>
      <w:r w:rsidRPr="003A3BDE">
        <w:rPr>
          <w:rFonts w:ascii="Calibri" w:eastAsia="Century Gothic" w:hAnsi="Calibri" w:cs="Calibri"/>
          <w:sz w:val="22"/>
          <w:szCs w:val="22"/>
        </w:rPr>
        <w:t>T</w:t>
      </w:r>
      <w:r>
        <w:rPr>
          <w:rStyle w:val="FootnoteReference"/>
          <w:rFonts w:ascii="Calibri" w:eastAsia="Century Gothic" w:hAnsi="Calibri" w:cs="Calibri"/>
          <w:sz w:val="22"/>
          <w:szCs w:val="22"/>
        </w:rPr>
        <w:footnoteReference w:id="7"/>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and driving </w:t>
      </w:r>
      <w:r w:rsidRPr="003A3BDE">
        <w:rPr>
          <w:rFonts w:ascii="Calibri" w:eastAsia="Century Gothic" w:hAnsi="Calibri" w:cs="Calibri"/>
          <w:sz w:val="22"/>
          <w:szCs w:val="22"/>
        </w:rPr>
        <w:t xml:space="preserve">persistent participation </w:t>
      </w:r>
      <w:r w:rsidRPr="003A3BDE">
        <w:rPr>
          <w:rFonts w:ascii="Calibri" w:eastAsia="Century Gothic" w:hAnsi="Calibri" w:cs="Calibri"/>
          <w:sz w:val="22"/>
          <w:szCs w:val="22"/>
        </w:rPr>
        <w:t>gap</w:t>
      </w:r>
      <w:r w:rsidRPr="003A3BDE">
        <w:rPr>
          <w:rFonts w:ascii="Calibri" w:eastAsia="Century Gothic" w:hAnsi="Calibri" w:cs="Calibri"/>
          <w:sz w:val="22"/>
          <w:szCs w:val="22"/>
        </w:rPr>
        <w:t>s</w:t>
      </w:r>
      <w:r>
        <w:rPr>
          <w:rStyle w:val="FootnoteReference"/>
          <w:rFonts w:ascii="Calibri" w:eastAsia="Century Gothic" w:hAnsi="Calibri" w:cs="Calibri"/>
          <w:sz w:val="22"/>
          <w:szCs w:val="22"/>
        </w:rPr>
        <w:footnoteReference w:id="8"/>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Y</w:t>
      </w:r>
      <w:r w:rsidRPr="003A3BDE">
        <w:rPr>
          <w:rFonts w:ascii="Calibri" w:eastAsia="Century Gothic" w:hAnsi="Calibri" w:cs="Calibri"/>
          <w:sz w:val="22"/>
          <w:szCs w:val="22"/>
        </w:rPr>
        <w:t>oung</w:t>
      </w:r>
      <w:r w:rsidRPr="003A3BDE">
        <w:rPr>
          <w:rFonts w:ascii="Calibri" w:eastAsia="Century Gothic" w:hAnsi="Calibri" w:cs="Calibri"/>
          <w:sz w:val="22"/>
          <w:szCs w:val="22"/>
        </w:rPr>
        <w:t xml:space="preserve"> to</w:t>
      </w:r>
      <w:r w:rsidRPr="003A3BDE">
        <w:rPr>
          <w:rFonts w:ascii="Calibri" w:eastAsia="Century Gothic" w:hAnsi="Calibri" w:cs="Calibri"/>
          <w:sz w:val="22"/>
          <w:szCs w:val="22"/>
        </w:rPr>
        <w:t xml:space="preserve"> people </w:t>
      </w:r>
      <w:r w:rsidRPr="003A3BDE">
        <w:rPr>
          <w:rFonts w:ascii="Calibri" w:eastAsia="Century Gothic" w:hAnsi="Calibri" w:cs="Calibri"/>
          <w:sz w:val="22"/>
          <w:szCs w:val="22"/>
        </w:rPr>
        <w:t>from less advantaged backgrounds are three times less likely attend university than their more advantaged peers</w:t>
      </w:r>
      <w:r>
        <w:rPr>
          <w:rStyle w:val="FootnoteReference"/>
          <w:rFonts w:ascii="Calibri" w:eastAsia="Century Gothic" w:hAnsi="Calibri" w:cs="Calibri"/>
          <w:sz w:val="22"/>
          <w:szCs w:val="22"/>
        </w:rPr>
        <w:footnoteReference w:id="9"/>
      </w:r>
      <w:r w:rsidRPr="003A3BDE">
        <w:rPr>
          <w:rFonts w:ascii="Calibri" w:eastAsia="Century Gothic" w:hAnsi="Calibri" w:cs="Calibri"/>
          <w:sz w:val="22"/>
          <w:szCs w:val="22"/>
        </w:rPr>
        <w:t>. Yet,</w:t>
      </w:r>
      <w:r w:rsidRPr="003A3BDE">
        <w:rPr>
          <w:rFonts w:ascii="Calibri" w:eastAsia="Century Gothic" w:hAnsi="Calibri" w:cs="Calibri"/>
          <w:sz w:val="22"/>
          <w:szCs w:val="22"/>
        </w:rPr>
        <w:t xml:space="preserve"> currently,</w:t>
      </w:r>
      <w:r w:rsidRPr="003A3BDE">
        <w:rPr>
          <w:rFonts w:ascii="Calibri" w:eastAsia="Century Gothic" w:hAnsi="Calibri" w:cs="Calibri"/>
          <w:sz w:val="22"/>
          <w:szCs w:val="22"/>
        </w:rPr>
        <w:t xml:space="preserve"> higher education remains the primary mechanism for upward social mobility for those from low socio-</w:t>
      </w:r>
      <w:r w:rsidRPr="003A3BDE">
        <w:rPr>
          <w:rFonts w:ascii="Calibri" w:eastAsia="Century Gothic" w:hAnsi="Calibri" w:cs="Calibri"/>
          <w:sz w:val="22"/>
          <w:szCs w:val="22"/>
        </w:rPr>
        <w:t>economic backgrounds</w:t>
      </w:r>
      <w:r>
        <w:rPr>
          <w:rStyle w:val="FootnoteReference"/>
          <w:rFonts w:ascii="Calibri" w:eastAsia="Century Gothic" w:hAnsi="Calibri" w:cs="Calibri"/>
          <w:sz w:val="22"/>
          <w:szCs w:val="22"/>
        </w:rPr>
        <w:footnoteReference w:id="10"/>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w:t>
      </w:r>
      <w:r w:rsidRPr="003A3BDE">
        <w:rPr>
          <w:rFonts w:ascii="Calibri" w:eastAsia="Century Gothic" w:hAnsi="Calibri" w:cs="Calibri"/>
          <w:color w:val="000000" w:themeColor="text1"/>
          <w:sz w:val="22"/>
          <w:szCs w:val="22"/>
        </w:rPr>
        <w:t>Between the ages of 23 and 31, the average earnings of university graduates</w:t>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color w:val="000000" w:themeColor="text1"/>
          <w:sz w:val="22"/>
          <w:szCs w:val="22"/>
        </w:rPr>
        <w:t xml:space="preserve">previously </w:t>
      </w:r>
      <w:r w:rsidRPr="003A3BDE">
        <w:rPr>
          <w:rFonts w:ascii="Calibri" w:eastAsia="Century Gothic" w:hAnsi="Calibri" w:cs="Calibri"/>
          <w:color w:val="000000" w:themeColor="text1"/>
          <w:sz w:val="22"/>
          <w:szCs w:val="22"/>
        </w:rPr>
        <w:t>eligible for free school meals</w:t>
      </w:r>
      <w:r w:rsidRPr="003A3BDE">
        <w:rPr>
          <w:rFonts w:ascii="Calibri" w:eastAsia="Century Gothic" w:hAnsi="Calibri" w:cs="Calibri"/>
          <w:color w:val="000000" w:themeColor="text1"/>
          <w:sz w:val="22"/>
          <w:szCs w:val="22"/>
        </w:rPr>
        <w:t xml:space="preserve"> gr</w:t>
      </w:r>
      <w:r w:rsidRPr="003A3BDE">
        <w:rPr>
          <w:rFonts w:ascii="Calibri" w:eastAsia="Century Gothic" w:hAnsi="Calibri" w:cs="Calibri"/>
          <w:color w:val="000000" w:themeColor="text1"/>
          <w:sz w:val="22"/>
          <w:szCs w:val="22"/>
        </w:rPr>
        <w:t>o</w:t>
      </w:r>
      <w:r w:rsidRPr="003A3BDE">
        <w:rPr>
          <w:rFonts w:ascii="Calibri" w:eastAsia="Century Gothic" w:hAnsi="Calibri" w:cs="Calibri"/>
          <w:color w:val="000000" w:themeColor="text1"/>
          <w:sz w:val="22"/>
          <w:szCs w:val="22"/>
        </w:rPr>
        <w:t>w at more than twice the rate (7</w:t>
      </w:r>
      <w:r w:rsidRPr="003A3BDE">
        <w:rPr>
          <w:rFonts w:ascii="Calibri" w:eastAsia="Century Gothic" w:hAnsi="Calibri" w:cs="Calibri"/>
          <w:color w:val="000000" w:themeColor="text1"/>
          <w:sz w:val="22"/>
          <w:szCs w:val="22"/>
        </w:rPr>
        <w:t>5</w:t>
      </w:r>
      <w:r w:rsidRPr="003A3BDE">
        <w:rPr>
          <w:rFonts w:ascii="Calibri" w:eastAsia="Century Gothic" w:hAnsi="Calibri" w:cs="Calibri"/>
          <w:color w:val="000000" w:themeColor="text1"/>
          <w:sz w:val="22"/>
          <w:szCs w:val="22"/>
        </w:rPr>
        <w:t xml:space="preserve">%) of non-graduates </w:t>
      </w:r>
      <w:r w:rsidRPr="003A3BDE">
        <w:rPr>
          <w:rFonts w:ascii="Calibri" w:eastAsia="Century Gothic" w:hAnsi="Calibri" w:cs="Calibri"/>
          <w:color w:val="000000" w:themeColor="text1"/>
          <w:sz w:val="22"/>
          <w:szCs w:val="22"/>
        </w:rPr>
        <w:t xml:space="preserve">from the same background </w:t>
      </w:r>
      <w:r w:rsidRPr="003A3BDE">
        <w:rPr>
          <w:rFonts w:ascii="Calibri" w:eastAsia="Century Gothic" w:hAnsi="Calibri" w:cs="Calibri"/>
          <w:color w:val="000000" w:themeColor="text1"/>
          <w:sz w:val="22"/>
          <w:szCs w:val="22"/>
        </w:rPr>
        <w:t>(</w:t>
      </w:r>
      <w:r w:rsidRPr="003A3BDE">
        <w:rPr>
          <w:rFonts w:ascii="Calibri" w:eastAsia="Century Gothic" w:hAnsi="Calibri" w:cs="Calibri"/>
          <w:color w:val="000000" w:themeColor="text1"/>
          <w:sz w:val="22"/>
          <w:szCs w:val="22"/>
        </w:rPr>
        <w:t>25</w:t>
      </w:r>
      <w:r w:rsidRPr="003A3BDE">
        <w:rPr>
          <w:rFonts w:ascii="Calibri" w:eastAsia="Century Gothic" w:hAnsi="Calibri" w:cs="Calibri"/>
          <w:color w:val="000000" w:themeColor="text1"/>
          <w:sz w:val="22"/>
          <w:szCs w:val="22"/>
        </w:rPr>
        <w:t>%)</w:t>
      </w:r>
      <w:r>
        <w:rPr>
          <w:rStyle w:val="FootnoteReference"/>
          <w:rFonts w:ascii="Calibri" w:eastAsia="Century Gothic" w:hAnsi="Calibri" w:cs="Calibri"/>
          <w:color w:val="000000" w:themeColor="text1"/>
          <w:sz w:val="22"/>
          <w:szCs w:val="22"/>
        </w:rPr>
        <w:footnoteReference w:id="11"/>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color w:val="000000" w:themeColor="text1"/>
          <w:sz w:val="22"/>
          <w:szCs w:val="22"/>
        </w:rPr>
        <w:t xml:space="preserve">Further, </w:t>
      </w:r>
      <w:r w:rsidRPr="003A3BDE">
        <w:rPr>
          <w:rFonts w:ascii="Calibri" w:eastAsia="Century Gothic" w:hAnsi="Calibri" w:cs="Calibri"/>
          <w:color w:val="000000" w:themeColor="text1"/>
          <w:sz w:val="22"/>
          <w:szCs w:val="22"/>
        </w:rPr>
        <w:t>just</w:t>
      </w:r>
      <w:r w:rsidRPr="003A3BDE">
        <w:rPr>
          <w:rFonts w:ascii="Calibri" w:eastAsia="Century Gothic" w:hAnsi="Calibri" w:cs="Calibri"/>
          <w:color w:val="000000" w:themeColor="text1"/>
          <w:sz w:val="22"/>
          <w:szCs w:val="22"/>
        </w:rPr>
        <w:t xml:space="preserve"> 1 in 10 </w:t>
      </w:r>
      <w:r w:rsidRPr="003A3BDE">
        <w:rPr>
          <w:rFonts w:ascii="Calibri" w:eastAsia="Century Gothic" w:hAnsi="Calibri" w:cs="Calibri"/>
          <w:color w:val="000000" w:themeColor="text1"/>
          <w:sz w:val="22"/>
          <w:szCs w:val="22"/>
        </w:rPr>
        <w:t>NEET y</w:t>
      </w:r>
      <w:r w:rsidRPr="003A3BDE">
        <w:rPr>
          <w:rFonts w:ascii="Calibri" w:eastAsia="Century Gothic" w:hAnsi="Calibri" w:cs="Calibri"/>
          <w:color w:val="000000" w:themeColor="text1"/>
          <w:sz w:val="22"/>
          <w:szCs w:val="22"/>
        </w:rPr>
        <w:t>oung people</w:t>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color w:val="000000" w:themeColor="text1"/>
          <w:sz w:val="22"/>
          <w:szCs w:val="22"/>
        </w:rPr>
        <w:t>are graduates demonstrating</w:t>
      </w:r>
      <w:r w:rsidRPr="003A3BDE">
        <w:rPr>
          <w:rFonts w:ascii="Calibri" w:eastAsia="Century Gothic" w:hAnsi="Calibri" w:cs="Calibri"/>
          <w:color w:val="000000" w:themeColor="text1"/>
          <w:sz w:val="22"/>
          <w:szCs w:val="22"/>
        </w:rPr>
        <w:t xml:space="preserve"> the sustain</w:t>
      </w:r>
      <w:r w:rsidRPr="003A3BDE">
        <w:rPr>
          <w:rFonts w:ascii="Calibri" w:eastAsia="Century Gothic" w:hAnsi="Calibri" w:cs="Calibri"/>
          <w:color w:val="000000" w:themeColor="text1"/>
          <w:sz w:val="22"/>
          <w:szCs w:val="22"/>
        </w:rPr>
        <w:t>ing r</w:t>
      </w:r>
      <w:r w:rsidRPr="003A3BDE">
        <w:rPr>
          <w:rFonts w:ascii="Calibri" w:eastAsia="Century Gothic" w:hAnsi="Calibri" w:cs="Calibri"/>
          <w:color w:val="000000" w:themeColor="text1"/>
          <w:sz w:val="22"/>
          <w:szCs w:val="22"/>
        </w:rPr>
        <w:t>ole of</w:t>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color w:val="000000" w:themeColor="text1"/>
          <w:sz w:val="22"/>
          <w:szCs w:val="22"/>
        </w:rPr>
        <w:t>higher</w:t>
      </w:r>
      <w:r w:rsidRPr="003A3BDE">
        <w:rPr>
          <w:rFonts w:ascii="Calibri" w:eastAsia="Century Gothic" w:hAnsi="Calibri" w:cs="Calibri"/>
          <w:color w:val="000000" w:themeColor="text1"/>
          <w:sz w:val="22"/>
          <w:szCs w:val="22"/>
        </w:rPr>
        <w:t xml:space="preserve"> education</w:t>
      </w:r>
      <w:r w:rsidRPr="003A3BDE">
        <w:rPr>
          <w:rFonts w:ascii="Calibri" w:eastAsia="Century Gothic" w:hAnsi="Calibri" w:cs="Calibri"/>
          <w:color w:val="000000" w:themeColor="text1"/>
          <w:sz w:val="22"/>
          <w:szCs w:val="22"/>
        </w:rPr>
        <w:t xml:space="preserve"> in</w:t>
      </w:r>
      <w:r w:rsidRPr="003A3BDE">
        <w:rPr>
          <w:rFonts w:ascii="Calibri" w:eastAsia="Century Gothic" w:hAnsi="Calibri" w:cs="Calibri"/>
          <w:color w:val="000000" w:themeColor="text1"/>
          <w:sz w:val="22"/>
          <w:szCs w:val="22"/>
        </w:rPr>
        <w:t xml:space="preserve"> protecti</w:t>
      </w:r>
      <w:r w:rsidRPr="003A3BDE">
        <w:rPr>
          <w:rFonts w:ascii="Calibri" w:eastAsia="Century Gothic" w:hAnsi="Calibri" w:cs="Calibri"/>
          <w:color w:val="000000" w:themeColor="text1"/>
          <w:sz w:val="22"/>
          <w:szCs w:val="22"/>
        </w:rPr>
        <w:t xml:space="preserve">ng </w:t>
      </w:r>
      <w:r w:rsidRPr="003A3BDE">
        <w:rPr>
          <w:rFonts w:ascii="Calibri" w:eastAsia="Century Gothic" w:hAnsi="Calibri" w:cs="Calibri"/>
          <w:color w:val="000000" w:themeColor="text1"/>
          <w:sz w:val="22"/>
          <w:szCs w:val="22"/>
        </w:rPr>
        <w:t>against NEET ris</w:t>
      </w:r>
      <w:r w:rsidRPr="003A3BDE">
        <w:rPr>
          <w:rFonts w:ascii="Calibri" w:eastAsia="Century Gothic" w:hAnsi="Calibri" w:cs="Calibri"/>
          <w:color w:val="000000" w:themeColor="text1"/>
          <w:sz w:val="22"/>
          <w:szCs w:val="22"/>
        </w:rPr>
        <w:t>k</w:t>
      </w:r>
      <w:r>
        <w:rPr>
          <w:rStyle w:val="FootnoteReference"/>
          <w:rFonts w:ascii="Calibri" w:eastAsia="Century Gothic" w:hAnsi="Calibri" w:cs="Calibri"/>
          <w:color w:val="000000" w:themeColor="text1"/>
          <w:sz w:val="22"/>
          <w:szCs w:val="22"/>
        </w:rPr>
        <w:footnoteReference w:id="12"/>
      </w:r>
      <w:r w:rsidRPr="003A3BDE">
        <w:rPr>
          <w:rFonts w:ascii="Calibri" w:eastAsia="Century Gothic" w:hAnsi="Calibri" w:cs="Calibri"/>
          <w:color w:val="000000" w:themeColor="text1"/>
          <w:sz w:val="22"/>
          <w:szCs w:val="22"/>
        </w:rPr>
        <w:t>.</w:t>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b/>
          <w:bCs/>
          <w:sz w:val="22"/>
          <w:szCs w:val="22"/>
        </w:rPr>
        <w:t xml:space="preserve">Closing the disadvantage gap must </w:t>
      </w:r>
      <w:r w:rsidRPr="003A3BDE">
        <w:rPr>
          <w:rFonts w:ascii="Calibri" w:eastAsia="Century Gothic" w:hAnsi="Calibri" w:cs="Calibri"/>
          <w:b/>
          <w:bCs/>
          <w:sz w:val="22"/>
          <w:szCs w:val="22"/>
        </w:rPr>
        <w:t>therefore</w:t>
      </w:r>
      <w:r w:rsidRPr="003A3BDE">
        <w:rPr>
          <w:rFonts w:ascii="Calibri" w:eastAsia="Century Gothic" w:hAnsi="Calibri" w:cs="Calibri"/>
          <w:b/>
          <w:bCs/>
          <w:sz w:val="22"/>
          <w:szCs w:val="22"/>
        </w:rPr>
        <w:t xml:space="preserve"> be recognised as a fundamental priority for</w:t>
      </w:r>
      <w:r w:rsidRPr="003A3BDE">
        <w:rPr>
          <w:rFonts w:ascii="Calibri" w:eastAsia="Century Gothic" w:hAnsi="Calibri" w:cs="Calibri"/>
          <w:b/>
          <w:bCs/>
          <w:sz w:val="22"/>
          <w:szCs w:val="22"/>
        </w:rPr>
        <w:t xml:space="preserve"> bot</w:t>
      </w:r>
      <w:r w:rsidRPr="003A3BDE">
        <w:rPr>
          <w:rFonts w:ascii="Calibri" w:eastAsia="Century Gothic" w:hAnsi="Calibri" w:cs="Calibri"/>
          <w:b/>
          <w:bCs/>
          <w:sz w:val="22"/>
          <w:szCs w:val="22"/>
        </w:rPr>
        <w:t>h</w:t>
      </w:r>
      <w:r w:rsidRPr="003A3BDE">
        <w:rPr>
          <w:rFonts w:ascii="Calibri" w:eastAsia="Century Gothic" w:hAnsi="Calibri" w:cs="Calibri"/>
          <w:b/>
          <w:bCs/>
          <w:sz w:val="22"/>
          <w:szCs w:val="22"/>
        </w:rPr>
        <w:t xml:space="preserve"> raising overall attainment</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 xml:space="preserve"> supporting more young people into successful post-16 and post-18 pathways</w:t>
      </w:r>
      <w:r w:rsidRPr="003A3BDE">
        <w:rPr>
          <w:rFonts w:ascii="Calibri" w:eastAsia="Century Gothic" w:hAnsi="Calibri" w:cs="Calibri"/>
          <w:b/>
          <w:bCs/>
          <w:sz w:val="22"/>
          <w:szCs w:val="22"/>
        </w:rPr>
        <w:t xml:space="preserve"> - </w:t>
      </w:r>
      <w:r w:rsidRPr="003A3BDE">
        <w:rPr>
          <w:rFonts w:ascii="Calibri" w:eastAsia="Century Gothic" w:hAnsi="Calibri" w:cs="Calibri"/>
          <w:b/>
          <w:bCs/>
          <w:sz w:val="22"/>
          <w:szCs w:val="22"/>
        </w:rPr>
        <w:t>and</w:t>
      </w:r>
      <w:r w:rsidRPr="003A3BDE">
        <w:rPr>
          <w:rFonts w:ascii="Calibri" w:eastAsia="Century Gothic" w:hAnsi="Calibri" w:cs="Calibri"/>
          <w:b/>
          <w:bCs/>
          <w:sz w:val="22"/>
          <w:szCs w:val="22"/>
        </w:rPr>
        <w:t xml:space="preserve"> for</w:t>
      </w:r>
      <w:r w:rsidRPr="003A3BDE">
        <w:rPr>
          <w:rFonts w:ascii="Calibri" w:eastAsia="Century Gothic" w:hAnsi="Calibri" w:cs="Calibri"/>
          <w:b/>
          <w:bCs/>
          <w:sz w:val="22"/>
          <w:szCs w:val="22"/>
        </w:rPr>
        <w:t xml:space="preserve"> increasing participation in higher education </w:t>
      </w:r>
      <w:r w:rsidRPr="003A3BDE">
        <w:rPr>
          <w:rFonts w:ascii="Calibri" w:eastAsia="Century Gothic" w:hAnsi="Calibri" w:cs="Calibri"/>
          <w:b/>
          <w:bCs/>
          <w:sz w:val="22"/>
          <w:szCs w:val="22"/>
        </w:rPr>
        <w:t>for young people from less advantaged backgrounds</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 xml:space="preserve">who remain </w:t>
      </w:r>
      <w:r w:rsidRPr="003A3BDE">
        <w:rPr>
          <w:rFonts w:ascii="Calibri" w:eastAsia="Century Gothic" w:hAnsi="Calibri" w:cs="Calibri"/>
          <w:b/>
          <w:bCs/>
          <w:sz w:val="22"/>
          <w:szCs w:val="22"/>
        </w:rPr>
        <w:t>underrepresented</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despite often</w:t>
      </w:r>
      <w:r w:rsidRPr="003A3BDE">
        <w:rPr>
          <w:rFonts w:ascii="Calibri" w:eastAsia="Century Gothic" w:hAnsi="Calibri" w:cs="Calibri"/>
          <w:b/>
          <w:bCs/>
          <w:sz w:val="22"/>
          <w:szCs w:val="22"/>
        </w:rPr>
        <w:t xml:space="preserve"> having the most to gain. </w:t>
      </w:r>
    </w:p>
    <w:p w:rsidR="008539A9" w:rsidRPr="003A3BDE" w:rsidP="5E85F9EA">
      <w:pPr>
        <w:rPr>
          <w:rFonts w:ascii="Calibri" w:eastAsia="Century Gothic" w:hAnsi="Calibri" w:cs="Calibri"/>
          <w:color w:val="000000" w:themeColor="text1"/>
          <w:sz w:val="22"/>
          <w:szCs w:val="22"/>
        </w:rPr>
      </w:pPr>
    </w:p>
    <w:p w:rsidR="008539A9" w:rsidRPr="003A3BDE" w:rsidP="1F6BA04A">
      <w:p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 xml:space="preserve">Pupil Premium </w:t>
      </w:r>
    </w:p>
    <w:p w:rsidR="008539A9" w:rsidRPr="003A3BDE" w:rsidP="772B9AF7">
      <w:pPr>
        <w:rPr>
          <w:rFonts w:ascii="Calibri" w:eastAsia="Century Gothic" w:hAnsi="Calibri" w:cs="Calibri"/>
          <w:b/>
          <w:bCs/>
          <w:sz w:val="22"/>
          <w:szCs w:val="22"/>
        </w:rPr>
      </w:pPr>
      <w:r w:rsidRPr="003A3BDE">
        <w:rPr>
          <w:rFonts w:ascii="Calibri" w:eastAsia="Century Gothic" w:hAnsi="Calibri" w:cs="Calibri"/>
          <w:color w:val="000000" w:themeColor="text1"/>
          <w:sz w:val="22"/>
          <w:szCs w:val="22"/>
        </w:rPr>
        <w:t>T</w:t>
      </w:r>
      <w:r w:rsidRPr="003A3BDE">
        <w:rPr>
          <w:rFonts w:ascii="Calibri" w:eastAsia="Century Gothic" w:hAnsi="Calibri" w:cs="Calibri"/>
          <w:sz w:val="22"/>
          <w:szCs w:val="22"/>
        </w:rPr>
        <w:t>he Brilliant Club welcomes the ambition set out in the white paper of increasing the impact of the pupil premium and national funding formula to boost outcomes for the most disadvantage</w:t>
      </w:r>
      <w:r w:rsidRPr="003A3BDE">
        <w:rPr>
          <w:rFonts w:ascii="Calibri" w:eastAsia="Century Gothic" w:hAnsi="Calibri" w:cs="Calibri"/>
          <w:sz w:val="22"/>
          <w:szCs w:val="22"/>
        </w:rPr>
        <w:t xml:space="preserve">d. </w:t>
      </w:r>
      <w:r w:rsidRPr="003A3BDE">
        <w:rPr>
          <w:rFonts w:ascii="Calibri" w:eastAsia="Century Gothic" w:hAnsi="Calibri" w:cs="Calibri"/>
          <w:b/>
          <w:bCs/>
          <w:sz w:val="22"/>
          <w:szCs w:val="22"/>
        </w:rPr>
        <w:t>However, t</w:t>
      </w:r>
      <w:r w:rsidRPr="003A3BDE">
        <w:rPr>
          <w:rFonts w:ascii="Calibri" w:eastAsia="Century Gothic" w:hAnsi="Calibri" w:cs="Calibri"/>
          <w:b/>
          <w:bCs/>
          <w:sz w:val="22"/>
          <w:szCs w:val="22"/>
        </w:rPr>
        <w:t>o</w:t>
      </w:r>
      <w:bookmarkStart w:id="0" w:name="_Int_OEwLdJLn"/>
      <w:r w:rsidRPr="003A3BDE">
        <w:rPr>
          <w:rFonts w:ascii="Calibri" w:hAnsi="Calibri" w:cs="Calibri"/>
          <w:sz w:val="22"/>
          <w:szCs w:val="22"/>
        </w:rPr>
        <w:t>￼</w:t>
      </w:r>
      <w:bookmarkEnd w:id="0"/>
      <w:r w:rsidRPr="003A3BDE">
        <w:rPr>
          <w:rFonts w:ascii="Calibri" w:hAnsi="Calibri" w:cs="Calibri"/>
          <w:sz w:val="22"/>
          <w:szCs w:val="22"/>
        </w:rPr>
        <w:t>￼</w:t>
      </w:r>
      <w:r w:rsidRPr="003A3BDE">
        <w:rPr>
          <w:rFonts w:ascii="Calibri" w:eastAsia="Century Gothic" w:hAnsi="Calibri" w:cs="Calibri"/>
          <w:b/>
          <w:bCs/>
          <w:sz w:val="22"/>
          <w:szCs w:val="22"/>
        </w:rPr>
        <w:t xml:space="preserve"> erosion of Pupil Premium funding, restoring the funding to previous levels. </w:t>
      </w:r>
      <w:r w:rsidRPr="003A3BDE">
        <w:rPr>
          <w:rFonts w:ascii="Calibri" w:eastAsia="Century Gothic" w:hAnsi="Calibri" w:cs="Calibri"/>
          <w:sz w:val="22"/>
          <w:szCs w:val="22"/>
        </w:rPr>
        <w:t>A</w:t>
      </w:r>
      <w:r w:rsidRPr="003A3BDE">
        <w:rPr>
          <w:rFonts w:ascii="Calibri" w:eastAsia="Century Gothic" w:hAnsi="Calibri" w:cs="Calibri"/>
          <w:sz w:val="22"/>
          <w:szCs w:val="22"/>
        </w:rPr>
        <w:t xml:space="preserve"> 2017 evidence review by the Department of Education concluded that </w:t>
      </w:r>
      <w:r>
        <w:rPr>
          <w:rStyle w:val="FootnoteReference"/>
          <w:rFonts w:ascii="Calibri" w:eastAsia="Century Gothic" w:hAnsi="Calibri" w:cs="Calibri"/>
          <w:sz w:val="22"/>
          <w:szCs w:val="22"/>
        </w:rPr>
        <w:footnoteReference w:id="13"/>
      </w:r>
      <w:r w:rsidRPr="003A3BDE">
        <w:rPr>
          <w:rFonts w:ascii="Calibri" w:eastAsia="Century Gothic" w:hAnsi="Calibri" w:cs="Calibri"/>
          <w:sz w:val="22"/>
          <w:szCs w:val="22"/>
        </w:rPr>
        <w:t>funding in schools does, on existing evidence, appear to positively influence attainment, and that the impact is greatest for students eligible for free school meals</w:t>
      </w:r>
      <w:r w:rsidRPr="003A3BDE">
        <w:rPr>
          <w:rFonts w:ascii="Calibri" w:hAnsi="Calibri" w:cs="Calibri"/>
          <w:sz w:val="22"/>
          <w:szCs w:val="22"/>
        </w:rPr>
        <w:t>￼</w:t>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w:t>
      </w:r>
      <w:r>
        <w:rPr>
          <w:rStyle w:val="FootnoteReference"/>
          <w:rFonts w:ascii="Calibri" w:eastAsia="Century Gothic" w:hAnsi="Calibri" w:cs="Calibri"/>
          <w:sz w:val="22"/>
          <w:szCs w:val="22"/>
        </w:rPr>
        <w:footnoteReference w:id="14"/>
      </w:r>
      <w:r w:rsidRPr="003A3BDE">
        <w:rPr>
          <w:rFonts w:ascii="Calibri" w:eastAsia="Century Gothic" w:hAnsi="Calibri" w:cs="Calibri"/>
          <w:sz w:val="22"/>
          <w:szCs w:val="22"/>
        </w:rPr>
        <w:t>additional support for pupils facing disadvantage rose from 57% to 94%</w:t>
      </w:r>
      <w:r w:rsidRPr="003A3BDE">
        <w:rPr>
          <w:rFonts w:ascii="Calibri" w:hAnsi="Calibri" w:cs="Calibri"/>
          <w:sz w:val="22"/>
          <w:szCs w:val="22"/>
        </w:rPr>
        <w:t>￼</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As a result, d</w:t>
      </w:r>
      <w:r w:rsidRPr="003A3BDE">
        <w:rPr>
          <w:rFonts w:ascii="Calibri" w:eastAsia="Century Gothic" w:hAnsi="Calibri" w:cs="Calibri"/>
          <w:sz w:val="22"/>
          <w:szCs w:val="22"/>
        </w:rPr>
        <w:t>uring the early 2010s, t</w:t>
      </w:r>
      <w:r w:rsidRPr="003A3BDE">
        <w:rPr>
          <w:rFonts w:ascii="Calibri" w:eastAsia="Century Gothic" w:hAnsi="Calibri" w:cs="Calibri"/>
          <w:sz w:val="22"/>
          <w:szCs w:val="22"/>
        </w:rPr>
        <w:t xml:space="preserve">he attainment gap narrowed at both key stage 2 and key stage </w:t>
      </w:r>
      <w:r>
        <w:rPr>
          <w:rStyle w:val="FootnoteReference"/>
          <w:rFonts w:ascii="Calibri" w:eastAsia="Century Gothic" w:hAnsi="Calibri" w:cs="Calibri"/>
          <w:sz w:val="22"/>
          <w:szCs w:val="22"/>
        </w:rPr>
        <w:footnoteReference w:id="15"/>
      </w:r>
      <w:r w:rsidRPr="003A3BDE">
        <w:rPr>
          <w:rFonts w:ascii="Calibri" w:eastAsia="Century Gothic" w:hAnsi="Calibri" w:cs="Calibri"/>
          <w:sz w:val="22"/>
          <w:szCs w:val="22"/>
        </w:rPr>
        <w:t xml:space="preserve"> did not widen again until the pandemic</w:t>
      </w:r>
      <w:r w:rsidRPr="003A3BDE">
        <w:rPr>
          <w:rFonts w:ascii="Calibri" w:hAnsi="Calibri" w:cs="Calibri"/>
          <w:sz w:val="22"/>
          <w:szCs w:val="22"/>
        </w:rPr>
        <w:t>￼</w:t>
      </w:r>
      <w:r w:rsidRPr="003A3BDE">
        <w:rPr>
          <w:rFonts w:ascii="Calibri" w:eastAsia="Century Gothic" w:hAnsi="Calibri" w:cs="Calibri"/>
          <w:sz w:val="22"/>
          <w:szCs w:val="22"/>
        </w:rPr>
        <w:t>.</w:t>
      </w:r>
      <w:r w:rsidRPr="003A3BDE">
        <w:rPr>
          <w:rFonts w:ascii="Calibri" w:eastAsia="Century Gothic" w:hAnsi="Calibri" w:cs="Calibri"/>
          <w:sz w:val="22"/>
          <w:szCs w:val="22"/>
        </w:rPr>
        <w:t>However</w:t>
      </w:r>
      <w:r w:rsidRPr="003A3BDE">
        <w:rPr>
          <w:rFonts w:ascii="Calibri" w:eastAsia="Century Gothic" w:hAnsi="Calibri" w:cs="Calibri"/>
          <w:sz w:val="22"/>
          <w:szCs w:val="22"/>
        </w:rPr>
        <w:t>, i</w:t>
      </w:r>
      <w:r w:rsidRPr="003A3BDE">
        <w:rPr>
          <w:rFonts w:ascii="Calibri" w:eastAsia="Century Gothic" w:hAnsi="Calibri" w:cs="Calibri"/>
          <w:sz w:val="22"/>
          <w:szCs w:val="22"/>
        </w:rPr>
        <w:t>n</w:t>
      </w:r>
      <w:r w:rsidRPr="003A3BDE">
        <w:rPr>
          <w:rFonts w:ascii="Calibri" w:eastAsia="Century Gothic" w:hAnsi="Calibri" w:cs="Calibri"/>
          <w:sz w:val="22"/>
          <w:szCs w:val="22"/>
        </w:rPr>
        <w:t xml:space="preserve"> recent years Pupil Premium funding has failed to keep up with inflation, having effectively reduced in value by 10% between 2014-15 and 2021-22</w:t>
      </w:r>
      <w:r>
        <w:rPr>
          <w:rStyle w:val="FootnoteReference"/>
          <w:rFonts w:ascii="Calibri" w:eastAsia="Century Gothic" w:hAnsi="Calibri" w:cs="Calibri"/>
          <w:sz w:val="22"/>
          <w:szCs w:val="22"/>
        </w:rPr>
        <w:footnoteReference w:id="16"/>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w:t>
      </w:r>
      <w:r w:rsidRPr="003A3BDE">
        <w:rPr>
          <w:rFonts w:ascii="Calibri" w:eastAsia="Century Gothic" w:hAnsi="Calibri" w:cs="Calibri"/>
          <w:b/>
          <w:bCs/>
          <w:sz w:val="22"/>
          <w:szCs w:val="22"/>
        </w:rPr>
        <w:t>To make meaningful progress towards the government’s ambitions of halving the disadvantage gap and increasing the impact of the Pupil Premium, it will be vital to reverse the real-terms erosion of disadvantage funding, particularly in the context of widening attainment gaps across all stages of education.</w:t>
      </w:r>
    </w:p>
    <w:p w:rsidR="008539A9" w:rsidRPr="003A3BDE" w:rsidP="5E85F9EA">
      <w:pPr>
        <w:rPr>
          <w:rFonts w:ascii="Calibri" w:hAnsi="Calibri" w:cs="Calibri"/>
          <w:sz w:val="22"/>
          <w:szCs w:val="22"/>
        </w:rPr>
      </w:pPr>
      <w:r w:rsidRPr="003A3BDE">
        <w:rPr>
          <w:rFonts w:ascii="Calibri" w:eastAsia="Century Gothic" w:hAnsi="Calibri" w:cs="Calibri"/>
          <w:sz w:val="22"/>
          <w:szCs w:val="22"/>
        </w:rPr>
        <w:t>In addition to funding allocations, how schools spend their Pupil Premium funding is also vitally important</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 xml:space="preserve">To support schools to spend Pupil Premium funding effectively, the government should continue to invest in building and amplifying the evidence-based on what </w:t>
      </w:r>
      <w:r w:rsidRPr="003A3BDE">
        <w:rPr>
          <w:rFonts w:ascii="Calibri" w:eastAsia="Century Gothic" w:hAnsi="Calibri" w:cs="Calibri"/>
          <w:b/>
          <w:bCs/>
          <w:sz w:val="22"/>
          <w:szCs w:val="22"/>
        </w:rPr>
        <w:t>works and</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 xml:space="preserve">scale up evidence-based interventions </w:t>
      </w:r>
      <w:r w:rsidRPr="003A3BDE">
        <w:rPr>
          <w:rFonts w:ascii="Calibri" w:eastAsia="Century Gothic" w:hAnsi="Calibri" w:cs="Calibri"/>
          <w:b/>
          <w:bCs/>
          <w:sz w:val="22"/>
          <w:szCs w:val="22"/>
        </w:rPr>
        <w:t xml:space="preserve">proven to </w:t>
      </w:r>
      <w:r w:rsidRPr="003A3BDE">
        <w:rPr>
          <w:rFonts w:ascii="Calibri" w:eastAsia="Century Gothic" w:hAnsi="Calibri" w:cs="Calibri"/>
          <w:b/>
          <w:bCs/>
          <w:sz w:val="22"/>
          <w:szCs w:val="22"/>
        </w:rPr>
        <w:t>improve outcomes</w:t>
      </w:r>
      <w:r w:rsidRPr="003A3BDE">
        <w:rPr>
          <w:rFonts w:ascii="Calibri" w:eastAsia="Century Gothic" w:hAnsi="Calibri" w:cs="Calibri"/>
          <w:b/>
          <w:bCs/>
          <w:sz w:val="22"/>
          <w:szCs w:val="22"/>
        </w:rPr>
        <w:t>, including for the most disadvantaged</w:t>
      </w:r>
      <w:r w:rsidRPr="003A3BDE">
        <w:rPr>
          <w:rFonts w:ascii="Calibri" w:eastAsia="Century Gothic" w:hAnsi="Calibri" w:cs="Calibri"/>
          <w:b/>
          <w:bCs/>
          <w:sz w:val="22"/>
          <w:szCs w:val="22"/>
        </w:rPr>
        <w:t xml:space="preserve">, </w:t>
      </w:r>
      <w:r w:rsidRPr="003A3BDE">
        <w:rPr>
          <w:rFonts w:ascii="Calibri" w:eastAsia="Century Gothic" w:hAnsi="Calibri" w:cs="Calibri"/>
          <w:b/>
          <w:bCs/>
          <w:sz w:val="22"/>
          <w:szCs w:val="22"/>
        </w:rPr>
        <w:t xml:space="preserve">such as white working-class and care experienced young people. </w:t>
      </w:r>
      <w:r w:rsidRPr="003A3BDE">
        <w:rPr>
          <w:rFonts w:ascii="Calibri" w:eastAsia="Century Gothic" w:hAnsi="Calibri" w:cs="Calibri"/>
          <w:sz w:val="22"/>
          <w:szCs w:val="22"/>
        </w:rPr>
        <w:t xml:space="preserve">Early findings </w:t>
      </w:r>
      <w:r w:rsidRPr="003A3BDE">
        <w:rPr>
          <w:rFonts w:ascii="Calibri" w:eastAsia="Century Gothic" w:hAnsi="Calibri" w:cs="Calibri"/>
          <w:sz w:val="22"/>
          <w:szCs w:val="22"/>
        </w:rPr>
        <w:t xml:space="preserve">from </w:t>
      </w:r>
      <w:r w:rsidRPr="003A3BDE">
        <w:rPr>
          <w:rFonts w:ascii="Calibri" w:eastAsia="Century Gothic" w:hAnsi="Calibri" w:cs="Calibri"/>
          <w:sz w:val="22"/>
          <w:szCs w:val="22"/>
        </w:rPr>
        <w:t xml:space="preserve">a pilot programme designed to support young people currently on, or recently subject to, a Child Protection Plan (CPP) delivered by The Brilliant Club in partnership with the University of Sheffield </w:t>
      </w:r>
      <w:r w:rsidRPr="003A3BDE">
        <w:rPr>
          <w:rFonts w:ascii="Calibri" w:eastAsia="Century Gothic" w:hAnsi="Calibri" w:cs="Calibri"/>
          <w:sz w:val="22"/>
          <w:szCs w:val="22"/>
        </w:rPr>
        <w:t xml:space="preserve">highlight several effective approaches to engaging this group of pupils in </w:t>
      </w:r>
      <w:r w:rsidRPr="003A3BDE">
        <w:rPr>
          <w:rFonts w:ascii="Calibri" w:eastAsia="Century Gothic" w:hAnsi="Calibri" w:cs="Calibri"/>
          <w:sz w:val="22"/>
          <w:szCs w:val="22"/>
        </w:rPr>
        <w:t>education</w:t>
      </w:r>
      <w:r>
        <w:rPr>
          <w:rStyle w:val="FootnoteReference"/>
          <w:rFonts w:ascii="Calibri" w:eastAsia="Century Gothic" w:hAnsi="Calibri" w:cs="Calibri"/>
          <w:sz w:val="22"/>
          <w:szCs w:val="22"/>
        </w:rPr>
        <w:footnoteReference w:id="17"/>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The pro</w:t>
      </w:r>
      <w:r w:rsidRPr="003A3BDE">
        <w:rPr>
          <w:rFonts w:ascii="Calibri" w:eastAsia="Century Gothic" w:hAnsi="Calibri" w:cs="Calibri"/>
          <w:sz w:val="22"/>
          <w:szCs w:val="22"/>
        </w:rPr>
        <w:t>gramme aims to improve belonging in education, academic self-efficacy, and awareness of higher education options</w:t>
      </w:r>
      <w:r w:rsidRPr="003A3BDE">
        <w:rPr>
          <w:rFonts w:ascii="Calibri" w:eastAsia="Century Gothic" w:hAnsi="Calibri" w:cs="Calibri"/>
          <w:sz w:val="22"/>
          <w:szCs w:val="22"/>
        </w:rPr>
        <w:t xml:space="preserve">. The model is built around (i) </w:t>
      </w:r>
      <w:r w:rsidRPr="003A3BDE">
        <w:rPr>
          <w:rFonts w:ascii="Calibri" w:eastAsia="Century Gothic" w:hAnsi="Calibri" w:cs="Calibri"/>
          <w:sz w:val="22"/>
          <w:szCs w:val="22"/>
        </w:rPr>
        <w:t xml:space="preserve">university-tyle learning, </w:t>
      </w:r>
      <w:r w:rsidRPr="003A3BDE">
        <w:rPr>
          <w:rFonts w:ascii="Calibri" w:eastAsia="Century Gothic" w:hAnsi="Calibri" w:cs="Calibri"/>
          <w:sz w:val="22"/>
          <w:szCs w:val="22"/>
        </w:rPr>
        <w:t xml:space="preserve">(ii) </w:t>
      </w:r>
      <w:r w:rsidRPr="003A3BDE">
        <w:rPr>
          <w:rFonts w:ascii="Calibri" w:eastAsia="Century Gothic" w:hAnsi="Calibri" w:cs="Calibri"/>
          <w:sz w:val="22"/>
          <w:szCs w:val="22"/>
        </w:rPr>
        <w:t xml:space="preserve">relational coaching with an Academic Guide, </w:t>
      </w:r>
      <w:r w:rsidRPr="003A3BDE">
        <w:rPr>
          <w:rFonts w:ascii="Calibri" w:eastAsia="Century Gothic" w:hAnsi="Calibri" w:cs="Calibri"/>
          <w:sz w:val="22"/>
          <w:szCs w:val="22"/>
        </w:rPr>
        <w:t xml:space="preserve">(iii) </w:t>
      </w:r>
      <w:r w:rsidRPr="003A3BDE">
        <w:rPr>
          <w:rFonts w:ascii="Calibri" w:eastAsia="Century Gothic" w:hAnsi="Calibri" w:cs="Calibri"/>
          <w:sz w:val="22"/>
          <w:szCs w:val="22"/>
        </w:rPr>
        <w:t>and on-campus experiences</w:t>
      </w:r>
      <w:r>
        <w:rPr>
          <w:rStyle w:val="FootnoteReference"/>
          <w:rFonts w:ascii="Calibri" w:eastAsia="Century Gothic" w:hAnsi="Calibri" w:cs="Calibri"/>
          <w:sz w:val="22"/>
          <w:szCs w:val="22"/>
        </w:rPr>
        <w:footnoteReference w:id="18"/>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During the first year of the pilot - across six schools - the</w:t>
      </w:r>
      <w:r w:rsidRPr="003A3BDE">
        <w:rPr>
          <w:rFonts w:ascii="Calibri" w:eastAsia="Century Gothic" w:hAnsi="Calibri" w:cs="Calibri"/>
          <w:sz w:val="22"/>
          <w:szCs w:val="22"/>
        </w:rPr>
        <w:t xml:space="preserve"> programme saw</w:t>
      </w:r>
      <w:r w:rsidRPr="003A3BDE">
        <w:rPr>
          <w:rFonts w:ascii="Calibri" w:eastAsia="Century Gothic" w:hAnsi="Calibri" w:cs="Calibri"/>
          <w:sz w:val="22"/>
          <w:szCs w:val="22"/>
        </w:rPr>
        <w:t>:</w:t>
      </w:r>
    </w:p>
    <w:p w:rsidR="008539A9" w:rsidRPr="003A3BDE" w:rsidP="5E85F9EA">
      <w:pPr>
        <w:pStyle w:val="ListParagraph"/>
        <w:numPr>
          <w:ilvl w:val="0"/>
          <w:numId w:val="3"/>
        </w:numPr>
        <w:rPr>
          <w:rFonts w:ascii="Calibri" w:eastAsia="Century Gothic" w:hAnsi="Calibri" w:cs="Calibri"/>
          <w:sz w:val="22"/>
          <w:szCs w:val="22"/>
        </w:rPr>
      </w:pPr>
      <w:r w:rsidRPr="003A3BDE">
        <w:rPr>
          <w:rFonts w:ascii="Calibri" w:eastAsia="Century Gothic" w:hAnsi="Calibri" w:cs="Calibri"/>
          <w:sz w:val="22"/>
          <w:szCs w:val="22"/>
        </w:rPr>
        <w:t xml:space="preserve"> 91% attendance a</w:t>
      </w:r>
      <w:r w:rsidRPr="003A3BDE">
        <w:rPr>
          <w:rFonts w:ascii="Calibri" w:eastAsia="Century Gothic" w:hAnsi="Calibri" w:cs="Calibri"/>
          <w:sz w:val="22"/>
          <w:szCs w:val="22"/>
        </w:rPr>
        <w:t xml:space="preserve">mong students on a </w:t>
      </w:r>
      <w:r w:rsidRPr="003A3BDE">
        <w:rPr>
          <w:rFonts w:ascii="Calibri" w:eastAsia="Century Gothic" w:hAnsi="Calibri" w:cs="Calibri"/>
          <w:sz w:val="22"/>
          <w:szCs w:val="22"/>
        </w:rPr>
        <w:t>CPP</w:t>
      </w:r>
      <w:r>
        <w:rPr>
          <w:rStyle w:val="FootnoteReference"/>
          <w:rFonts w:ascii="Calibri" w:eastAsia="Century Gothic" w:hAnsi="Calibri" w:cs="Calibri"/>
          <w:sz w:val="22"/>
          <w:szCs w:val="22"/>
        </w:rPr>
        <w:footnoteReference w:id="19"/>
      </w:r>
      <w:r w:rsidRPr="003A3BDE">
        <w:rPr>
          <w:rFonts w:ascii="Calibri" w:eastAsia="Century Gothic" w:hAnsi="Calibri" w:cs="Calibri"/>
          <w:sz w:val="22"/>
          <w:szCs w:val="22"/>
        </w:rPr>
        <w:t>.</w:t>
      </w:r>
    </w:p>
    <w:p w:rsidR="008539A9" w:rsidRPr="003A3BDE" w:rsidP="5E85F9EA">
      <w:pPr>
        <w:pStyle w:val="ListParagraph"/>
        <w:numPr>
          <w:ilvl w:val="0"/>
          <w:numId w:val="3"/>
        </w:numPr>
        <w:rPr>
          <w:rFonts w:ascii="Calibri" w:eastAsia="Century Gothic" w:hAnsi="Calibri" w:cs="Calibri"/>
          <w:sz w:val="22"/>
          <w:szCs w:val="22"/>
        </w:rPr>
      </w:pPr>
      <w:r w:rsidRPr="003A3BDE">
        <w:rPr>
          <w:rFonts w:ascii="Calibri" w:eastAsia="Century Gothic" w:hAnsi="Calibri" w:cs="Calibri"/>
          <w:sz w:val="22"/>
          <w:szCs w:val="22"/>
        </w:rPr>
        <w:t>100% final assignment submission rate</w:t>
      </w:r>
      <w:r>
        <w:rPr>
          <w:rStyle w:val="FootnoteReference"/>
          <w:rFonts w:ascii="Calibri" w:eastAsia="Century Gothic" w:hAnsi="Calibri" w:cs="Calibri"/>
          <w:sz w:val="22"/>
          <w:szCs w:val="22"/>
        </w:rPr>
        <w:footnoteReference w:id="20"/>
      </w:r>
      <w:r w:rsidRPr="003A3BDE">
        <w:rPr>
          <w:rFonts w:ascii="Calibri" w:eastAsia="Century Gothic" w:hAnsi="Calibri" w:cs="Calibri"/>
          <w:sz w:val="22"/>
          <w:szCs w:val="22"/>
        </w:rPr>
        <w:t>.</w:t>
      </w:r>
    </w:p>
    <w:p w:rsidR="008539A9" w:rsidRPr="003A3BDE" w:rsidP="5E85F9EA">
      <w:pPr>
        <w:pStyle w:val="ListParagraph"/>
        <w:numPr>
          <w:ilvl w:val="0"/>
          <w:numId w:val="3"/>
        </w:numPr>
        <w:rPr>
          <w:rFonts w:ascii="Calibri" w:eastAsia="Century Gothic" w:hAnsi="Calibri" w:cs="Calibri"/>
          <w:sz w:val="22"/>
          <w:szCs w:val="22"/>
        </w:rPr>
      </w:pPr>
      <w:r w:rsidRPr="003A3BDE">
        <w:rPr>
          <w:rFonts w:ascii="Calibri" w:eastAsia="Century Gothic" w:hAnsi="Calibri" w:cs="Calibri"/>
          <w:sz w:val="22"/>
          <w:szCs w:val="22"/>
        </w:rPr>
        <w:t>M</w:t>
      </w:r>
      <w:r w:rsidRPr="003A3BDE">
        <w:rPr>
          <w:rFonts w:ascii="Calibri" w:eastAsia="Century Gothic" w:hAnsi="Calibri" w:cs="Calibri"/>
          <w:sz w:val="22"/>
          <w:szCs w:val="22"/>
        </w:rPr>
        <w:t>easurable academic development across communication, critical thinking and subject knowledge</w:t>
      </w:r>
      <w:r>
        <w:rPr>
          <w:rStyle w:val="FootnoteReference"/>
          <w:rFonts w:ascii="Calibri" w:eastAsia="Century Gothic" w:hAnsi="Calibri" w:cs="Calibri"/>
          <w:sz w:val="22"/>
          <w:szCs w:val="22"/>
        </w:rPr>
        <w:footnoteReference w:id="21"/>
      </w:r>
      <w:r w:rsidRPr="003A3BDE">
        <w:rPr>
          <w:rFonts w:ascii="Calibri" w:eastAsia="Century Gothic" w:hAnsi="Calibri" w:cs="Calibri"/>
          <w:sz w:val="22"/>
          <w:szCs w:val="22"/>
        </w:rPr>
        <w:t xml:space="preserve">. </w:t>
      </w:r>
    </w:p>
    <w:p w:rsidR="008539A9" w:rsidRPr="003A3BDE" w:rsidP="772B9AF7">
      <w:pPr>
        <w:spacing w:after="0" w:line="300" w:lineRule="auto"/>
        <w:rPr>
          <w:rFonts w:ascii="Calibri" w:eastAsia="Century Gothic" w:hAnsi="Calibri" w:cs="Calibri"/>
          <w:sz w:val="22"/>
          <w:szCs w:val="22"/>
        </w:rPr>
      </w:pPr>
      <w:r w:rsidRPr="003A3BDE">
        <w:rPr>
          <w:rFonts w:ascii="Calibri" w:eastAsia="Century Gothic" w:hAnsi="Calibri" w:cs="Calibri"/>
          <w:sz w:val="22"/>
          <w:szCs w:val="22"/>
        </w:rPr>
        <w:t>These outcomes demonstrate that an evidence-based, relationship-centred model can successfully engage a group</w:t>
      </w:r>
      <w:r w:rsidRPr="003A3BDE">
        <w:rPr>
          <w:rFonts w:ascii="Calibri" w:eastAsia="Century Gothic" w:hAnsi="Calibri" w:cs="Calibri"/>
          <w:sz w:val="22"/>
          <w:szCs w:val="22"/>
        </w:rPr>
        <w:t xml:space="preserve"> of young people</w:t>
      </w:r>
      <w:r w:rsidRPr="003A3BDE">
        <w:rPr>
          <w:rFonts w:ascii="Calibri" w:eastAsia="Century Gothic" w:hAnsi="Calibri" w:cs="Calibri"/>
          <w:sz w:val="22"/>
          <w:szCs w:val="22"/>
        </w:rPr>
        <w:t xml:space="preserve"> often considered at high risk of disengagement within education</w:t>
      </w:r>
      <w:r>
        <w:rPr>
          <w:rStyle w:val="FootnoteReference"/>
          <w:rFonts w:ascii="Calibri" w:eastAsia="Century Gothic" w:hAnsi="Calibri" w:cs="Calibri"/>
          <w:sz w:val="22"/>
          <w:szCs w:val="22"/>
        </w:rPr>
        <w:footnoteReference w:id="22"/>
      </w:r>
      <w:r w:rsidRPr="003A3BDE">
        <w:rPr>
          <w:rFonts w:ascii="Calibri" w:eastAsia="Century Gothic" w:hAnsi="Calibri" w:cs="Calibri"/>
          <w:sz w:val="22"/>
          <w:szCs w:val="22"/>
        </w:rPr>
        <w:t xml:space="preserve">. </w:t>
      </w:r>
      <w:r w:rsidRPr="003A3BDE">
        <w:rPr>
          <w:rFonts w:ascii="Calibri" w:eastAsia="Century Gothic" w:hAnsi="Calibri" w:cs="Calibri"/>
          <w:b/>
          <w:bCs/>
          <w:sz w:val="22"/>
          <w:szCs w:val="22"/>
        </w:rPr>
        <w:t>T</w:t>
      </w:r>
      <w:r w:rsidRPr="003A3BDE">
        <w:rPr>
          <w:rFonts w:ascii="Calibri" w:eastAsia="Century Gothic" w:hAnsi="Calibri" w:cs="Calibri"/>
          <w:b/>
          <w:bCs/>
          <w:sz w:val="22"/>
          <w:szCs w:val="22"/>
        </w:rPr>
        <w:t xml:space="preserve">o widen the impact of programmes like this, the </w:t>
      </w:r>
      <w:r w:rsidRPr="003A3BDE">
        <w:rPr>
          <w:rFonts w:ascii="Calibri" w:eastAsia="Century Gothic" w:hAnsi="Calibri" w:cs="Calibri"/>
          <w:b/>
          <w:bCs/>
          <w:sz w:val="22"/>
          <w:szCs w:val="22"/>
        </w:rPr>
        <w:t>government should create dedicated mechanisms, such as the Education Endowment Foundation Accelerator Fund</w:t>
      </w:r>
      <w:r>
        <w:rPr>
          <w:rStyle w:val="FootnoteReference"/>
          <w:rFonts w:ascii="Calibri" w:eastAsia="Century Gothic" w:hAnsi="Calibri" w:cs="Calibri"/>
          <w:b/>
          <w:bCs/>
          <w:sz w:val="22"/>
          <w:szCs w:val="22"/>
        </w:rPr>
        <w:footnoteReference w:id="23"/>
      </w:r>
      <w:r w:rsidRPr="003A3BDE">
        <w:rPr>
          <w:rFonts w:ascii="Calibri" w:eastAsia="Century Gothic" w:hAnsi="Calibri" w:cs="Calibri"/>
          <w:b/>
          <w:bCs/>
          <w:sz w:val="22"/>
          <w:szCs w:val="22"/>
        </w:rPr>
        <w:t>, to evaluate, scale and embed proven interventions for disadvantaged pupils</w:t>
      </w:r>
      <w:r w:rsidRPr="003A3BDE">
        <w:rPr>
          <w:rFonts w:ascii="Calibri" w:eastAsia="Century Gothic" w:hAnsi="Calibri" w:cs="Calibri"/>
          <w:b/>
          <w:bCs/>
          <w:sz w:val="22"/>
          <w:szCs w:val="22"/>
        </w:rPr>
        <w:t xml:space="preserve">. </w:t>
      </w:r>
      <w:r w:rsidRPr="003A3BDE">
        <w:rPr>
          <w:rFonts w:ascii="Calibri" w:eastAsia="Century Gothic" w:hAnsi="Calibri" w:cs="Calibri"/>
          <w:sz w:val="22"/>
          <w:szCs w:val="22"/>
        </w:rPr>
        <w:t>This will help</w:t>
      </w:r>
      <w:r w:rsidRPr="003A3BDE">
        <w:rPr>
          <w:rFonts w:ascii="Calibri" w:eastAsia="Century Gothic" w:hAnsi="Calibri" w:cs="Calibri"/>
          <w:sz w:val="22"/>
          <w:szCs w:val="22"/>
        </w:rPr>
        <w:t xml:space="preserve"> ensur</w:t>
      </w:r>
      <w:r w:rsidRPr="003A3BDE">
        <w:rPr>
          <w:rFonts w:ascii="Calibri" w:eastAsia="Century Gothic" w:hAnsi="Calibri" w:cs="Calibri"/>
          <w:sz w:val="22"/>
          <w:szCs w:val="22"/>
        </w:rPr>
        <w:t xml:space="preserve">e </w:t>
      </w:r>
      <w:r w:rsidRPr="003A3BDE">
        <w:rPr>
          <w:rFonts w:ascii="Calibri" w:eastAsia="Century Gothic" w:hAnsi="Calibri" w:cs="Calibri"/>
          <w:sz w:val="22"/>
          <w:szCs w:val="22"/>
        </w:rPr>
        <w:t>that schools can direct Pupil Premium funding towards approaches with a demonstrable impact on attainment, engagement and progression.</w:t>
      </w:r>
    </w:p>
    <w:p w:rsidR="008539A9" w:rsidRPr="003A3BDE" w:rsidP="5E85F9EA">
      <w:pPr>
        <w:spacing w:after="0" w:line="300" w:lineRule="auto"/>
        <w:rPr>
          <w:rFonts w:ascii="Calibri" w:eastAsia="Segoe UI" w:hAnsi="Calibri" w:cs="Calibri"/>
          <w:b/>
          <w:bCs/>
          <w:sz w:val="22"/>
          <w:szCs w:val="22"/>
        </w:rPr>
      </w:pPr>
    </w:p>
    <w:p w:rsidR="008539A9" w:rsidRPr="003A3BDE" w:rsidP="772B9AF7">
      <w:pPr>
        <w:rPr>
          <w:rFonts w:ascii="Calibri" w:eastAsia="Century Gothic" w:hAnsi="Calibri" w:cs="Calibri"/>
          <w:b/>
          <w:bCs/>
          <w:sz w:val="22"/>
          <w:szCs w:val="22"/>
        </w:rPr>
      </w:pPr>
      <w:r w:rsidRPr="003A3BDE">
        <w:rPr>
          <w:rFonts w:ascii="Calibri" w:eastAsia="Century Gothic" w:hAnsi="Calibri" w:cs="Calibri"/>
          <w:b/>
          <w:bCs/>
          <w:sz w:val="22"/>
          <w:szCs w:val="22"/>
        </w:rPr>
        <w:t xml:space="preserve">A Student Premium </w:t>
      </w:r>
    </w:p>
    <w:p w:rsidR="008539A9" w:rsidRPr="003A3BDE" w:rsidP="772B9AF7">
      <w:pPr>
        <w:rPr>
          <w:rFonts w:ascii="Calibri" w:eastAsia="Century Gothic" w:hAnsi="Calibri" w:cs="Calibri"/>
          <w:sz w:val="22"/>
          <w:szCs w:val="22"/>
        </w:rPr>
      </w:pPr>
      <w:r w:rsidRPr="003A3BDE">
        <w:rPr>
          <w:rFonts w:ascii="Calibri" w:eastAsia="Century Gothic" w:hAnsi="Calibri" w:cs="Calibri"/>
          <w:sz w:val="22"/>
          <w:szCs w:val="22"/>
        </w:rPr>
        <w:t>The disadvantage gap widens as young people progress through education</w:t>
      </w:r>
      <w:r>
        <w:rPr>
          <w:rStyle w:val="FootnoteReference"/>
          <w:rFonts w:ascii="Calibri" w:eastAsia="Century Gothic" w:hAnsi="Calibri" w:cs="Calibri"/>
          <w:sz w:val="22"/>
          <w:szCs w:val="22"/>
        </w:rPr>
        <w:footnoteReference w:id="24"/>
      </w:r>
      <w:r w:rsidRPr="003A3BDE">
        <w:rPr>
          <w:rFonts w:ascii="Calibri" w:eastAsia="Century Gothic" w:hAnsi="Calibri" w:cs="Calibri"/>
          <w:sz w:val="22"/>
          <w:szCs w:val="22"/>
        </w:rPr>
        <w:t>. In 16-19 education, young people from less advantaged backgrounds achieve 3.5 grades less on average across their three best subjects</w:t>
      </w:r>
      <w:r>
        <w:rPr>
          <w:rStyle w:val="FootnoteReference"/>
          <w:rFonts w:ascii="Calibri" w:eastAsia="Century Gothic" w:hAnsi="Calibri" w:cs="Calibri"/>
          <w:sz w:val="22"/>
          <w:szCs w:val="22"/>
        </w:rPr>
        <w:footnoteReference w:id="25"/>
      </w:r>
      <w:r w:rsidRPr="003A3BDE">
        <w:rPr>
          <w:rFonts w:ascii="Calibri" w:eastAsia="Century Gothic" w:hAnsi="Calibri" w:cs="Calibri"/>
          <w:sz w:val="22"/>
          <w:szCs w:val="22"/>
        </w:rPr>
        <w:t xml:space="preserve">. However, </w:t>
      </w:r>
      <w:r w:rsidRPr="003A3BDE">
        <w:rPr>
          <w:rFonts w:ascii="Calibri" w:eastAsia="Century Gothic" w:hAnsi="Calibri" w:cs="Calibri"/>
          <w:sz w:val="22"/>
          <w:szCs w:val="22"/>
        </w:rPr>
        <w:t>s</w:t>
      </w:r>
      <w:r w:rsidRPr="003A3BDE">
        <w:rPr>
          <w:rFonts w:ascii="Calibri" w:eastAsia="Century Gothic" w:hAnsi="Calibri" w:cs="Calibri"/>
          <w:sz w:val="22"/>
          <w:szCs w:val="22"/>
        </w:rPr>
        <w:t>ince 2020, non-participation in post-16 education or training has increased, with a much sharper rise among disadvantaged young people</w:t>
      </w:r>
      <w:r>
        <w:rPr>
          <w:rStyle w:val="FootnoteReference"/>
          <w:rFonts w:ascii="Calibri" w:eastAsia="Century Gothic" w:hAnsi="Calibri" w:cs="Calibri"/>
          <w:sz w:val="22"/>
          <w:szCs w:val="22"/>
        </w:rPr>
        <w:footnoteReference w:id="26"/>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Among students who completed GCSEs in 2023, 23.0% of disadvantaged students were not participating in post-16 education or training at the start of Year 12, compared with 9.7% of non-disadvantaged students</w:t>
      </w:r>
      <w:r>
        <w:rPr>
          <w:rStyle w:val="FootnoteReference"/>
          <w:rFonts w:ascii="Calibri" w:eastAsia="Century Gothic" w:hAnsi="Calibri" w:cs="Calibri"/>
          <w:sz w:val="22"/>
          <w:szCs w:val="22"/>
        </w:rPr>
        <w:footnoteReference w:id="27"/>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This means that estimates of the disadvantage gap likely underestimate the true scale of educational inequality in 16-19 education.</w:t>
      </w:r>
    </w:p>
    <w:p w:rsidR="008539A9" w:rsidRPr="003A3BDE" w:rsidP="5E85F9EA">
      <w:pPr>
        <w:rPr>
          <w:rFonts w:ascii="Calibri" w:hAnsi="Calibri" w:cs="Calibri"/>
          <w:sz w:val="22"/>
          <w:szCs w:val="22"/>
        </w:rPr>
      </w:pPr>
      <w:r w:rsidRPr="003A3BDE">
        <w:rPr>
          <w:rFonts w:ascii="Calibri" w:eastAsia="Century Gothic" w:hAnsi="Calibri" w:cs="Calibri"/>
          <w:b/>
          <w:bCs/>
          <w:sz w:val="22"/>
          <w:szCs w:val="22"/>
        </w:rPr>
        <w:t xml:space="preserve">To address attainment and participation gaps at 16-19 education, the Brilliant Club – </w:t>
      </w:r>
      <w:r>
        <w:fldChar w:fldCharType="begin"/>
      </w:r>
      <w:r>
        <w:instrText xml:space="preserve"> HYPERLINK "https://getfurther.org.uk/student-premium-coalition/" </w:instrText>
      </w:r>
      <w:r>
        <w:fldChar w:fldCharType="separate"/>
      </w:r>
      <w:r w:rsidRPr="003A3BDE">
        <w:rPr>
          <w:rStyle w:val="Hyperlink"/>
          <w:rFonts w:ascii="Calibri" w:eastAsia="Century Gothic" w:hAnsi="Calibri" w:cs="Calibri"/>
          <w:b/>
          <w:bCs/>
          <w:sz w:val="22"/>
          <w:szCs w:val="22"/>
        </w:rPr>
        <w:t>alongside sector partners</w:t>
      </w:r>
      <w:r>
        <w:fldChar w:fldCharType="end"/>
      </w:r>
      <w:r w:rsidRPr="003A3BDE">
        <w:rPr>
          <w:rFonts w:ascii="Calibri" w:eastAsia="Century Gothic" w:hAnsi="Calibri" w:cs="Calibri"/>
          <w:b/>
          <w:bCs/>
          <w:sz w:val="22"/>
          <w:szCs w:val="22"/>
        </w:rPr>
        <w:t xml:space="preserve"> – is calling </w:t>
      </w:r>
      <w:r w:rsidRPr="003A3BDE">
        <w:rPr>
          <w:rFonts w:ascii="Calibri" w:eastAsia="Century Gothic" w:hAnsi="Calibri" w:cs="Calibri"/>
          <w:b/>
          <w:bCs/>
          <w:sz w:val="22"/>
          <w:szCs w:val="22"/>
        </w:rPr>
        <w:t>for the</w:t>
      </w:r>
      <w:r w:rsidRPr="003A3BDE">
        <w:rPr>
          <w:rFonts w:ascii="Calibri" w:eastAsia="Century Gothic" w:hAnsi="Calibri" w:cs="Calibri"/>
          <w:b/>
          <w:bCs/>
          <w:sz w:val="22"/>
          <w:szCs w:val="22"/>
        </w:rPr>
        <w:t xml:space="preserve"> introdu</w:t>
      </w:r>
      <w:r w:rsidRPr="003A3BDE">
        <w:rPr>
          <w:rFonts w:ascii="Calibri" w:eastAsia="Century Gothic" w:hAnsi="Calibri" w:cs="Calibri"/>
          <w:b/>
          <w:bCs/>
          <w:sz w:val="22"/>
          <w:szCs w:val="22"/>
        </w:rPr>
        <w:t>ction of</w:t>
      </w:r>
      <w:r w:rsidRPr="003A3BDE">
        <w:rPr>
          <w:rFonts w:ascii="Calibri" w:eastAsia="Century Gothic" w:hAnsi="Calibri" w:cs="Calibri"/>
          <w:b/>
          <w:bCs/>
          <w:sz w:val="22"/>
          <w:szCs w:val="22"/>
        </w:rPr>
        <w:t xml:space="preserve"> a Student Premium.</w:t>
      </w:r>
      <w:r w:rsidRPr="003A3BDE">
        <w:rPr>
          <w:rFonts w:ascii="Calibri" w:eastAsia="Century Gothic" w:hAnsi="Calibri" w:cs="Calibri"/>
          <w:sz w:val="22"/>
          <w:szCs w:val="22"/>
        </w:rPr>
        <w:t xml:space="preserve"> T</w:t>
      </w:r>
      <w:r w:rsidRPr="003A3BDE">
        <w:rPr>
          <w:rFonts w:ascii="Calibri" w:eastAsia="Century Gothic" w:hAnsi="Calibri" w:cs="Calibri"/>
          <w:sz w:val="22"/>
          <w:szCs w:val="22"/>
        </w:rPr>
        <w:t>his policy, modelled on the Pupil Premium grant, would introduce new, additional funding for disadvantaged young people</w:t>
      </w:r>
      <w:r>
        <w:rPr>
          <w:rStyle w:val="FootnoteReference"/>
          <w:rFonts w:ascii="Calibri" w:eastAsia="Century Gothic" w:hAnsi="Calibri" w:cs="Calibri"/>
          <w:sz w:val="22"/>
          <w:szCs w:val="22"/>
        </w:rPr>
        <w:footnoteReference w:id="28"/>
      </w:r>
      <w:r w:rsidRPr="003A3BDE">
        <w:rPr>
          <w:rFonts w:ascii="Calibri" w:eastAsia="Century Gothic" w:hAnsi="Calibri" w:cs="Calibri"/>
          <w:sz w:val="22"/>
          <w:szCs w:val="22"/>
        </w:rPr>
        <w:t xml:space="preserve"> in post-16 education to improve their education and employment outcomes.</w:t>
      </w:r>
    </w:p>
    <w:p w:rsidR="008539A9" w:rsidRPr="003A3BDE" w:rsidP="5E85F9EA">
      <w:pPr>
        <w:rPr>
          <w:rFonts w:ascii="Calibri" w:eastAsia="Century Gothic" w:hAnsi="Calibri" w:cs="Calibri"/>
          <w:sz w:val="22"/>
          <w:szCs w:val="22"/>
        </w:rPr>
      </w:pPr>
      <w:r w:rsidRPr="003A3BDE">
        <w:rPr>
          <w:rFonts w:ascii="Calibri" w:eastAsia="Century Gothic" w:hAnsi="Calibri" w:cs="Calibri"/>
          <w:sz w:val="22"/>
          <w:szCs w:val="22"/>
        </w:rPr>
        <w:t>Participation in education and training is compulsory until age 18 in England, yet funding for young people from disadvantaged backgrounds drops substantially as they move from secondary school (£3,455 per pupil) to 16-19 education (£2,476 per pupil)</w:t>
      </w:r>
      <w:r>
        <w:rPr>
          <w:rStyle w:val="FootnoteReference"/>
          <w:rFonts w:ascii="Calibri" w:eastAsia="Century Gothic" w:hAnsi="Calibri" w:cs="Calibri"/>
          <w:sz w:val="22"/>
          <w:szCs w:val="22"/>
        </w:rPr>
        <w:footnoteReference w:id="29"/>
      </w:r>
      <w:r w:rsidRPr="003A3BDE">
        <w:rPr>
          <w:rFonts w:ascii="Calibri" w:eastAsia="Century Gothic" w:hAnsi="Calibri" w:cs="Calibri"/>
          <w:sz w:val="22"/>
          <w:szCs w:val="22"/>
        </w:rPr>
        <w:t xml:space="preserve">. This is a legacy from the days when compulsory education finished at age 16. One reason for this gap is the absence of an equivalent to the Pupil Premium within 16–19 education. </w:t>
      </w:r>
      <w:r w:rsidRPr="003A3BDE">
        <w:rPr>
          <w:rFonts w:ascii="Calibri" w:eastAsia="Century Gothic" w:hAnsi="Calibri" w:cs="Calibri"/>
          <w:sz w:val="22"/>
          <w:szCs w:val="22"/>
        </w:rPr>
        <w:t>This creates a significant funding cliff edge at precisely the point where targeted support is most needed, during young people’s last opportunity to gain the crucial qualifications that set them up for future success, and at a moment when they are most vulnerable to becoming NEET.</w:t>
      </w:r>
    </w:p>
    <w:p w:rsidR="008539A9" w:rsidRPr="003A3BDE" w:rsidP="772B9AF7">
      <w:pPr>
        <w:rPr>
          <w:rFonts w:ascii="Calibri" w:hAnsi="Calibri" w:cs="Calibri"/>
          <w:sz w:val="22"/>
          <w:szCs w:val="22"/>
          <w:vertAlign w:val="superscript"/>
        </w:rPr>
      </w:pPr>
      <w:r w:rsidRPr="003A3BDE">
        <w:rPr>
          <w:rFonts w:ascii="Calibri" w:eastAsia="Century Gothic" w:hAnsi="Calibri" w:cs="Calibri"/>
          <w:sz w:val="22"/>
          <w:szCs w:val="22"/>
        </w:rPr>
        <w:t xml:space="preserve">Without dedicated support of this kind, colleges and sixth forms struggle to provide the </w:t>
      </w:r>
      <w:r w:rsidRPr="003A3BDE">
        <w:rPr>
          <w:rFonts w:ascii="Calibri" w:eastAsia="Century Gothic" w:hAnsi="Calibri" w:cs="Calibri"/>
          <w:sz w:val="22"/>
          <w:szCs w:val="22"/>
        </w:rPr>
        <w:t>high impact</w:t>
      </w:r>
      <w:r w:rsidRPr="003A3BDE">
        <w:rPr>
          <w:rFonts w:ascii="Calibri" w:eastAsia="Century Gothic" w:hAnsi="Calibri" w:cs="Calibri"/>
          <w:sz w:val="22"/>
          <w:szCs w:val="22"/>
        </w:rPr>
        <w:t xml:space="preserve"> interventions needed</w:t>
      </w:r>
      <w:r w:rsidRPr="003A3BDE">
        <w:rPr>
          <w:rFonts w:ascii="Calibri" w:eastAsia="Century Gothic" w:hAnsi="Calibri" w:cs="Calibri"/>
          <w:sz w:val="22"/>
          <w:szCs w:val="22"/>
        </w:rPr>
        <w:t xml:space="preserve"> during 16-19 education; interventions</w:t>
      </w:r>
      <w:r w:rsidRPr="003A3BDE">
        <w:rPr>
          <w:rFonts w:ascii="Calibri" w:eastAsia="Century Gothic" w:hAnsi="Calibri" w:cs="Calibri"/>
          <w:sz w:val="22"/>
          <w:szCs w:val="22"/>
        </w:rPr>
        <w:t xml:space="preserve"> like the </w:t>
      </w:r>
      <w:r w:rsidRPr="003A3BDE">
        <w:rPr>
          <w:rFonts w:ascii="Calibri" w:eastAsia="Century Gothic" w:hAnsi="Calibri" w:cs="Calibri"/>
          <w:sz w:val="22"/>
          <w:szCs w:val="22"/>
        </w:rPr>
        <w:t>The Brilliant Club’s Scholars Programme</w:t>
      </w:r>
      <w:r w:rsidRPr="003A3BDE">
        <w:rPr>
          <w:rFonts w:ascii="Calibri" w:eastAsia="Century Gothic" w:hAnsi="Calibri" w:cs="Calibri"/>
          <w:sz w:val="22"/>
          <w:szCs w:val="22"/>
        </w:rPr>
        <w:t xml:space="preserve">, which </w:t>
      </w:r>
      <w:r w:rsidRPr="003A3BDE">
        <w:rPr>
          <w:rFonts w:ascii="Calibri" w:eastAsia="Century Gothic" w:hAnsi="Calibri" w:cs="Calibri"/>
          <w:sz w:val="22"/>
          <w:szCs w:val="22"/>
        </w:rPr>
        <w:t xml:space="preserve">supports students </w:t>
      </w:r>
      <w:r w:rsidRPr="003A3BDE">
        <w:rPr>
          <w:rFonts w:ascii="Calibri" w:eastAsia="Century Gothic" w:hAnsi="Calibri" w:cs="Calibri"/>
          <w:sz w:val="22"/>
          <w:szCs w:val="22"/>
        </w:rPr>
        <w:t xml:space="preserve">from less advantaged backgrounds </w:t>
      </w:r>
      <w:r w:rsidRPr="003A3BDE">
        <w:rPr>
          <w:rFonts w:ascii="Calibri" w:eastAsia="Century Gothic" w:hAnsi="Calibri" w:cs="Calibri"/>
          <w:sz w:val="22"/>
          <w:szCs w:val="22"/>
        </w:rPr>
        <w:t xml:space="preserve">to develop the confidence </w:t>
      </w:r>
      <w:r w:rsidRPr="003A3BDE">
        <w:rPr>
          <w:rFonts w:ascii="Calibri" w:eastAsia="Century Gothic" w:hAnsi="Calibri" w:cs="Calibri"/>
          <w:sz w:val="22"/>
          <w:szCs w:val="22"/>
        </w:rPr>
        <w:t>and skills needed to progress to university</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Evaluation of </w:t>
      </w:r>
      <w:r w:rsidRPr="003A3BDE">
        <w:rPr>
          <w:rFonts w:ascii="Calibri" w:eastAsia="Century Gothic" w:hAnsi="Calibri" w:cs="Calibri"/>
          <w:sz w:val="22"/>
          <w:szCs w:val="22"/>
        </w:rPr>
        <w:t>T</w:t>
      </w:r>
      <w:r w:rsidRPr="003A3BDE">
        <w:rPr>
          <w:rFonts w:ascii="Calibri" w:eastAsia="Century Gothic" w:hAnsi="Calibri" w:cs="Calibri"/>
          <w:sz w:val="22"/>
          <w:szCs w:val="22"/>
        </w:rPr>
        <w:t xml:space="preserve">he Scholars Programme demonstrates how disadvantage funding can improve both attainment and transferable employability skills </w:t>
      </w:r>
      <w:r w:rsidRPr="003A3BDE">
        <w:rPr>
          <w:rFonts w:ascii="Calibri" w:eastAsia="Century Gothic" w:hAnsi="Calibri" w:cs="Calibri"/>
          <w:sz w:val="22"/>
          <w:szCs w:val="22"/>
        </w:rPr>
        <w:t>for young people</w:t>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Data from UCAS reveals that year 12 students who took part in this programme in 2023-24 were </w:t>
      </w:r>
      <w:r w:rsidRPr="003A3BDE">
        <w:rPr>
          <w:rFonts w:ascii="Calibri" w:eastAsia="Century Gothic" w:hAnsi="Calibri" w:cs="Calibri"/>
          <w:b/>
          <w:bCs/>
          <w:sz w:val="22"/>
          <w:szCs w:val="22"/>
        </w:rPr>
        <w:t>22%</w:t>
      </w:r>
      <w:r w:rsidRPr="003A3BDE">
        <w:rPr>
          <w:rFonts w:ascii="Calibri" w:eastAsia="Century Gothic" w:hAnsi="Calibri" w:cs="Calibri"/>
          <w:sz w:val="22"/>
          <w:szCs w:val="22"/>
        </w:rPr>
        <w:t xml:space="preserve"> more likely to apply to and</w:t>
      </w:r>
      <w:r w:rsidRPr="003A3BDE">
        <w:rPr>
          <w:rFonts w:ascii="Calibri" w:eastAsia="Century Gothic" w:hAnsi="Calibri" w:cs="Calibri"/>
          <w:b/>
          <w:bCs/>
          <w:sz w:val="22"/>
          <w:szCs w:val="22"/>
        </w:rPr>
        <w:t xml:space="preserve"> 23%</w:t>
      </w:r>
      <w:r w:rsidRPr="003A3BDE">
        <w:rPr>
          <w:rFonts w:ascii="Calibri" w:eastAsia="Century Gothic" w:hAnsi="Calibri" w:cs="Calibri"/>
          <w:sz w:val="22"/>
          <w:szCs w:val="22"/>
        </w:rPr>
        <w:t xml:space="preserve"> more likely to progress to a competitive university than a matched control group</w:t>
      </w:r>
      <w:r>
        <w:rPr>
          <w:rStyle w:val="FootnoteReference"/>
          <w:rFonts w:ascii="Calibri" w:eastAsia="Century Gothic" w:hAnsi="Calibri" w:cs="Calibri"/>
          <w:sz w:val="22"/>
          <w:szCs w:val="22"/>
        </w:rPr>
        <w:footnoteReference w:id="30"/>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In addition to academic outcomes, the programme also delivers substantial improvements in self-efficacy </w:t>
      </w:r>
      <w:r w:rsidRPr="003A3BDE">
        <w:rPr>
          <w:rFonts w:ascii="Calibri" w:eastAsia="Century Gothic" w:hAnsi="Calibri" w:cs="Calibri"/>
          <w:b/>
          <w:bCs/>
          <w:sz w:val="22"/>
          <w:szCs w:val="22"/>
        </w:rPr>
        <w:t>(35%)</w:t>
      </w:r>
      <w:r w:rsidRPr="003A3BDE">
        <w:rPr>
          <w:rFonts w:ascii="Calibri" w:eastAsia="Century Gothic" w:hAnsi="Calibri" w:cs="Calibri"/>
          <w:sz w:val="22"/>
          <w:szCs w:val="22"/>
        </w:rPr>
        <w:t xml:space="preserve">, critical thinking </w:t>
      </w:r>
      <w:r w:rsidRPr="003A3BDE">
        <w:rPr>
          <w:rFonts w:ascii="Calibri" w:eastAsia="Century Gothic" w:hAnsi="Calibri" w:cs="Calibri"/>
          <w:b/>
          <w:bCs/>
          <w:sz w:val="22"/>
          <w:szCs w:val="22"/>
        </w:rPr>
        <w:t>(28%)</w:t>
      </w:r>
      <w:r w:rsidRPr="003A3BDE">
        <w:rPr>
          <w:rFonts w:ascii="Calibri" w:eastAsia="Century Gothic" w:hAnsi="Calibri" w:cs="Calibri"/>
          <w:sz w:val="22"/>
          <w:szCs w:val="22"/>
        </w:rPr>
        <w:t xml:space="preserve"> and written communication </w:t>
      </w:r>
      <w:r w:rsidRPr="003A3BDE">
        <w:rPr>
          <w:rFonts w:ascii="Calibri" w:eastAsia="Century Gothic" w:hAnsi="Calibri" w:cs="Calibri"/>
          <w:b/>
          <w:bCs/>
          <w:sz w:val="22"/>
          <w:szCs w:val="22"/>
        </w:rPr>
        <w:t>(25%)</w:t>
      </w:r>
      <w:r>
        <w:rPr>
          <w:rStyle w:val="FootnoteReference"/>
          <w:rFonts w:ascii="Calibri" w:eastAsia="Century Gothic" w:hAnsi="Calibri" w:cs="Calibri"/>
          <w:sz w:val="22"/>
          <w:szCs w:val="22"/>
        </w:rPr>
        <w:footnoteReference w:id="31"/>
      </w:r>
      <w:r w:rsidRPr="003A3BDE">
        <w:rPr>
          <w:rFonts w:ascii="Calibri" w:eastAsia="Century Gothic" w:hAnsi="Calibri" w:cs="Calibri"/>
          <w:sz w:val="22"/>
          <w:szCs w:val="22"/>
        </w:rPr>
        <w:t xml:space="preserve">. </w:t>
      </w:r>
    </w:p>
    <w:p w:rsidR="008539A9" w:rsidRPr="003A3BDE" w:rsidP="5E85F9EA">
      <w:pPr>
        <w:spacing w:after="0"/>
        <w:rPr>
          <w:rFonts w:ascii="Calibri" w:hAnsi="Calibri" w:cs="Calibri"/>
          <w:sz w:val="22"/>
          <w:szCs w:val="22"/>
        </w:rPr>
      </w:pPr>
    </w:p>
    <w:p w:rsidR="008539A9" w:rsidRPr="003A3BDE" w:rsidP="772B9AF7">
      <w:pPr>
        <w:spacing w:after="0"/>
        <w:rPr>
          <w:rFonts w:ascii="Calibri" w:eastAsia="Century Gothic" w:hAnsi="Calibri" w:cs="Calibri"/>
          <w:sz w:val="22"/>
          <w:szCs w:val="22"/>
        </w:rPr>
      </w:pPr>
      <w:r w:rsidRPr="003A3BDE">
        <w:rPr>
          <w:rFonts w:ascii="Calibri" w:eastAsia="Century Gothic" w:hAnsi="Calibri" w:cs="Calibri"/>
          <w:sz w:val="22"/>
          <w:szCs w:val="22"/>
        </w:rPr>
        <w:t>P</w:t>
      </w:r>
      <w:r w:rsidRPr="003A3BDE">
        <w:rPr>
          <w:rFonts w:ascii="Calibri" w:eastAsia="Century Gothic" w:hAnsi="Calibri" w:cs="Calibri"/>
          <w:sz w:val="22"/>
          <w:szCs w:val="22"/>
        </w:rPr>
        <w:t xml:space="preserve">roviding schools and colleges with more resources to invest in evidence-based support for less advantaged students </w:t>
      </w:r>
      <w:r w:rsidRPr="003A3BDE">
        <w:rPr>
          <w:rFonts w:ascii="Calibri" w:eastAsia="Century Gothic" w:hAnsi="Calibri" w:cs="Calibri"/>
          <w:sz w:val="22"/>
          <w:szCs w:val="22"/>
        </w:rPr>
        <w:t>during 16-19 education w</w:t>
      </w:r>
      <w:r w:rsidRPr="003A3BDE">
        <w:rPr>
          <w:rFonts w:ascii="Calibri" w:eastAsia="Century Gothic" w:hAnsi="Calibri" w:cs="Calibri"/>
          <w:sz w:val="22"/>
          <w:szCs w:val="22"/>
        </w:rPr>
        <w:t>ill</w:t>
      </w:r>
      <w:r w:rsidRPr="003A3BDE">
        <w:rPr>
          <w:rFonts w:ascii="Calibri" w:eastAsia="Century Gothic" w:hAnsi="Calibri" w:cs="Calibri"/>
          <w:sz w:val="22"/>
          <w:szCs w:val="22"/>
        </w:rPr>
        <w:t xml:space="preserve">: </w:t>
      </w:r>
    </w:p>
    <w:p w:rsidR="008539A9" w:rsidRPr="003A3BDE" w:rsidP="772B9AF7">
      <w:pPr>
        <w:pStyle w:val="ListParagraph"/>
        <w:numPr>
          <w:ilvl w:val="0"/>
          <w:numId w:val="1"/>
        </w:numPr>
        <w:spacing w:after="0"/>
        <w:rPr>
          <w:rFonts w:ascii="Calibri" w:eastAsia="Century Gothic" w:hAnsi="Calibri" w:cs="Calibri"/>
          <w:b/>
          <w:bCs/>
          <w:sz w:val="22"/>
          <w:szCs w:val="22"/>
        </w:rPr>
      </w:pPr>
      <w:r w:rsidRPr="003A3BDE">
        <w:rPr>
          <w:rFonts w:ascii="Calibri" w:eastAsia="Century Gothic" w:hAnsi="Calibri" w:cs="Calibri"/>
          <w:sz w:val="22"/>
          <w:szCs w:val="22"/>
        </w:rPr>
        <w:t xml:space="preserve">Drive high and rising standards for disadvantaged students, helping the Government to meet their target of </w:t>
      </w:r>
      <w:r w:rsidRPr="003A3BDE">
        <w:rPr>
          <w:rFonts w:ascii="Calibri" w:eastAsia="Century Gothic" w:hAnsi="Calibri" w:cs="Calibri"/>
          <w:b/>
          <w:bCs/>
          <w:sz w:val="22"/>
          <w:szCs w:val="22"/>
        </w:rPr>
        <w:t>halving the attainment gap.</w:t>
      </w:r>
    </w:p>
    <w:p w:rsidR="008539A9" w:rsidRPr="003A3BDE" w:rsidP="772B9AF7">
      <w:pPr>
        <w:pStyle w:val="ListParagraph"/>
        <w:numPr>
          <w:ilvl w:val="0"/>
          <w:numId w:val="1"/>
        </w:numPr>
        <w:spacing w:after="0"/>
        <w:rPr>
          <w:rFonts w:ascii="Calibri" w:eastAsia="Century Gothic" w:hAnsi="Calibri" w:cs="Calibri"/>
          <w:b/>
          <w:bCs/>
          <w:sz w:val="22"/>
          <w:szCs w:val="22"/>
        </w:rPr>
      </w:pPr>
      <w:r w:rsidRPr="003A3BDE">
        <w:rPr>
          <w:rFonts w:ascii="Calibri" w:eastAsia="Century Gothic" w:hAnsi="Calibri" w:cs="Calibri"/>
          <w:sz w:val="22"/>
          <w:szCs w:val="22"/>
        </w:rPr>
        <w:t>Support a</w:t>
      </w:r>
      <w:r w:rsidRPr="003A3BDE">
        <w:rPr>
          <w:rFonts w:ascii="Calibri" w:eastAsia="Century Gothic" w:hAnsi="Calibri" w:cs="Calibri"/>
          <w:sz w:val="22"/>
          <w:szCs w:val="22"/>
        </w:rPr>
        <w:t xml:space="preserve"> higher proportion of young people to stay in education for longer and develop the skills and qualifications needed to progress to apprenticeships, higher education, and rewarding employment; directly supporting the government’s </w:t>
      </w:r>
      <w:r w:rsidRPr="003A3BDE">
        <w:rPr>
          <w:rFonts w:ascii="Calibri" w:eastAsia="Century Gothic" w:hAnsi="Calibri" w:cs="Calibri"/>
          <w:b/>
          <w:bCs/>
          <w:sz w:val="22"/>
          <w:szCs w:val="22"/>
        </w:rPr>
        <w:t xml:space="preserve">70% participation target in tertiary education at level 4 and above by 2040. </w:t>
      </w:r>
    </w:p>
    <w:p w:rsidR="008539A9" w:rsidRPr="003A3BDE" w:rsidP="772B9AF7">
      <w:pPr>
        <w:pStyle w:val="ListParagraph"/>
        <w:numPr>
          <w:ilvl w:val="0"/>
          <w:numId w:val="1"/>
        </w:numPr>
        <w:spacing w:after="0"/>
        <w:rPr>
          <w:rFonts w:ascii="Calibri" w:eastAsia="Century Gothic" w:hAnsi="Calibri" w:cs="Calibri"/>
          <w:sz w:val="22"/>
          <w:szCs w:val="22"/>
        </w:rPr>
      </w:pPr>
      <w:r w:rsidRPr="003A3BDE">
        <w:rPr>
          <w:rFonts w:ascii="Calibri" w:eastAsia="Century Gothic" w:hAnsi="Calibri" w:cs="Calibri"/>
          <w:b/>
          <w:bCs/>
          <w:sz w:val="22"/>
          <w:szCs w:val="22"/>
        </w:rPr>
        <w:t xml:space="preserve">Contribute </w:t>
      </w:r>
      <w:r w:rsidRPr="003A3BDE">
        <w:rPr>
          <w:rFonts w:ascii="Calibri" w:eastAsia="Century Gothic" w:hAnsi="Calibri" w:cs="Calibri"/>
          <w:b/>
          <w:bCs/>
          <w:sz w:val="22"/>
          <w:szCs w:val="22"/>
        </w:rPr>
        <w:t xml:space="preserve">directly to tackling the growing NEET crisis </w:t>
      </w:r>
      <w:r w:rsidRPr="003A3BDE">
        <w:rPr>
          <w:rFonts w:ascii="Calibri" w:eastAsia="Century Gothic" w:hAnsi="Calibri" w:cs="Calibri"/>
          <w:sz w:val="22"/>
          <w:szCs w:val="22"/>
        </w:rPr>
        <w:t>given the protective nature of qualifications against a young person’s likelihood of becoming NEET. Research shows that each step up the qualification ladder roughly halves the likelihood of being NEET in your early 20s</w:t>
      </w:r>
      <w:r>
        <w:rPr>
          <w:rStyle w:val="FootnoteReference"/>
          <w:rFonts w:ascii="Calibri" w:eastAsia="Century Gothic" w:hAnsi="Calibri" w:cs="Calibri"/>
          <w:sz w:val="22"/>
          <w:szCs w:val="22"/>
        </w:rPr>
        <w:footnoteReference w:id="32"/>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This will produce </w:t>
      </w:r>
      <w:r w:rsidRPr="003A3BDE">
        <w:rPr>
          <w:rFonts w:ascii="Calibri" w:eastAsia="Century Gothic" w:hAnsi="Calibri" w:cs="Calibri"/>
          <w:sz w:val="22"/>
          <w:szCs w:val="22"/>
        </w:rPr>
        <w:t xml:space="preserve">significant societal and economic returns, as each additional </w:t>
      </w:r>
      <w:r w:rsidRPr="003A3BDE">
        <w:rPr>
          <w:rFonts w:ascii="Calibri" w:eastAsia="Century Gothic" w:hAnsi="Calibri" w:cs="Calibri"/>
          <w:sz w:val="22"/>
          <w:szCs w:val="22"/>
        </w:rPr>
        <w:t>young person who becomes NEET is estimated to cost the state at least £244,000 over their lifetime</w:t>
      </w:r>
      <w:r>
        <w:rPr>
          <w:rStyle w:val="FootnoteReference"/>
          <w:rFonts w:ascii="Calibri" w:eastAsia="Century Gothic" w:hAnsi="Calibri" w:cs="Calibri"/>
          <w:sz w:val="22"/>
          <w:szCs w:val="22"/>
        </w:rPr>
        <w:footnoteReference w:id="33"/>
      </w:r>
      <w:r w:rsidRPr="003A3BDE">
        <w:rPr>
          <w:rFonts w:ascii="Calibri" w:eastAsia="Century Gothic" w:hAnsi="Calibri" w:cs="Calibri"/>
          <w:sz w:val="22"/>
          <w:szCs w:val="22"/>
        </w:rPr>
        <w:t>.</w:t>
      </w:r>
    </w:p>
    <w:p w:rsidR="008D034B" w:rsidRPr="003A3BDE" w:rsidP="772B9AF7">
      <w:pPr>
        <w:rPr>
          <w:rFonts w:ascii="Calibri" w:eastAsia="Century Gothic" w:hAnsi="Calibri" w:cs="Calibri"/>
          <w:b/>
          <w:bCs/>
          <w:color w:val="000000" w:themeColor="text1"/>
          <w:sz w:val="22"/>
          <w:szCs w:val="22"/>
        </w:rPr>
      </w:pPr>
    </w:p>
    <w:p w:rsidR="008539A9" w:rsidRPr="003A3BDE" w:rsidP="1F6BA04A">
      <w:pPr>
        <w:rPr>
          <w:rFonts w:ascii="Calibri" w:eastAsia="Century Gothic" w:hAnsi="Calibri" w:cs="Calibri"/>
          <w:b/>
          <w:bCs/>
          <w:color w:val="000000" w:themeColor="text1"/>
          <w:sz w:val="22"/>
          <w:szCs w:val="22"/>
        </w:rPr>
      </w:pPr>
      <w:r w:rsidRPr="003A3BDE">
        <w:rPr>
          <w:rFonts w:ascii="Calibri" w:eastAsia="Century Gothic" w:hAnsi="Calibri" w:cs="Calibri"/>
          <w:b/>
          <w:bCs/>
          <w:color w:val="000000" w:themeColor="text1"/>
          <w:sz w:val="22"/>
          <w:szCs w:val="22"/>
        </w:rPr>
        <w:t>Parental engagement</w:t>
      </w:r>
    </w:p>
    <w:p w:rsidR="008539A9" w:rsidRPr="003A3BDE" w:rsidP="5E85F9EA">
      <w:pPr>
        <w:rPr>
          <w:rFonts w:ascii="Calibri" w:eastAsia="Century Gothic" w:hAnsi="Calibri" w:cs="Calibri"/>
          <w:sz w:val="22"/>
          <w:szCs w:val="22"/>
        </w:rPr>
      </w:pPr>
      <w:r w:rsidRPr="003A3BDE">
        <w:rPr>
          <w:rFonts w:ascii="Calibri" w:eastAsia="Century Gothic" w:hAnsi="Calibri" w:cs="Calibri"/>
          <w:color w:val="000000" w:themeColor="text1"/>
          <w:sz w:val="22"/>
          <w:szCs w:val="22"/>
        </w:rPr>
        <w:t xml:space="preserve">A key driver of the attainment gap relates to young people’s family background and parental influence. </w:t>
      </w:r>
      <w:r w:rsidRPr="003A3BDE">
        <w:rPr>
          <w:rFonts w:ascii="Calibri" w:eastAsia="Century Gothic" w:hAnsi="Calibri" w:cs="Calibri"/>
          <w:color w:val="000000" w:themeColor="text1"/>
          <w:sz w:val="22"/>
          <w:szCs w:val="22"/>
        </w:rPr>
        <w:t xml:space="preserve">A crucial barrier for less advantaged families is </w:t>
      </w:r>
      <w:r w:rsidRPr="003A3BDE">
        <w:rPr>
          <w:rFonts w:ascii="Calibri" w:eastAsia="Century Gothic" w:hAnsi="Calibri" w:cs="Calibri"/>
          <w:color w:val="000000" w:themeColor="text1"/>
          <w:sz w:val="22"/>
          <w:szCs w:val="22"/>
        </w:rPr>
        <w:t xml:space="preserve">not </w:t>
      </w:r>
      <w:r w:rsidRPr="003A3BDE">
        <w:rPr>
          <w:rFonts w:ascii="Calibri" w:eastAsia="Century Gothic" w:hAnsi="Calibri" w:cs="Calibri"/>
          <w:color w:val="000000" w:themeColor="text1"/>
          <w:sz w:val="22"/>
          <w:szCs w:val="22"/>
        </w:rPr>
        <w:t>feeling equipped to support their children in their educational journ</w:t>
      </w:r>
      <w:r w:rsidRPr="003A3BDE">
        <w:rPr>
          <w:rFonts w:ascii="Calibri" w:eastAsia="Century Gothic" w:hAnsi="Calibri" w:cs="Calibri"/>
          <w:color w:val="000000" w:themeColor="text1"/>
          <w:sz w:val="22"/>
          <w:szCs w:val="22"/>
        </w:rPr>
        <w:t>eys</w:t>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color w:val="000000" w:themeColor="text1"/>
          <w:sz w:val="22"/>
          <w:szCs w:val="22"/>
        </w:rPr>
        <w:t>P</w:t>
      </w:r>
      <w:r w:rsidRPr="003A3BDE">
        <w:rPr>
          <w:rFonts w:ascii="Calibri" w:eastAsia="Century Gothic" w:hAnsi="Calibri" w:cs="Calibri"/>
          <w:sz w:val="22"/>
          <w:szCs w:val="22"/>
        </w:rPr>
        <w:t>olling commissioned by The Brilliant Club showed that 71% of parents</w:t>
      </w:r>
      <w:r>
        <w:rPr>
          <w:rStyle w:val="FootnoteReference"/>
          <w:rFonts w:ascii="Calibri" w:eastAsia="Century Gothic" w:hAnsi="Calibri" w:cs="Calibri"/>
          <w:sz w:val="22"/>
          <w:szCs w:val="22"/>
        </w:rPr>
        <w:footnoteReference w:id="34"/>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would need help supporting their child if they wanted to apply to university</w:t>
      </w:r>
      <w:r>
        <w:rPr>
          <w:rStyle w:val="FootnoteReference"/>
          <w:rFonts w:ascii="Calibri" w:eastAsia="Century Gothic" w:hAnsi="Calibri" w:cs="Calibri"/>
          <w:sz w:val="22"/>
          <w:szCs w:val="22"/>
        </w:rPr>
        <w:footnoteReference w:id="35"/>
      </w:r>
      <w:r w:rsidRPr="003A3BDE">
        <w:rPr>
          <w:rFonts w:ascii="Calibri" w:eastAsia="Century Gothic" w:hAnsi="Calibri" w:cs="Calibri"/>
          <w:color w:val="000000" w:themeColor="text1"/>
          <w:sz w:val="22"/>
          <w:szCs w:val="22"/>
        </w:rPr>
        <w:t xml:space="preserve">. </w:t>
      </w:r>
      <w:r w:rsidRPr="003A3BDE">
        <w:rPr>
          <w:rFonts w:ascii="Calibri" w:eastAsia="Century Gothic" w:hAnsi="Calibri" w:cs="Calibri"/>
          <w:color w:val="000000" w:themeColor="text1"/>
          <w:sz w:val="22"/>
          <w:szCs w:val="22"/>
        </w:rPr>
        <w:t xml:space="preserve">This was also reflected in recent findings of the White </w:t>
      </w:r>
      <w:r w:rsidRPr="003A3BDE">
        <w:rPr>
          <w:rFonts w:ascii="Calibri" w:eastAsia="Century Gothic" w:hAnsi="Calibri" w:cs="Calibri"/>
          <w:color w:val="000000" w:themeColor="text1"/>
          <w:sz w:val="22"/>
          <w:szCs w:val="22"/>
        </w:rPr>
        <w:t>Working-Class</w:t>
      </w:r>
      <w:r w:rsidRPr="003A3BDE">
        <w:rPr>
          <w:rFonts w:ascii="Calibri" w:eastAsia="Century Gothic" w:hAnsi="Calibri" w:cs="Calibri"/>
          <w:color w:val="000000" w:themeColor="text1"/>
          <w:sz w:val="22"/>
          <w:szCs w:val="22"/>
        </w:rPr>
        <w:t xml:space="preserve"> Educational Outcomes</w:t>
      </w:r>
      <w:r w:rsidRPr="003A3BDE">
        <w:rPr>
          <w:rFonts w:ascii="Calibri" w:eastAsia="Century Gothic" w:hAnsi="Calibri" w:cs="Calibri"/>
          <w:color w:val="000000" w:themeColor="text1"/>
          <w:sz w:val="22"/>
          <w:szCs w:val="22"/>
        </w:rPr>
        <w:t xml:space="preserve"> Inquiry</w:t>
      </w:r>
      <w:r w:rsidRPr="003A3BDE">
        <w:rPr>
          <w:rFonts w:ascii="Calibri" w:eastAsia="Century Gothic" w:hAnsi="Calibri" w:cs="Calibri"/>
          <w:color w:val="000000" w:themeColor="text1"/>
          <w:sz w:val="22"/>
          <w:szCs w:val="22"/>
        </w:rPr>
        <w:t>, which found that many white working-class</w:t>
      </w:r>
      <w:r w:rsidRPr="003A3BDE">
        <w:rPr>
          <w:rFonts w:ascii="Calibri" w:eastAsia="Century Gothic" w:hAnsi="Calibri" w:cs="Calibri"/>
          <w:sz w:val="22"/>
          <w:szCs w:val="22"/>
        </w:rPr>
        <w:t xml:space="preserve"> parents feel under-equipped to support their children navigating post-16 and post-18 pathways, and</w:t>
      </w:r>
      <w:r w:rsidRPr="003A3BDE">
        <w:rPr>
          <w:rFonts w:ascii="Calibri" w:eastAsia="Century Gothic" w:hAnsi="Calibri" w:cs="Calibri"/>
          <w:sz w:val="22"/>
          <w:szCs w:val="22"/>
        </w:rPr>
        <w:t xml:space="preserve"> argued that</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repositioning education as a shared </w:t>
      </w:r>
      <w:r w:rsidRPr="003A3BDE">
        <w:rPr>
          <w:rFonts w:ascii="Calibri" w:eastAsia="Century Gothic" w:hAnsi="Calibri" w:cs="Calibri"/>
          <w:sz w:val="22"/>
          <w:szCs w:val="22"/>
        </w:rPr>
        <w:t xml:space="preserve">endeavour between schools and families </w:t>
      </w:r>
      <w:r w:rsidRPr="003A3BDE">
        <w:rPr>
          <w:rFonts w:ascii="Calibri" w:eastAsia="Century Gothic" w:hAnsi="Calibri" w:cs="Calibri"/>
          <w:sz w:val="22"/>
          <w:szCs w:val="22"/>
        </w:rPr>
        <w:t>is</w:t>
      </w:r>
      <w:r w:rsidRPr="003A3BDE">
        <w:rPr>
          <w:rFonts w:ascii="Calibri" w:eastAsia="Century Gothic" w:hAnsi="Calibri" w:cs="Calibri"/>
          <w:sz w:val="22"/>
          <w:szCs w:val="22"/>
        </w:rPr>
        <w:t xml:space="preserve"> critical for improving outcomes</w:t>
      </w:r>
      <w:r>
        <w:rPr>
          <w:rStyle w:val="FootnoteReference"/>
          <w:rFonts w:ascii="Calibri" w:eastAsia="Century Gothic" w:hAnsi="Calibri" w:cs="Calibri"/>
          <w:sz w:val="22"/>
          <w:szCs w:val="22"/>
        </w:rPr>
        <w:footnoteReference w:id="36"/>
      </w:r>
      <w:r w:rsidRPr="003A3BDE">
        <w:rPr>
          <w:rFonts w:ascii="Calibri" w:eastAsia="Century Gothic" w:hAnsi="Calibri" w:cs="Calibri"/>
          <w:sz w:val="22"/>
          <w:szCs w:val="22"/>
        </w:rPr>
        <w:t xml:space="preserve">. </w:t>
      </w:r>
    </w:p>
    <w:p w:rsidR="008539A9" w:rsidRPr="003A3BDE" w:rsidP="772B9AF7">
      <w:pPr>
        <w:rPr>
          <w:rFonts w:ascii="Calibri" w:eastAsia="Century Gothic" w:hAnsi="Calibri" w:cs="Calibri"/>
          <w:color w:val="F53764"/>
          <w:sz w:val="22"/>
          <w:szCs w:val="22"/>
        </w:rPr>
      </w:pPr>
      <w:r w:rsidRPr="003A3BDE">
        <w:rPr>
          <w:rFonts w:ascii="Calibri" w:eastAsia="Century Gothic" w:hAnsi="Calibri" w:cs="Calibri"/>
          <w:sz w:val="22"/>
          <w:szCs w:val="22"/>
        </w:rPr>
        <w:t>However, th</w:t>
      </w:r>
      <w:r w:rsidRPr="003A3BDE">
        <w:rPr>
          <w:rFonts w:ascii="Calibri" w:eastAsia="Century Gothic" w:hAnsi="Calibri" w:cs="Calibri"/>
          <w:sz w:val="22"/>
          <w:szCs w:val="22"/>
        </w:rPr>
        <w:t>e role of parents in young people’s educational outcomes goes beyond knowledge about future pathways</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A p</w:t>
      </w:r>
      <w:r w:rsidRPr="003A3BDE">
        <w:rPr>
          <w:rFonts w:ascii="Calibri" w:eastAsia="Century Gothic" w:hAnsi="Calibri" w:cs="Calibri"/>
          <w:color w:val="000000" w:themeColor="text1"/>
          <w:sz w:val="22"/>
          <w:szCs w:val="22"/>
        </w:rPr>
        <w:t>arent’s own education level and their expectations for their children are the strongest predictors of long-term life outcomes</w:t>
      </w:r>
      <w:r w:rsidRPr="003A3BDE">
        <w:rPr>
          <w:rStyle w:val="FootnoteReference"/>
          <w:rFonts w:ascii="Calibri" w:eastAsia="Century Gothic" w:hAnsi="Calibri" w:cs="Calibri"/>
          <w:color w:val="000000" w:themeColor="text1"/>
          <w:sz w:val="22"/>
          <w:szCs w:val="22"/>
        </w:rPr>
        <w:t>#</w:t>
      </w:r>
      <w:r w:rsidRPr="003A3BDE">
        <w:rPr>
          <w:rFonts w:ascii="Calibri" w:eastAsia="Century Gothic" w:hAnsi="Calibri" w:cs="Calibri"/>
          <w:color w:val="000000" w:themeColor="text1"/>
          <w:sz w:val="22"/>
          <w:szCs w:val="22"/>
        </w:rPr>
        <w:t xml:space="preserve">. The Institute for Fiscal Studies finds that parents </w:t>
      </w:r>
      <w:r w:rsidRPr="003A3BDE">
        <w:rPr>
          <w:rFonts w:ascii="Calibri" w:eastAsia="Century Gothic" w:hAnsi="Calibri" w:cs="Calibri"/>
          <w:color w:val="000000" w:themeColor="text1"/>
          <w:sz w:val="22"/>
          <w:szCs w:val="22"/>
        </w:rPr>
        <w:t xml:space="preserve">and carers account for almost 50% of </w:t>
      </w:r>
      <w:r w:rsidRPr="003A3BDE">
        <w:rPr>
          <w:rFonts w:ascii="Calibri" w:eastAsia="Century Gothic" w:hAnsi="Calibri" w:cs="Calibri"/>
          <w:color w:val="000000" w:themeColor="text1"/>
          <w:sz w:val="22"/>
          <w:szCs w:val="22"/>
        </w:rPr>
        <w:t xml:space="preserve">the </w:t>
      </w:r>
      <w:r w:rsidRPr="003A3BDE">
        <w:rPr>
          <w:rFonts w:ascii="Calibri" w:eastAsia="Century Gothic" w:hAnsi="Calibri" w:cs="Calibri"/>
          <w:color w:val="000000" w:themeColor="text1"/>
          <w:sz w:val="22"/>
          <w:szCs w:val="22"/>
        </w:rPr>
        <w:t>factors that influence the disadvantage gap in education at age 11</w:t>
      </w:r>
      <w:r>
        <w:rPr>
          <w:rStyle w:val="FootnoteReference"/>
          <w:rFonts w:ascii="Calibri" w:eastAsia="Century Gothic" w:hAnsi="Calibri" w:cs="Calibri"/>
          <w:color w:val="000000" w:themeColor="text1"/>
          <w:sz w:val="22"/>
          <w:szCs w:val="22"/>
        </w:rPr>
        <w:footnoteReference w:id="37"/>
      </w:r>
      <w:r w:rsidRPr="003A3BDE">
        <w:rPr>
          <w:rFonts w:ascii="Calibri" w:eastAsia="Century Gothic" w:hAnsi="Calibri" w:cs="Calibri"/>
          <w:color w:val="000000" w:themeColor="text1"/>
          <w:sz w:val="22"/>
          <w:szCs w:val="22"/>
        </w:rPr>
        <w:t>. Research by the Social Mobility Commission in 2026 found that high parental aspirations are the strongest factor mediating differences in GCSE results at age 16 between different socio-economic backgrounds and ethnicities, after prior attainment</w:t>
      </w:r>
      <w:r>
        <w:rPr>
          <w:rStyle w:val="FootnoteReference"/>
          <w:rFonts w:ascii="Calibri" w:eastAsia="Century Gothic" w:hAnsi="Calibri" w:cs="Calibri"/>
          <w:color w:val="000000" w:themeColor="text1"/>
          <w:sz w:val="22"/>
          <w:szCs w:val="22"/>
        </w:rPr>
        <w:footnoteReference w:id="38"/>
      </w:r>
      <w:r w:rsidRPr="003A3BDE">
        <w:rPr>
          <w:rFonts w:ascii="Calibri" w:eastAsia="Century Gothic" w:hAnsi="Calibri" w:cs="Calibri"/>
          <w:color w:val="000000" w:themeColor="text1"/>
          <w:sz w:val="22"/>
          <w:szCs w:val="22"/>
        </w:rPr>
        <w:t>.</w:t>
      </w:r>
      <w:r w:rsidRPr="003A3BDE">
        <w:rPr>
          <w:rFonts w:ascii="Calibri" w:eastAsia="Century Gothic" w:hAnsi="Calibri" w:cs="Calibri"/>
          <w:color w:val="000000" w:themeColor="text1"/>
          <w:sz w:val="22"/>
          <w:szCs w:val="22"/>
        </w:rPr>
        <w:t xml:space="preserve"> </w:t>
      </w:r>
    </w:p>
    <w:p w:rsidR="008539A9" w:rsidRPr="003A3BDE" w:rsidP="1F6BA04A">
      <w:pPr>
        <w:rPr>
          <w:rFonts w:ascii="Calibri" w:hAnsi="Calibri" w:cs="Calibri"/>
          <w:sz w:val="22"/>
          <w:szCs w:val="22"/>
        </w:rPr>
      </w:pPr>
      <w:r w:rsidRPr="003A3BDE">
        <w:rPr>
          <w:rFonts w:ascii="Calibri" w:eastAsia="Century Gothic" w:hAnsi="Calibri" w:cs="Calibri"/>
          <w:b/>
          <w:bCs/>
          <w:sz w:val="22"/>
          <w:szCs w:val="22"/>
        </w:rPr>
        <w:t xml:space="preserve">Interventions aimed at engaging parents in their children’s education, particularly for families from lower socio-economic backgrounds, are </w:t>
      </w:r>
      <w:r w:rsidRPr="003A3BDE">
        <w:rPr>
          <w:rFonts w:ascii="Calibri" w:eastAsia="Century Gothic" w:hAnsi="Calibri" w:cs="Calibri"/>
          <w:b/>
          <w:bCs/>
          <w:sz w:val="22"/>
          <w:szCs w:val="22"/>
        </w:rPr>
        <w:t xml:space="preserve">therefore </w:t>
      </w:r>
      <w:r w:rsidRPr="003A3BDE">
        <w:rPr>
          <w:rFonts w:ascii="Calibri" w:eastAsia="Century Gothic" w:hAnsi="Calibri" w:cs="Calibri"/>
          <w:b/>
          <w:bCs/>
          <w:sz w:val="22"/>
          <w:szCs w:val="22"/>
        </w:rPr>
        <w:t>vital for addressing the disadvantage gap.</w:t>
      </w:r>
      <w:r w:rsidRPr="003A3BDE">
        <w:rPr>
          <w:rFonts w:ascii="Calibri" w:eastAsia="Century Gothic" w:hAnsi="Calibri" w:cs="Calibri"/>
          <w:b/>
          <w:bCs/>
          <w:sz w:val="22"/>
          <w:szCs w:val="22"/>
        </w:rPr>
        <w:t xml:space="preserve"> </w:t>
      </w:r>
      <w:r w:rsidRPr="003A3BDE">
        <w:rPr>
          <w:rFonts w:ascii="Calibri" w:eastAsia="Century Gothic" w:hAnsi="Calibri" w:cs="Calibri"/>
          <w:color w:val="000000" w:themeColor="text1"/>
          <w:sz w:val="22"/>
          <w:szCs w:val="22"/>
        </w:rPr>
        <w:t xml:space="preserve">The Brilliant Club works with families from underserved communities to equip them with the tools and knowledge to support their child’s journey through education. Through our ‘Parent Power’ programme, currently active in 16 regions across the UK, trained community organisers work closely with parents and carers, supporting them to lead campaigns on education issues within their local community and providing them with high-quality </w:t>
      </w:r>
      <w:r w:rsidRPr="003A3BDE">
        <w:rPr>
          <w:rFonts w:ascii="Calibri" w:eastAsia="Century Gothic" w:hAnsi="Calibri" w:cs="Calibri"/>
          <w:sz w:val="22"/>
          <w:szCs w:val="22"/>
        </w:rPr>
        <w:t xml:space="preserve">Information, Advice and Guidance (IAG) on university pathways. </w:t>
      </w:r>
      <w:r w:rsidRPr="003A3BDE">
        <w:rPr>
          <w:rFonts w:ascii="Calibri" w:eastAsia="Century Gothic" w:hAnsi="Calibri" w:cs="Calibri"/>
          <w:sz w:val="22"/>
          <w:szCs w:val="22"/>
        </w:rPr>
        <w:t xml:space="preserve">As a result of their engagement with Parent Power: </w:t>
      </w:r>
    </w:p>
    <w:p w:rsidR="008539A9" w:rsidRPr="003A3BDE" w:rsidP="5E85F9EA">
      <w:pPr>
        <w:pStyle w:val="ListParagraph"/>
        <w:numPr>
          <w:ilvl w:val="0"/>
          <w:numId w:val="11"/>
        </w:numPr>
        <w:rPr>
          <w:rFonts w:ascii="Calibri" w:eastAsia="Century Gothic" w:hAnsi="Calibri" w:cs="Calibri"/>
          <w:sz w:val="22"/>
          <w:szCs w:val="22"/>
          <w:u w:val="single"/>
        </w:rPr>
      </w:pPr>
      <w:r w:rsidRPr="003A3BDE">
        <w:rPr>
          <w:rFonts w:ascii="Calibri" w:eastAsia="Century Gothic" w:hAnsi="Calibri" w:cs="Calibri"/>
          <w:b/>
          <w:bCs/>
          <w:sz w:val="22"/>
          <w:szCs w:val="22"/>
        </w:rPr>
        <w:t>100%</w:t>
      </w:r>
      <w:r w:rsidRPr="003A3BDE">
        <w:rPr>
          <w:rFonts w:ascii="Calibri" w:eastAsia="Century Gothic" w:hAnsi="Calibri" w:cs="Calibri"/>
          <w:sz w:val="22"/>
          <w:szCs w:val="22"/>
        </w:rPr>
        <w:t xml:space="preserve"> of parents/carers said that they were </w:t>
      </w:r>
      <w:r w:rsidRPr="003A3BDE">
        <w:rPr>
          <w:rFonts w:ascii="Calibri" w:eastAsia="Century Gothic" w:hAnsi="Calibri" w:cs="Calibri"/>
          <w:sz w:val="22"/>
          <w:szCs w:val="22"/>
          <w:u w:val="single"/>
        </w:rPr>
        <w:t>now able to talk to their children about higher education</w:t>
      </w:r>
      <w:r>
        <w:rPr>
          <w:rStyle w:val="FootnoteReference"/>
          <w:rFonts w:ascii="Calibri" w:eastAsia="Century Gothic" w:hAnsi="Calibri" w:cs="Calibri"/>
          <w:sz w:val="22"/>
          <w:szCs w:val="22"/>
          <w:u w:val="single"/>
        </w:rPr>
        <w:footnoteReference w:id="39"/>
      </w:r>
      <w:r w:rsidRPr="003A3BDE">
        <w:rPr>
          <w:rFonts w:ascii="Calibri" w:eastAsia="Century Gothic" w:hAnsi="Calibri" w:cs="Calibri"/>
          <w:sz w:val="22"/>
          <w:szCs w:val="22"/>
        </w:rPr>
        <w:t xml:space="preserve">. </w:t>
      </w:r>
    </w:p>
    <w:p w:rsidR="008539A9" w:rsidRPr="003A3BDE" w:rsidP="5E85F9EA">
      <w:pPr>
        <w:pStyle w:val="ListParagraph"/>
        <w:numPr>
          <w:ilvl w:val="0"/>
          <w:numId w:val="11"/>
        </w:numPr>
        <w:rPr>
          <w:rFonts w:ascii="Calibri" w:eastAsia="Century Gothic" w:hAnsi="Calibri" w:cs="Calibri"/>
          <w:sz w:val="22"/>
          <w:szCs w:val="22"/>
          <w:u w:val="single"/>
        </w:rPr>
      </w:pPr>
      <w:r w:rsidRPr="003A3BDE">
        <w:rPr>
          <w:rFonts w:ascii="Calibri" w:eastAsia="Century Gothic" w:hAnsi="Calibri" w:cs="Calibri"/>
          <w:b/>
          <w:bCs/>
          <w:sz w:val="22"/>
          <w:szCs w:val="22"/>
        </w:rPr>
        <w:t>97%</w:t>
      </w:r>
      <w:r w:rsidRPr="003A3BDE">
        <w:rPr>
          <w:rFonts w:ascii="Calibri" w:eastAsia="Century Gothic" w:hAnsi="Calibri" w:cs="Calibri"/>
          <w:sz w:val="22"/>
          <w:szCs w:val="22"/>
        </w:rPr>
        <w:t xml:space="preserve"> of parents/carers said that they were </w:t>
      </w:r>
      <w:r w:rsidRPr="003A3BDE">
        <w:rPr>
          <w:rFonts w:ascii="Calibri" w:eastAsia="Century Gothic" w:hAnsi="Calibri" w:cs="Calibri"/>
          <w:sz w:val="22"/>
          <w:szCs w:val="22"/>
          <w:u w:val="single"/>
        </w:rPr>
        <w:t>now able to talk to people in their community about higher education</w:t>
      </w:r>
      <w:r>
        <w:rPr>
          <w:rStyle w:val="FootnoteReference"/>
          <w:rFonts w:ascii="Calibri" w:eastAsia="Century Gothic" w:hAnsi="Calibri" w:cs="Calibri"/>
          <w:sz w:val="22"/>
          <w:szCs w:val="22"/>
          <w:u w:val="single"/>
        </w:rPr>
        <w:footnoteReference w:id="40"/>
      </w:r>
      <w:r w:rsidRPr="003A3BDE">
        <w:rPr>
          <w:rFonts w:ascii="Calibri" w:eastAsia="Century Gothic" w:hAnsi="Calibri" w:cs="Calibri"/>
          <w:sz w:val="22"/>
          <w:szCs w:val="22"/>
        </w:rPr>
        <w:t xml:space="preserve">. </w:t>
      </w:r>
    </w:p>
    <w:p w:rsidR="008539A9" w:rsidRPr="003A3BDE" w:rsidP="5E85F9EA">
      <w:pPr>
        <w:pStyle w:val="ListParagraph"/>
        <w:numPr>
          <w:ilvl w:val="0"/>
          <w:numId w:val="11"/>
        </w:numPr>
        <w:rPr>
          <w:rFonts w:ascii="Calibri" w:eastAsia="Century Gothic" w:hAnsi="Calibri" w:cs="Calibri"/>
          <w:sz w:val="22"/>
          <w:szCs w:val="22"/>
          <w:u w:val="single"/>
        </w:rPr>
      </w:pPr>
      <w:r w:rsidRPr="003A3BDE">
        <w:rPr>
          <w:rFonts w:ascii="Calibri" w:eastAsia="Century Gothic" w:hAnsi="Calibri" w:cs="Calibri"/>
          <w:b/>
          <w:bCs/>
          <w:sz w:val="22"/>
          <w:szCs w:val="22"/>
        </w:rPr>
        <w:t>94%</w:t>
      </w:r>
      <w:r w:rsidRPr="003A3BDE">
        <w:rPr>
          <w:rFonts w:ascii="Calibri" w:eastAsia="Century Gothic" w:hAnsi="Calibri" w:cs="Calibri"/>
          <w:sz w:val="22"/>
          <w:szCs w:val="22"/>
        </w:rPr>
        <w:t xml:space="preserve"> of parents/carers said that they had </w:t>
      </w:r>
      <w:r w:rsidRPr="003A3BDE">
        <w:rPr>
          <w:rFonts w:ascii="Calibri" w:eastAsia="Century Gothic" w:hAnsi="Calibri" w:cs="Calibri"/>
          <w:sz w:val="22"/>
          <w:szCs w:val="22"/>
          <w:u w:val="single"/>
        </w:rPr>
        <w:t>gained new knowledge about higher education and were confident they can support their children to access university</w:t>
      </w:r>
      <w:r>
        <w:rPr>
          <w:rStyle w:val="FootnoteReference"/>
          <w:rFonts w:ascii="Calibri" w:eastAsia="Century Gothic" w:hAnsi="Calibri" w:cs="Calibri"/>
          <w:sz w:val="22"/>
          <w:szCs w:val="22"/>
          <w:u w:val="single"/>
        </w:rPr>
        <w:footnoteReference w:id="41"/>
      </w:r>
    </w:p>
    <w:p w:rsidR="008539A9" w:rsidRPr="003A3BDE" w:rsidP="5E85F9EA">
      <w:pPr>
        <w:rPr>
          <w:rFonts w:ascii="Calibri" w:hAnsi="Calibri" w:cs="Calibri"/>
          <w:sz w:val="22"/>
          <w:szCs w:val="22"/>
        </w:rPr>
      </w:pPr>
      <w:r w:rsidRPr="003A3BDE">
        <w:rPr>
          <w:rFonts w:ascii="Calibri" w:eastAsia="Century Gothic" w:hAnsi="Calibri" w:cs="Calibri"/>
          <w:sz w:val="22"/>
          <w:szCs w:val="22"/>
        </w:rPr>
        <w:t xml:space="preserve">The White </w:t>
      </w:r>
      <w:r w:rsidRPr="003A3BDE">
        <w:rPr>
          <w:rFonts w:ascii="Calibri" w:eastAsia="Century Gothic" w:hAnsi="Calibri" w:cs="Calibri"/>
          <w:sz w:val="22"/>
          <w:szCs w:val="22"/>
        </w:rPr>
        <w:t>Working Class</w:t>
      </w:r>
      <w:r w:rsidRPr="003A3BDE">
        <w:rPr>
          <w:rFonts w:ascii="Calibri" w:eastAsia="Century Gothic" w:hAnsi="Calibri" w:cs="Calibri"/>
          <w:sz w:val="22"/>
          <w:szCs w:val="22"/>
        </w:rPr>
        <w:t xml:space="preserve"> Educational Outcomes Inquiry found that higher education is often seen as inaccessible or irrelevant to white working-class young people</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and that for many white working-class families, multigenerational experience has weakened the perceived link between education and success in later life</w:t>
      </w:r>
      <w:r>
        <w:rPr>
          <w:rFonts w:ascii="Calibri" w:eastAsia="Century Gothic" w:hAnsi="Calibri" w:cs="Calibri"/>
          <w:sz w:val="22"/>
          <w:szCs w:val="22"/>
        </w:rPr>
        <w:footnoteReference w:id="42"/>
      </w:r>
      <w:r w:rsidRPr="003A3BDE">
        <w:rPr>
          <w:rFonts w:ascii="Calibri" w:eastAsia="Century Gothic" w:hAnsi="Calibri" w:cs="Calibri"/>
          <w:sz w:val="22"/>
          <w:szCs w:val="22"/>
        </w:rPr>
        <w:t>. Th</w:t>
      </w:r>
      <w:r w:rsidRPr="003A3BDE">
        <w:rPr>
          <w:rFonts w:ascii="Calibri" w:eastAsia="Century Gothic" w:hAnsi="Calibri" w:cs="Calibri"/>
          <w:sz w:val="22"/>
          <w:szCs w:val="22"/>
        </w:rPr>
        <w:t xml:space="preserve">is type of relational parental </w:t>
      </w:r>
      <w:r w:rsidRPr="003A3BDE">
        <w:rPr>
          <w:rFonts w:ascii="Calibri" w:eastAsia="Century Gothic" w:hAnsi="Calibri" w:cs="Calibri"/>
          <w:sz w:val="22"/>
          <w:szCs w:val="22"/>
        </w:rPr>
        <w:t>engagement</w:t>
      </w:r>
      <w:r w:rsidRPr="003A3BDE">
        <w:rPr>
          <w:rFonts w:ascii="Calibri" w:eastAsia="Century Gothic" w:hAnsi="Calibri" w:cs="Calibri"/>
          <w:sz w:val="22"/>
          <w:szCs w:val="22"/>
        </w:rPr>
        <w:t xml:space="preserve"> is therefore valuable both for the role it can play in directly affecting young people’s educational outcomes, and for its role in </w:t>
      </w:r>
      <w:r w:rsidRPr="003A3BDE">
        <w:rPr>
          <w:rFonts w:ascii="Calibri" w:eastAsia="Century Gothic" w:hAnsi="Calibri" w:cs="Calibri"/>
          <w:sz w:val="22"/>
          <w:szCs w:val="22"/>
        </w:rPr>
        <w:t xml:space="preserve">influencing </w:t>
      </w:r>
      <w:r w:rsidRPr="003A3BDE">
        <w:rPr>
          <w:rFonts w:ascii="Calibri" w:eastAsia="Century Gothic" w:hAnsi="Calibri" w:cs="Calibri"/>
          <w:sz w:val="22"/>
          <w:szCs w:val="22"/>
        </w:rPr>
        <w:t>parent’s perception of</w:t>
      </w:r>
      <w:r w:rsidRPr="003A3BDE">
        <w:rPr>
          <w:rFonts w:ascii="Calibri" w:eastAsia="Century Gothic" w:hAnsi="Calibri" w:cs="Calibri"/>
          <w:sz w:val="22"/>
          <w:szCs w:val="22"/>
        </w:rPr>
        <w:t xml:space="preserve">, and engagement with, </w:t>
      </w:r>
      <w:r w:rsidRPr="003A3BDE">
        <w:rPr>
          <w:rFonts w:ascii="Calibri" w:eastAsia="Century Gothic" w:hAnsi="Calibri" w:cs="Calibri"/>
          <w:sz w:val="22"/>
          <w:szCs w:val="22"/>
        </w:rPr>
        <w:t>education more broadly</w:t>
      </w:r>
      <w:r w:rsidRPr="003A3BDE">
        <w:rPr>
          <w:rFonts w:ascii="Calibri" w:eastAsia="Century Gothic" w:hAnsi="Calibri" w:cs="Calibri"/>
          <w:sz w:val="22"/>
          <w:szCs w:val="22"/>
        </w:rPr>
        <w:t>; which is especially important for underserved communities.</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Across our programmes, parent-led campaigns are seeking place-based change on issues such as rural connectively, work experience opportunities, and access to mental </w:t>
      </w:r>
      <w:r w:rsidRPr="003A3BDE">
        <w:rPr>
          <w:rFonts w:ascii="Calibri" w:eastAsia="Century Gothic" w:hAnsi="Calibri" w:cs="Calibri"/>
          <w:sz w:val="22"/>
          <w:szCs w:val="22"/>
        </w:rPr>
        <w:t xml:space="preserve">health support. </w:t>
      </w:r>
    </w:p>
    <w:p w:rsidR="008539A9" w:rsidRPr="003A3BDE" w:rsidP="772B9AF7">
      <w:pPr>
        <w:rPr>
          <w:rFonts w:ascii="Calibri" w:eastAsia="Century Gothic" w:hAnsi="Calibri" w:cs="Calibri"/>
          <w:b/>
          <w:bCs/>
          <w:color w:val="000000" w:themeColor="text1"/>
          <w:sz w:val="22"/>
          <w:szCs w:val="22"/>
        </w:rPr>
      </w:pPr>
      <w:r w:rsidRPr="003A3BDE">
        <w:rPr>
          <w:rFonts w:ascii="Calibri" w:eastAsia="Century Gothic" w:hAnsi="Calibri" w:cs="Calibri"/>
          <w:sz w:val="22"/>
          <w:szCs w:val="22"/>
        </w:rPr>
        <w:t>The Brilliant Club</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therefore </w:t>
      </w:r>
      <w:r w:rsidRPr="003A3BDE">
        <w:rPr>
          <w:rFonts w:ascii="Calibri" w:eastAsia="Century Gothic" w:hAnsi="Calibri" w:cs="Calibri"/>
          <w:sz w:val="22"/>
          <w:szCs w:val="22"/>
        </w:rPr>
        <w:t xml:space="preserve">welcomes the </w:t>
      </w:r>
      <w:r w:rsidRPr="003A3BDE">
        <w:rPr>
          <w:rFonts w:ascii="Calibri" w:eastAsia="Century Gothic" w:hAnsi="Calibri" w:cs="Calibri"/>
          <w:sz w:val="22"/>
          <w:szCs w:val="22"/>
        </w:rPr>
        <w:t xml:space="preserve">government’s ambition, set out in the white paper, </w:t>
      </w:r>
      <w:r w:rsidRPr="003A3BDE">
        <w:rPr>
          <w:rFonts w:ascii="Calibri" w:eastAsia="Century Gothic" w:hAnsi="Calibri" w:cs="Calibri"/>
          <w:sz w:val="22"/>
          <w:szCs w:val="22"/>
        </w:rPr>
        <w:t xml:space="preserve">to </w:t>
      </w:r>
      <w:r w:rsidRPr="003A3BDE">
        <w:rPr>
          <w:rFonts w:ascii="Calibri" w:eastAsia="Century Gothic" w:hAnsi="Calibri" w:cs="Calibri"/>
          <w:i/>
          <w:iCs/>
          <w:sz w:val="22"/>
          <w:szCs w:val="22"/>
        </w:rPr>
        <w:t>‘</w:t>
      </w:r>
      <w:r w:rsidRPr="003A3BDE">
        <w:rPr>
          <w:rFonts w:ascii="Calibri" w:eastAsia="Century Gothic" w:hAnsi="Calibri" w:cs="Calibri"/>
          <w:i/>
          <w:iCs/>
          <w:color w:val="000000" w:themeColor="text1"/>
          <w:sz w:val="22"/>
          <w:szCs w:val="22"/>
        </w:rPr>
        <w:t>strengthen parental engagement and ensure every child reaps the benefits of positive school-family relationships.’</w:t>
      </w:r>
      <w:r w:rsidRPr="003A3BDE">
        <w:rPr>
          <w:rFonts w:ascii="Calibri" w:eastAsia="Century Gothic" w:hAnsi="Calibri" w:cs="Calibri"/>
          <w:i/>
          <w:iCs/>
          <w:color w:val="000000" w:themeColor="text1"/>
          <w:sz w:val="22"/>
          <w:szCs w:val="22"/>
        </w:rPr>
        <w:t xml:space="preserve"> </w:t>
      </w:r>
      <w:r w:rsidRPr="003A3BDE">
        <w:rPr>
          <w:rFonts w:ascii="Calibri" w:eastAsia="Century Gothic" w:hAnsi="Calibri" w:cs="Calibri"/>
          <w:b/>
          <w:bCs/>
          <w:color w:val="000000" w:themeColor="text1"/>
          <w:sz w:val="22"/>
          <w:szCs w:val="22"/>
        </w:rPr>
        <w:t>Government c</w:t>
      </w:r>
      <w:r w:rsidRPr="003A3BDE">
        <w:rPr>
          <w:rFonts w:ascii="Calibri" w:eastAsia="Century Gothic" w:hAnsi="Calibri" w:cs="Calibri"/>
          <w:b/>
          <w:bCs/>
          <w:color w:val="000000" w:themeColor="text1"/>
          <w:sz w:val="22"/>
          <w:szCs w:val="22"/>
        </w:rPr>
        <w:t xml:space="preserve">ommitments to establish a </w:t>
      </w:r>
      <w:r w:rsidRPr="003A3BDE">
        <w:rPr>
          <w:rFonts w:ascii="Calibri" w:eastAsia="Century Gothic" w:hAnsi="Calibri" w:cs="Calibri"/>
          <w:b/>
          <w:bCs/>
          <w:color w:val="000000" w:themeColor="text1"/>
          <w:sz w:val="22"/>
          <w:szCs w:val="22"/>
        </w:rPr>
        <w:t>new pupil engagement framework and minimum expectations for home-to-school partnerships</w:t>
      </w:r>
      <w:r w:rsidRPr="003A3BDE">
        <w:rPr>
          <w:rFonts w:ascii="Calibri" w:eastAsia="Century Gothic" w:hAnsi="Calibri" w:cs="Calibri"/>
          <w:b/>
          <w:bCs/>
          <w:color w:val="000000" w:themeColor="text1"/>
          <w:sz w:val="22"/>
          <w:szCs w:val="22"/>
        </w:rPr>
        <w:t xml:space="preserve"> present opportunities to embed evidence-based principles for</w:t>
      </w:r>
      <w:r w:rsidRPr="003A3BDE">
        <w:rPr>
          <w:rFonts w:ascii="Calibri" w:eastAsia="Century Gothic" w:hAnsi="Calibri" w:cs="Calibri"/>
          <w:b/>
          <w:bCs/>
          <w:color w:val="000000" w:themeColor="text1"/>
          <w:sz w:val="22"/>
          <w:szCs w:val="22"/>
        </w:rPr>
        <w:t xml:space="preserve"> engaging less advantaged families and communities into schools’ approach to parental engagement</w:t>
      </w:r>
      <w:r w:rsidRPr="003A3BDE">
        <w:rPr>
          <w:rFonts w:ascii="Calibri" w:eastAsia="Century Gothic" w:hAnsi="Calibri" w:cs="Calibri"/>
          <w:color w:val="000000" w:themeColor="text1"/>
          <w:sz w:val="22"/>
          <w:szCs w:val="22"/>
        </w:rPr>
        <w:t>.</w:t>
      </w:r>
      <w:r w:rsidRPr="003A3BDE">
        <w:rPr>
          <w:rFonts w:ascii="Calibri" w:eastAsia="Century Gothic" w:hAnsi="Calibri" w:cs="Calibri"/>
          <w:b/>
          <w:bCs/>
          <w:color w:val="000000" w:themeColor="text1"/>
          <w:sz w:val="22"/>
          <w:szCs w:val="22"/>
        </w:rPr>
        <w:t xml:space="preserve"> Beyond this, </w:t>
      </w:r>
      <w:r w:rsidRPr="003A3BDE">
        <w:rPr>
          <w:rFonts w:ascii="Calibri" w:eastAsia="Century Gothic" w:hAnsi="Calibri" w:cs="Calibri"/>
          <w:b/>
          <w:bCs/>
          <w:color w:val="000000" w:themeColor="text1"/>
          <w:sz w:val="22"/>
          <w:szCs w:val="22"/>
        </w:rPr>
        <w:t xml:space="preserve">government intervention to tackle the disadvantage gap must include a focus on </w:t>
      </w:r>
      <w:r w:rsidRPr="003A3BDE">
        <w:rPr>
          <w:rFonts w:ascii="Calibri" w:eastAsia="Century Gothic" w:hAnsi="Calibri" w:cs="Calibri"/>
          <w:b/>
          <w:bCs/>
          <w:color w:val="000000" w:themeColor="text1"/>
          <w:sz w:val="22"/>
          <w:szCs w:val="22"/>
        </w:rPr>
        <w:t xml:space="preserve">targeted, </w:t>
      </w:r>
      <w:r w:rsidRPr="003A3BDE">
        <w:rPr>
          <w:rFonts w:ascii="Calibri" w:eastAsia="Century Gothic" w:hAnsi="Calibri" w:cs="Calibri"/>
          <w:b/>
          <w:bCs/>
          <w:color w:val="000000" w:themeColor="text1"/>
          <w:sz w:val="22"/>
          <w:szCs w:val="22"/>
        </w:rPr>
        <w:t xml:space="preserve">evidence-based parental engagement </w:t>
      </w:r>
      <w:r w:rsidRPr="003A3BDE">
        <w:rPr>
          <w:rFonts w:ascii="Calibri" w:eastAsia="Century Gothic" w:hAnsi="Calibri" w:cs="Calibri"/>
          <w:b/>
          <w:bCs/>
          <w:color w:val="000000" w:themeColor="text1"/>
          <w:sz w:val="22"/>
          <w:szCs w:val="22"/>
        </w:rPr>
        <w:t xml:space="preserve">programmes, for example </w:t>
      </w:r>
      <w:r w:rsidRPr="003A3BDE">
        <w:rPr>
          <w:rFonts w:ascii="Calibri" w:eastAsia="Century Gothic" w:hAnsi="Calibri" w:cs="Calibri"/>
          <w:b/>
          <w:bCs/>
          <w:color w:val="000000" w:themeColor="text1"/>
          <w:sz w:val="22"/>
          <w:szCs w:val="22"/>
        </w:rPr>
        <w:t xml:space="preserve">including parental engagement as a core component of </w:t>
      </w:r>
      <w:r w:rsidRPr="003A3BDE">
        <w:rPr>
          <w:rFonts w:ascii="Calibri" w:eastAsia="Century Gothic" w:hAnsi="Calibri" w:cs="Calibri"/>
          <w:b/>
          <w:bCs/>
          <w:color w:val="000000" w:themeColor="text1"/>
          <w:sz w:val="22"/>
          <w:szCs w:val="22"/>
        </w:rPr>
        <w:t xml:space="preserve">Mission </w:t>
      </w:r>
      <w:r w:rsidRPr="003A3BDE">
        <w:rPr>
          <w:rFonts w:ascii="Calibri" w:eastAsia="Century Gothic" w:hAnsi="Calibri" w:cs="Calibri"/>
          <w:b/>
          <w:bCs/>
          <w:color w:val="000000" w:themeColor="text1"/>
          <w:sz w:val="22"/>
          <w:szCs w:val="22"/>
        </w:rPr>
        <w:t>North East</w:t>
      </w:r>
      <w:r w:rsidRPr="003A3BDE">
        <w:rPr>
          <w:rFonts w:ascii="Calibri" w:eastAsia="Century Gothic" w:hAnsi="Calibri" w:cs="Calibri"/>
          <w:b/>
          <w:bCs/>
          <w:color w:val="000000" w:themeColor="text1"/>
          <w:sz w:val="22"/>
          <w:szCs w:val="22"/>
        </w:rPr>
        <w:t xml:space="preserve"> and Coastal</w:t>
      </w:r>
      <w:r w:rsidRPr="003A3BDE">
        <w:rPr>
          <w:rFonts w:ascii="Calibri" w:eastAsia="Century Gothic" w:hAnsi="Calibri" w:cs="Calibri"/>
          <w:b/>
          <w:bCs/>
          <w:color w:val="000000" w:themeColor="text1"/>
          <w:sz w:val="22"/>
          <w:szCs w:val="22"/>
        </w:rPr>
        <w:t xml:space="preserve"> pilots.</w:t>
      </w:r>
    </w:p>
    <w:p w:rsidR="008539A9" w:rsidRPr="003A3BDE" w:rsidP="5E85F9EA">
      <w:pPr>
        <w:rPr>
          <w:rFonts w:ascii="Calibri" w:eastAsia="Century Gothic" w:hAnsi="Calibri" w:cs="Calibri"/>
          <w:color w:val="000000" w:themeColor="text1"/>
          <w:sz w:val="22"/>
          <w:szCs w:val="22"/>
        </w:rPr>
      </w:pPr>
    </w:p>
    <w:p w:rsidR="008539A9" w:rsidRPr="003A3BDE" w:rsidP="772B9AF7">
      <w:pPr>
        <w:rPr>
          <w:rFonts w:ascii="Calibri" w:eastAsia="Century Gothic" w:hAnsi="Calibri" w:cs="Calibri"/>
          <w:b/>
          <w:bCs/>
          <w:sz w:val="22"/>
          <w:szCs w:val="22"/>
        </w:rPr>
      </w:pPr>
      <w:r w:rsidRPr="003A3BDE">
        <w:rPr>
          <w:rFonts w:ascii="Calibri" w:eastAsia="Century Gothic" w:hAnsi="Calibri" w:cs="Calibri"/>
          <w:b/>
          <w:bCs/>
          <w:sz w:val="22"/>
          <w:szCs w:val="22"/>
        </w:rPr>
        <w:t>Enrichment</w:t>
      </w:r>
    </w:p>
    <w:p w:rsidR="008539A9" w:rsidRPr="003A3BDE" w:rsidP="772B9AF7">
      <w:pPr>
        <w:spacing w:after="0" w:line="300" w:lineRule="auto"/>
        <w:rPr>
          <w:rFonts w:ascii="Calibri" w:hAnsi="Calibri" w:cs="Calibri"/>
          <w:sz w:val="22"/>
          <w:szCs w:val="22"/>
        </w:rPr>
      </w:pPr>
      <w:r w:rsidRPr="003A3BDE">
        <w:rPr>
          <w:rFonts w:ascii="Calibri" w:eastAsia="Century Gothic" w:hAnsi="Calibri" w:cs="Calibri"/>
          <w:sz w:val="22"/>
          <w:szCs w:val="22"/>
        </w:rPr>
        <w:t xml:space="preserve">The Brilliant Club welcomes the </w:t>
      </w:r>
      <w:r w:rsidRPr="003A3BDE">
        <w:rPr>
          <w:rFonts w:ascii="Calibri" w:eastAsia="Century Gothic" w:hAnsi="Calibri" w:cs="Calibri"/>
          <w:sz w:val="22"/>
          <w:szCs w:val="22"/>
        </w:rPr>
        <w:t>w</w:t>
      </w:r>
      <w:r w:rsidRPr="003A3BDE">
        <w:rPr>
          <w:rFonts w:ascii="Calibri" w:eastAsia="Century Gothic" w:hAnsi="Calibri" w:cs="Calibri"/>
          <w:sz w:val="22"/>
          <w:szCs w:val="22"/>
        </w:rPr>
        <w:t xml:space="preserve">hite </w:t>
      </w:r>
      <w:r w:rsidRPr="003A3BDE">
        <w:rPr>
          <w:rFonts w:ascii="Calibri" w:eastAsia="Century Gothic" w:hAnsi="Calibri" w:cs="Calibri"/>
          <w:sz w:val="22"/>
          <w:szCs w:val="22"/>
        </w:rPr>
        <w:t>p</w:t>
      </w:r>
      <w:r w:rsidRPr="003A3BDE">
        <w:rPr>
          <w:rFonts w:ascii="Calibri" w:eastAsia="Century Gothic" w:hAnsi="Calibri" w:cs="Calibri"/>
          <w:sz w:val="22"/>
          <w:szCs w:val="22"/>
        </w:rPr>
        <w:t xml:space="preserve">aper’s commitment to introduce an Enrichment </w:t>
      </w:r>
      <w:r w:rsidRPr="003A3BDE">
        <w:rPr>
          <w:rFonts w:ascii="Calibri" w:eastAsia="Century Gothic" w:hAnsi="Calibri" w:cs="Calibri"/>
          <w:sz w:val="22"/>
          <w:szCs w:val="22"/>
        </w:rPr>
        <w:t>Entitlement</w:t>
      </w:r>
      <w:r w:rsidRPr="003A3BDE">
        <w:rPr>
          <w:rFonts w:ascii="Calibri" w:eastAsia="Century Gothic" w:hAnsi="Calibri" w:cs="Calibri"/>
          <w:sz w:val="22"/>
          <w:szCs w:val="22"/>
        </w:rPr>
        <w:t xml:space="preserve"> and the government’s broader recognition of the value of enrichment activities</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Enrichment activities are a vital component of a young person’s development, supporting them to build confidence develop essential skills, increase their engagement with educatio</w:t>
      </w:r>
      <w:r w:rsidRPr="003A3BDE">
        <w:rPr>
          <w:rFonts w:ascii="Calibri" w:eastAsia="Century Gothic" w:hAnsi="Calibri" w:cs="Calibri"/>
          <w:sz w:val="22"/>
          <w:szCs w:val="22"/>
        </w:rPr>
        <w:t>n</w:t>
      </w:r>
      <w:r>
        <w:rPr>
          <w:rStyle w:val="FootnoteReference"/>
          <w:rFonts w:ascii="Calibri" w:eastAsia="Century Gothic" w:hAnsi="Calibri" w:cs="Calibri"/>
          <w:sz w:val="22"/>
          <w:szCs w:val="22"/>
        </w:rPr>
        <w:footnoteReference w:id="43"/>
      </w:r>
      <w:r w:rsidRPr="003A3BDE">
        <w:rPr>
          <w:rFonts w:ascii="Calibri" w:eastAsia="Century Gothic" w:hAnsi="Calibri" w:cs="Calibri"/>
          <w:sz w:val="22"/>
          <w:szCs w:val="22"/>
        </w:rPr>
        <w:t>. The</w:t>
      </w:r>
      <w:r w:rsidRPr="003A3BDE">
        <w:rPr>
          <w:rFonts w:ascii="Calibri" w:eastAsia="Century Gothic" w:hAnsi="Calibri" w:cs="Calibri"/>
          <w:sz w:val="22"/>
          <w:szCs w:val="22"/>
        </w:rPr>
        <w:t xml:space="preserve"> decline in young people's access to enrichment opportunities in school over the past decade</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has</w:t>
      </w:r>
      <w:r w:rsidRPr="003A3BDE">
        <w:rPr>
          <w:rFonts w:ascii="Calibri" w:eastAsia="Century Gothic" w:hAnsi="Calibri" w:cs="Calibri"/>
          <w:sz w:val="22"/>
          <w:szCs w:val="22"/>
        </w:rPr>
        <w:t xml:space="preserve"> disproportionately</w:t>
      </w:r>
      <w:r w:rsidRPr="003A3BDE">
        <w:rPr>
          <w:rFonts w:ascii="Calibri" w:eastAsia="Century Gothic" w:hAnsi="Calibri" w:cs="Calibri"/>
          <w:sz w:val="22"/>
          <w:szCs w:val="22"/>
        </w:rPr>
        <w:t xml:space="preserve"> affected disadvantaged young people leading to a widening ‘enrichment ga</w:t>
      </w:r>
      <w:r w:rsidRPr="003A3BDE">
        <w:rPr>
          <w:rFonts w:ascii="Calibri" w:eastAsia="Century Gothic" w:hAnsi="Calibri" w:cs="Calibri"/>
          <w:sz w:val="22"/>
          <w:szCs w:val="22"/>
        </w:rPr>
        <w:t>p’</w:t>
      </w:r>
      <w:r>
        <w:rPr>
          <w:rStyle w:val="FootnoteReference"/>
          <w:rFonts w:ascii="Calibri" w:eastAsia="Century Gothic" w:hAnsi="Calibri" w:cs="Calibri"/>
          <w:sz w:val="22"/>
          <w:szCs w:val="22"/>
        </w:rPr>
        <w:footnoteReference w:id="44"/>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Recent findings of both the</w:t>
      </w:r>
      <w:r w:rsidRPr="003A3BDE">
        <w:rPr>
          <w:rFonts w:ascii="Calibri" w:eastAsia="Century Gothic" w:hAnsi="Calibri" w:cs="Calibri"/>
          <w:sz w:val="22"/>
          <w:szCs w:val="22"/>
        </w:rPr>
        <w:t xml:space="preserve"> White </w:t>
      </w:r>
      <w:r w:rsidRPr="003A3BDE">
        <w:rPr>
          <w:rFonts w:ascii="Calibri" w:eastAsia="Century Gothic" w:hAnsi="Calibri" w:cs="Calibri"/>
          <w:sz w:val="22"/>
          <w:szCs w:val="22"/>
        </w:rPr>
        <w:t>Working Class</w:t>
      </w:r>
      <w:r w:rsidRPr="003A3BDE">
        <w:rPr>
          <w:rFonts w:ascii="Calibri" w:eastAsia="Century Gothic" w:hAnsi="Calibri" w:cs="Calibri"/>
          <w:sz w:val="22"/>
          <w:szCs w:val="22"/>
        </w:rPr>
        <w:t xml:space="preserve"> Educational Outcomes Inquiry and Milburn </w:t>
      </w:r>
      <w:r w:rsidRPr="003A3BDE">
        <w:rPr>
          <w:rFonts w:ascii="Calibri" w:eastAsia="Century Gothic" w:hAnsi="Calibri" w:cs="Calibri"/>
          <w:sz w:val="22"/>
          <w:szCs w:val="22"/>
        </w:rPr>
        <w:t>R</w:t>
      </w:r>
      <w:r w:rsidRPr="003A3BDE">
        <w:rPr>
          <w:rFonts w:ascii="Calibri" w:eastAsia="Century Gothic" w:hAnsi="Calibri" w:cs="Calibri"/>
          <w:sz w:val="22"/>
          <w:szCs w:val="22"/>
        </w:rPr>
        <w:t xml:space="preserve">eview found that engagement in enrichment is </w:t>
      </w:r>
      <w:r w:rsidRPr="003A3BDE">
        <w:rPr>
          <w:rFonts w:ascii="Calibri" w:eastAsia="Century Gothic" w:hAnsi="Calibri" w:cs="Calibri"/>
          <w:sz w:val="22"/>
          <w:szCs w:val="22"/>
        </w:rPr>
        <w:t xml:space="preserve">significantly </w:t>
      </w:r>
      <w:r w:rsidRPr="003A3BDE">
        <w:rPr>
          <w:rFonts w:ascii="Calibri" w:eastAsia="Century Gothic" w:hAnsi="Calibri" w:cs="Calibri"/>
          <w:sz w:val="22"/>
          <w:szCs w:val="22"/>
        </w:rPr>
        <w:t>lower among less advantaged familie</w:t>
      </w:r>
      <w:r w:rsidRPr="003A3BDE">
        <w:rPr>
          <w:rFonts w:ascii="Calibri" w:eastAsia="Century Gothic" w:hAnsi="Calibri" w:cs="Calibri"/>
          <w:sz w:val="22"/>
          <w:szCs w:val="22"/>
        </w:rPr>
        <w:t>s</w:t>
      </w:r>
      <w:r>
        <w:rPr>
          <w:rStyle w:val="FootnoteReference"/>
          <w:rFonts w:ascii="Calibri" w:eastAsia="Century Gothic" w:hAnsi="Calibri" w:cs="Calibri"/>
          <w:sz w:val="22"/>
          <w:szCs w:val="22"/>
        </w:rPr>
        <w:footnoteReference w:id="45"/>
      </w:r>
      <w:r w:rsidRPr="003A3BDE">
        <w:rPr>
          <w:rFonts w:ascii="Calibri" w:eastAsia="Century Gothic" w:hAnsi="Calibri" w:cs="Calibri"/>
          <w:sz w:val="22"/>
          <w:szCs w:val="22"/>
        </w:rPr>
        <w:t>, and that while enrichment is highly valued</w:t>
      </w:r>
      <w:r w:rsidRPr="003A3BDE">
        <w:rPr>
          <w:rFonts w:ascii="Calibri" w:eastAsia="Century Gothic" w:hAnsi="Calibri" w:cs="Calibri"/>
          <w:sz w:val="22"/>
          <w:szCs w:val="22"/>
        </w:rPr>
        <w:t xml:space="preserve"> by white working-class families, it is not consistently accessible through schools and colleges</w:t>
      </w:r>
      <w:r>
        <w:rPr>
          <w:rStyle w:val="FootnoteReference"/>
          <w:rFonts w:ascii="Calibri" w:eastAsia="Century Gothic" w:hAnsi="Calibri" w:cs="Calibri"/>
          <w:sz w:val="22"/>
          <w:szCs w:val="22"/>
        </w:rPr>
        <w:footnoteReference w:id="46"/>
      </w:r>
      <w:r w:rsidRPr="003A3BDE">
        <w:rPr>
          <w:rFonts w:ascii="Calibri" w:eastAsia="Century Gothic" w:hAnsi="Calibri" w:cs="Calibri"/>
          <w:sz w:val="22"/>
          <w:szCs w:val="22"/>
        </w:rPr>
        <w:t xml:space="preserve">. </w:t>
      </w:r>
    </w:p>
    <w:p w:rsidR="008539A9" w:rsidRPr="003A3BDE" w:rsidP="772B9AF7">
      <w:pPr>
        <w:spacing w:after="0" w:line="300" w:lineRule="auto"/>
        <w:rPr>
          <w:rFonts w:ascii="Calibri" w:eastAsia="Century Gothic" w:hAnsi="Calibri" w:cs="Calibri"/>
          <w:b/>
          <w:bCs/>
          <w:sz w:val="22"/>
          <w:szCs w:val="22"/>
        </w:rPr>
      </w:pPr>
    </w:p>
    <w:p w:rsidR="008539A9" w:rsidRPr="003A3BDE" w:rsidP="772B9AF7">
      <w:pPr>
        <w:spacing w:after="0" w:line="300" w:lineRule="auto"/>
        <w:rPr>
          <w:rFonts w:ascii="Calibri" w:eastAsia="Century Gothic" w:hAnsi="Calibri" w:cs="Calibri"/>
          <w:sz w:val="22"/>
          <w:szCs w:val="22"/>
        </w:rPr>
      </w:pPr>
      <w:r w:rsidRPr="003A3BDE">
        <w:rPr>
          <w:rFonts w:ascii="Calibri" w:eastAsia="Century Gothic" w:hAnsi="Calibri" w:cs="Calibri"/>
          <w:b/>
          <w:bCs/>
          <w:sz w:val="22"/>
          <w:szCs w:val="22"/>
        </w:rPr>
        <w:t xml:space="preserve">While the principle behind a universal offer is therefore welcome, sustainable, targeted </w:t>
      </w:r>
      <w:r w:rsidRPr="003A3BDE">
        <w:rPr>
          <w:rFonts w:ascii="Calibri" w:eastAsia="Century Gothic" w:hAnsi="Calibri" w:cs="Calibri"/>
          <w:b/>
          <w:bCs/>
          <w:sz w:val="22"/>
          <w:szCs w:val="22"/>
        </w:rPr>
        <w:t>funding to</w:t>
      </w:r>
      <w:r w:rsidRPr="003A3BDE">
        <w:rPr>
          <w:rFonts w:ascii="Calibri" w:eastAsia="Century Gothic" w:hAnsi="Calibri" w:cs="Calibri"/>
          <w:b/>
          <w:bCs/>
          <w:sz w:val="22"/>
          <w:szCs w:val="22"/>
        </w:rPr>
        <w:t xml:space="preserve"> support the implementation of the Enrichment Entitlement will be needed to ensure young people from the least advantaged backgrounds benefit.</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The</w:t>
      </w:r>
      <w:r w:rsidRPr="003A3BDE">
        <w:rPr>
          <w:rFonts w:ascii="Calibri" w:eastAsia="Century Gothic" w:hAnsi="Calibri" w:cs="Calibri"/>
          <w:sz w:val="22"/>
          <w:szCs w:val="22"/>
        </w:rPr>
        <w:t xml:space="preserve"> initial</w:t>
      </w:r>
      <w:r w:rsidRPr="003A3BDE">
        <w:rPr>
          <w:rFonts w:ascii="Calibri" w:eastAsia="Century Gothic" w:hAnsi="Calibri" w:cs="Calibri"/>
          <w:sz w:val="22"/>
          <w:szCs w:val="22"/>
        </w:rPr>
        <w:t xml:space="preserve"> </w:t>
      </w:r>
      <w:r w:rsidRPr="003A3BDE">
        <w:rPr>
          <w:rFonts w:ascii="Calibri" w:eastAsia="Century Gothic" w:hAnsi="Calibri" w:cs="Calibri"/>
          <w:color w:val="0B0C0C"/>
          <w:sz w:val="22"/>
          <w:szCs w:val="22"/>
        </w:rPr>
        <w:t xml:space="preserve">£132.5 million </w:t>
      </w:r>
      <w:r w:rsidRPr="003A3BDE">
        <w:rPr>
          <w:rFonts w:ascii="Calibri" w:eastAsia="Century Gothic" w:hAnsi="Calibri" w:cs="Calibri"/>
          <w:color w:val="0B0C0C"/>
          <w:sz w:val="22"/>
          <w:szCs w:val="22"/>
        </w:rPr>
        <w:t>of funding for providing</w:t>
      </w:r>
      <w:r w:rsidRPr="003A3BDE">
        <w:rPr>
          <w:rFonts w:ascii="Calibri" w:eastAsia="Century Gothic" w:hAnsi="Calibri" w:cs="Calibri"/>
          <w:color w:val="0B0C0C"/>
          <w:sz w:val="22"/>
          <w:szCs w:val="22"/>
        </w:rPr>
        <w:t xml:space="preserve"> targeted support to 700 schools </w:t>
      </w:r>
      <w:r w:rsidRPr="003A3BDE">
        <w:rPr>
          <w:rFonts w:ascii="Calibri" w:eastAsia="Century Gothic" w:hAnsi="Calibri" w:cs="Calibri"/>
          <w:color w:val="0B0C0C"/>
          <w:sz w:val="22"/>
          <w:szCs w:val="22"/>
        </w:rPr>
        <w:t xml:space="preserve">in areas serving disadvantaged communities </w:t>
      </w:r>
      <w:r w:rsidRPr="003A3BDE">
        <w:rPr>
          <w:rFonts w:ascii="Calibri" w:eastAsia="Century Gothic" w:hAnsi="Calibri" w:cs="Calibri"/>
          <w:color w:val="0B0C0C"/>
          <w:sz w:val="22"/>
          <w:szCs w:val="22"/>
        </w:rPr>
        <w:t xml:space="preserve">in the development of their enrichment offer </w:t>
      </w:r>
      <w:r w:rsidRPr="003A3BDE">
        <w:rPr>
          <w:rFonts w:ascii="Calibri" w:eastAsia="Century Gothic" w:hAnsi="Calibri" w:cs="Calibri"/>
          <w:color w:val="0B0C0C"/>
          <w:sz w:val="22"/>
          <w:szCs w:val="22"/>
        </w:rPr>
        <w:t xml:space="preserve">is significant. </w:t>
      </w:r>
      <w:r w:rsidRPr="003A3BDE">
        <w:rPr>
          <w:rFonts w:ascii="Calibri" w:eastAsia="Century Gothic" w:hAnsi="Calibri" w:cs="Calibri"/>
          <w:sz w:val="22"/>
          <w:szCs w:val="22"/>
        </w:rPr>
        <w:t xml:space="preserve">However, if the Enrichment Entitlement is to </w:t>
      </w:r>
      <w:r w:rsidRPr="003A3BDE">
        <w:rPr>
          <w:rFonts w:ascii="Calibri" w:eastAsia="Century Gothic" w:hAnsi="Calibri" w:cs="Calibri"/>
          <w:sz w:val="22"/>
          <w:szCs w:val="22"/>
        </w:rPr>
        <w:t xml:space="preserve">effectively </w:t>
      </w:r>
      <w:r w:rsidRPr="003A3BDE">
        <w:rPr>
          <w:rFonts w:ascii="Calibri" w:eastAsia="Century Gothic" w:hAnsi="Calibri" w:cs="Calibri"/>
          <w:sz w:val="22"/>
          <w:szCs w:val="22"/>
        </w:rPr>
        <w:t>narrow</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existing inequalities in access, </w:t>
      </w:r>
      <w:r w:rsidRPr="003A3BDE">
        <w:rPr>
          <w:rFonts w:ascii="Calibri" w:eastAsia="Century Gothic" w:hAnsi="Calibri" w:cs="Calibri"/>
          <w:b/>
          <w:bCs/>
          <w:sz w:val="22"/>
          <w:szCs w:val="22"/>
        </w:rPr>
        <w:t xml:space="preserve">a long-term funding settlement </w:t>
      </w:r>
      <w:r w:rsidRPr="003A3BDE">
        <w:rPr>
          <w:rFonts w:ascii="Calibri" w:eastAsia="Century Gothic" w:hAnsi="Calibri" w:cs="Calibri"/>
          <w:b/>
          <w:bCs/>
          <w:sz w:val="22"/>
          <w:szCs w:val="22"/>
        </w:rPr>
        <w:t xml:space="preserve">and </w:t>
      </w:r>
      <w:r w:rsidRPr="003A3BDE">
        <w:rPr>
          <w:rFonts w:ascii="Calibri" w:eastAsia="Century Gothic" w:hAnsi="Calibri" w:cs="Calibri"/>
          <w:b/>
          <w:bCs/>
          <w:sz w:val="22"/>
          <w:szCs w:val="22"/>
        </w:rPr>
        <w:t>robust monitoring of participation by disadvantage indicators, including socio</w:t>
      </w:r>
      <w:r w:rsidRPr="003A3BDE">
        <w:rPr>
          <w:rFonts w:ascii="Calibri" w:eastAsia="Century Gothic" w:hAnsi="Calibri" w:cs="Calibri"/>
          <w:b/>
          <w:bCs/>
          <w:sz w:val="22"/>
          <w:szCs w:val="22"/>
        </w:rPr>
        <w:t>-e</w:t>
      </w:r>
      <w:r w:rsidRPr="003A3BDE">
        <w:rPr>
          <w:rFonts w:ascii="Calibri" w:eastAsia="Century Gothic" w:hAnsi="Calibri" w:cs="Calibri"/>
          <w:b/>
          <w:bCs/>
          <w:sz w:val="22"/>
          <w:szCs w:val="22"/>
        </w:rPr>
        <w:t>conomic background, care experience and geography</w:t>
      </w:r>
      <w:r w:rsidRPr="003A3BDE">
        <w:rPr>
          <w:rFonts w:ascii="Calibri" w:eastAsia="Century Gothic" w:hAnsi="Calibri" w:cs="Calibri"/>
          <w:b/>
          <w:bCs/>
          <w:sz w:val="22"/>
          <w:szCs w:val="22"/>
        </w:rPr>
        <w:t>, will be needed</w:t>
      </w:r>
      <w:r w:rsidRPr="003A3BDE">
        <w:rPr>
          <w:rFonts w:ascii="Calibri" w:eastAsia="Century Gothic" w:hAnsi="Calibri" w:cs="Calibri"/>
          <w:b/>
          <w:bCs/>
          <w:sz w:val="22"/>
          <w:szCs w:val="22"/>
        </w:rPr>
        <w:t>.</w:t>
      </w:r>
      <w:r w:rsidRPr="003A3BDE">
        <w:rPr>
          <w:rFonts w:ascii="Calibri" w:eastAsia="Century Gothic" w:hAnsi="Calibri" w:cs="Calibri"/>
          <w:sz w:val="22"/>
          <w:szCs w:val="22"/>
        </w:rPr>
        <w:t xml:space="preserve"> This would help ensure that investment is reaching the young people and communities who currently face the greatest barriers to accessing enrichment opportunities, while enabling government to track progress towards its ambition of halving the participation gap</w:t>
      </w:r>
      <w:r w:rsidRPr="003A3BDE">
        <w:rPr>
          <w:rFonts w:ascii="Calibri" w:eastAsia="Century Gothic" w:hAnsi="Calibri" w:cs="Calibri"/>
          <w:sz w:val="22"/>
          <w:szCs w:val="22"/>
        </w:rPr>
        <w:t>.</w:t>
      </w:r>
    </w:p>
    <w:p w:rsidR="008539A9" w:rsidRPr="003A3BDE" w:rsidP="772B9AF7">
      <w:pPr>
        <w:spacing w:after="0" w:line="300" w:lineRule="auto"/>
        <w:rPr>
          <w:rFonts w:ascii="Calibri" w:eastAsia="Century Gothic" w:hAnsi="Calibri" w:cs="Calibri"/>
          <w:color w:val="0B0C0C"/>
          <w:sz w:val="22"/>
          <w:szCs w:val="22"/>
        </w:rPr>
      </w:pPr>
    </w:p>
    <w:p w:rsidR="008539A9" w:rsidRPr="003A3BDE" w:rsidP="772B9AF7">
      <w:pPr>
        <w:spacing w:after="0" w:line="300" w:lineRule="auto"/>
        <w:rPr>
          <w:rFonts w:ascii="Calibri" w:eastAsia="Century Gothic" w:hAnsi="Calibri" w:cs="Calibri"/>
          <w:b/>
          <w:bCs/>
          <w:sz w:val="22"/>
          <w:szCs w:val="22"/>
        </w:rPr>
      </w:pPr>
      <w:r w:rsidRPr="003A3BDE">
        <w:rPr>
          <w:rFonts w:ascii="Calibri" w:eastAsia="Century Gothic" w:hAnsi="Calibri" w:cs="Calibri"/>
          <w:sz w:val="22"/>
          <w:szCs w:val="22"/>
        </w:rPr>
        <w:t xml:space="preserve">The </w:t>
      </w:r>
      <w:r w:rsidRPr="003A3BDE">
        <w:rPr>
          <w:rFonts w:ascii="Calibri" w:eastAsia="Century Gothic" w:hAnsi="Calibri" w:cs="Calibri"/>
          <w:sz w:val="22"/>
          <w:szCs w:val="22"/>
        </w:rPr>
        <w:t xml:space="preserve">expectation that schools and colleges offer a broad and well-rounded offer across the five enrichment categories (civic engagement, arts and culture, nature, sport, and future skills) is welcome. Programmes like </w:t>
      </w:r>
      <w:r w:rsidRPr="003A3BDE">
        <w:rPr>
          <w:rFonts w:ascii="Calibri" w:eastAsia="Century Gothic" w:hAnsi="Calibri" w:cs="Calibri"/>
          <w:sz w:val="22"/>
          <w:szCs w:val="22"/>
        </w:rPr>
        <w:t>T</w:t>
      </w:r>
      <w:r w:rsidRPr="003A3BDE">
        <w:rPr>
          <w:rFonts w:ascii="Calibri" w:eastAsia="Century Gothic" w:hAnsi="Calibri" w:cs="Calibri"/>
          <w:sz w:val="22"/>
          <w:szCs w:val="22"/>
        </w:rPr>
        <w:t>he Scholars Pr</w:t>
      </w:r>
      <w:r w:rsidRPr="003A3BDE">
        <w:rPr>
          <w:rFonts w:ascii="Calibri" w:eastAsia="Century Gothic" w:hAnsi="Calibri" w:cs="Calibri"/>
          <w:sz w:val="22"/>
          <w:szCs w:val="22"/>
        </w:rPr>
        <w:t xml:space="preserve">ogramme offer valuable learning beyond the curriculum experiences that develop essential skills for the </w:t>
      </w:r>
      <w:r w:rsidRPr="003A3BDE">
        <w:rPr>
          <w:rFonts w:ascii="Calibri" w:eastAsia="Century Gothic" w:hAnsi="Calibri" w:cs="Calibri"/>
          <w:sz w:val="22"/>
          <w:szCs w:val="22"/>
        </w:rPr>
        <w:t>future and are proven to raise attainment.</w:t>
      </w:r>
      <w:r w:rsidRPr="003A3BDE">
        <w:rPr>
          <w:rFonts w:ascii="Calibri" w:eastAsia="Century Gothic" w:hAnsi="Calibri" w:cs="Calibri"/>
          <w:sz w:val="22"/>
          <w:szCs w:val="22"/>
        </w:rPr>
        <w:t xml:space="preserve"> Analysis using HEAT data found that pupils who participated</w:t>
      </w:r>
      <w:r w:rsidRPr="003A3BDE">
        <w:rPr>
          <w:rFonts w:ascii="Calibri" w:eastAsia="Century Gothic" w:hAnsi="Calibri" w:cs="Calibri"/>
          <w:sz w:val="22"/>
          <w:szCs w:val="22"/>
        </w:rPr>
        <w:t xml:space="preserve"> in the programme in Year 10 were 27 percentage points more likely to achieve grades 9-5 in English and maths GCSEs than pupils with </w:t>
      </w:r>
      <w:r w:rsidRPr="003A3BDE">
        <w:rPr>
          <w:rFonts w:ascii="Calibri" w:eastAsia="Century Gothic" w:hAnsi="Calibri" w:cs="Calibri"/>
          <w:sz w:val="22"/>
          <w:szCs w:val="22"/>
        </w:rPr>
        <w:t>similar prior attainment in their schools</w:t>
      </w:r>
      <w:r>
        <w:rPr>
          <w:rStyle w:val="FootnoteReference"/>
          <w:rFonts w:ascii="Calibri" w:eastAsia="Century Gothic" w:hAnsi="Calibri" w:cs="Calibri"/>
          <w:sz w:val="22"/>
          <w:szCs w:val="22"/>
        </w:rPr>
        <w:footnoteReference w:id="47"/>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 xml:space="preserve">The </w:t>
      </w:r>
      <w:r w:rsidRPr="003A3BDE">
        <w:rPr>
          <w:rFonts w:ascii="Calibri" w:eastAsia="Century Gothic" w:hAnsi="Calibri" w:cs="Calibri"/>
          <w:sz w:val="22"/>
          <w:szCs w:val="22"/>
        </w:rPr>
        <w:t xml:space="preserve">Education Endowment </w:t>
      </w:r>
      <w:r w:rsidRPr="003A3BDE">
        <w:rPr>
          <w:rFonts w:ascii="Calibri" w:eastAsia="Century Gothic" w:hAnsi="Calibri" w:cs="Calibri"/>
          <w:sz w:val="22"/>
          <w:szCs w:val="22"/>
        </w:rPr>
        <w:t>Foundation</w:t>
      </w:r>
      <w:r w:rsidRPr="003A3BDE">
        <w:rPr>
          <w:rFonts w:ascii="Calibri" w:eastAsia="Century Gothic" w:hAnsi="Calibri" w:cs="Calibri"/>
          <w:sz w:val="22"/>
          <w:szCs w:val="22"/>
        </w:rPr>
        <w:t>‘</w:t>
      </w:r>
      <w:r w:rsidRPr="003A3BDE">
        <w:rPr>
          <w:rFonts w:ascii="Calibri" w:eastAsia="Century Gothic" w:hAnsi="Calibri" w:cs="Calibri"/>
          <w:sz w:val="22"/>
          <w:szCs w:val="22"/>
        </w:rPr>
        <w:t xml:space="preserve">s </w:t>
      </w:r>
      <w:r w:rsidRPr="003A3BDE">
        <w:rPr>
          <w:rFonts w:ascii="Calibri" w:eastAsia="Century Gothic" w:hAnsi="Calibri" w:cs="Calibri"/>
          <w:sz w:val="22"/>
          <w:szCs w:val="22"/>
        </w:rPr>
        <w:t xml:space="preserve">(EEF) evaluation of Children's University, </w:t>
      </w:r>
      <w:r w:rsidRPr="003A3BDE">
        <w:rPr>
          <w:rFonts w:ascii="Calibri" w:eastAsia="Century Gothic" w:hAnsi="Calibri" w:cs="Calibri"/>
          <w:sz w:val="22"/>
          <w:szCs w:val="22"/>
        </w:rPr>
        <w:t>a</w:t>
      </w:r>
      <w:r w:rsidRPr="003A3BDE">
        <w:rPr>
          <w:rFonts w:ascii="Calibri" w:eastAsia="Century Gothic" w:hAnsi="Calibri" w:cs="Calibri"/>
          <w:sz w:val="22"/>
          <w:szCs w:val="22"/>
        </w:rPr>
        <w:t xml:space="preserve">nother </w:t>
      </w:r>
      <w:r w:rsidRPr="003A3BDE">
        <w:rPr>
          <w:rFonts w:ascii="Calibri" w:eastAsia="Century Gothic" w:hAnsi="Calibri" w:cs="Calibri"/>
          <w:sz w:val="22"/>
          <w:szCs w:val="22"/>
        </w:rPr>
        <w:t>learning beyond the curriculum programme</w:t>
      </w:r>
      <w:r w:rsidRPr="003A3BDE">
        <w:rPr>
          <w:rFonts w:ascii="Calibri" w:eastAsia="Century Gothic" w:hAnsi="Calibri" w:cs="Calibri"/>
          <w:sz w:val="22"/>
          <w:szCs w:val="22"/>
        </w:rPr>
        <w:t>, led to "about 2 months' additional progress" in both reading and maths</w:t>
      </w:r>
      <w:r>
        <w:rPr>
          <w:rStyle w:val="FootnoteReference"/>
          <w:rFonts w:ascii="Calibri" w:eastAsia="Century Gothic" w:hAnsi="Calibri" w:cs="Calibri"/>
          <w:sz w:val="22"/>
          <w:szCs w:val="22"/>
        </w:rPr>
        <w:footnoteReference w:id="48"/>
      </w:r>
      <w:r w:rsidRPr="003A3BDE">
        <w:rPr>
          <w:rFonts w:ascii="Calibri" w:eastAsia="Century Gothic" w:hAnsi="Calibri" w:cs="Calibri"/>
          <w:sz w:val="22"/>
          <w:szCs w:val="22"/>
        </w:rPr>
        <w:t xml:space="preserve">. </w:t>
      </w:r>
      <w:r w:rsidRPr="003A3BDE">
        <w:rPr>
          <w:rFonts w:ascii="Calibri" w:eastAsia="Century Gothic" w:hAnsi="Calibri" w:cs="Calibri"/>
          <w:sz w:val="22"/>
          <w:szCs w:val="22"/>
        </w:rPr>
        <w:t>I</w:t>
      </w:r>
      <w:r w:rsidRPr="003A3BDE">
        <w:rPr>
          <w:rFonts w:ascii="Calibri" w:eastAsia="Century Gothic" w:hAnsi="Calibri" w:cs="Calibri"/>
          <w:sz w:val="22"/>
          <w:szCs w:val="22"/>
        </w:rPr>
        <w:t xml:space="preserve">mprovements were also found in teamwork, social responsibility and </w:t>
      </w:r>
      <w:r w:rsidRPr="003A3BDE">
        <w:rPr>
          <w:rFonts w:ascii="Calibri" w:eastAsia="Century Gothic" w:hAnsi="Calibri" w:cs="Calibri"/>
          <w:sz w:val="22"/>
          <w:szCs w:val="22"/>
        </w:rPr>
        <w:t>aspirations. These</w:t>
      </w:r>
      <w:r w:rsidRPr="003A3BDE">
        <w:rPr>
          <w:rFonts w:ascii="Calibri" w:eastAsia="Century Gothic" w:hAnsi="Calibri" w:cs="Calibri"/>
          <w:sz w:val="22"/>
          <w:szCs w:val="22"/>
        </w:rPr>
        <w:t xml:space="preserve"> findings demonstrate</w:t>
      </w:r>
      <w:r w:rsidRPr="003A3BDE">
        <w:rPr>
          <w:rFonts w:ascii="Calibri" w:eastAsia="Century Gothic" w:hAnsi="Calibri" w:cs="Calibri"/>
          <w:sz w:val="22"/>
          <w:szCs w:val="22"/>
        </w:rPr>
        <w:t xml:space="preserve"> that enrichment is not just a ‘nice to have’ but </w:t>
      </w:r>
      <w:r w:rsidRPr="003A3BDE">
        <w:rPr>
          <w:rFonts w:ascii="Calibri" w:eastAsia="Century Gothic" w:hAnsi="Calibri" w:cs="Calibri"/>
          <w:sz w:val="22"/>
          <w:szCs w:val="22"/>
        </w:rPr>
        <w:t>essential for development and</w:t>
      </w:r>
      <w:r w:rsidRPr="003A3BDE">
        <w:rPr>
          <w:rFonts w:ascii="Calibri" w:eastAsia="Century Gothic" w:hAnsi="Calibri" w:cs="Calibri"/>
          <w:sz w:val="22"/>
          <w:szCs w:val="22"/>
        </w:rPr>
        <w:t xml:space="preserve"> can contribute directly to academic outcomes. </w:t>
      </w:r>
      <w:r w:rsidRPr="003A3BDE">
        <w:rPr>
          <w:rFonts w:ascii="Calibri" w:eastAsia="Century Gothic" w:hAnsi="Calibri" w:cs="Calibri"/>
          <w:b/>
          <w:bCs/>
          <w:sz w:val="22"/>
          <w:szCs w:val="22"/>
        </w:rPr>
        <w:t xml:space="preserve">To reflect this, </w:t>
      </w:r>
      <w:r w:rsidRPr="003A3BDE">
        <w:rPr>
          <w:rFonts w:ascii="Calibri" w:eastAsia="Century Gothic" w:hAnsi="Calibri" w:cs="Calibri"/>
          <w:b/>
          <w:bCs/>
          <w:sz w:val="22"/>
          <w:szCs w:val="22"/>
        </w:rPr>
        <w:t xml:space="preserve">the enrichment framework should embed ‘learning beyond the curriculum’ as a core component </w:t>
      </w:r>
      <w:r w:rsidRPr="003A3BDE">
        <w:rPr>
          <w:rFonts w:ascii="Calibri" w:eastAsia="Century Gothic" w:hAnsi="Calibri" w:cs="Calibri"/>
          <w:b/>
          <w:bCs/>
          <w:sz w:val="22"/>
          <w:szCs w:val="22"/>
        </w:rPr>
        <w:t>of the</w:t>
      </w:r>
      <w:r w:rsidRPr="003A3BDE">
        <w:rPr>
          <w:rFonts w:ascii="Calibri" w:eastAsia="Century Gothic" w:hAnsi="Calibri" w:cs="Calibri"/>
          <w:b/>
          <w:bCs/>
          <w:sz w:val="22"/>
          <w:szCs w:val="22"/>
        </w:rPr>
        <w:t xml:space="preserve"> enrichment entitlement. </w:t>
      </w:r>
    </w:p>
    <w:p w:rsidR="008539A9" w:rsidRPr="003A3BDE" w:rsidP="772B9AF7">
      <w:pPr>
        <w:rPr>
          <w:rFonts w:ascii="Calibri" w:eastAsia="Open Sans" w:hAnsi="Calibri" w:cs="Calibri"/>
          <w:color w:val="272726"/>
          <w:sz w:val="22"/>
          <w:szCs w:val="22"/>
        </w:rPr>
      </w:pPr>
    </w:p>
    <w:p w:rsidR="003A3BDE" w:rsidRPr="003A3BDE" w:rsidP="772B9AF7">
      <w:pPr>
        <w:rPr>
          <w:rFonts w:ascii="Calibri" w:eastAsia="Open Sans" w:hAnsi="Calibri" w:cs="Calibri"/>
          <w:i/>
          <w:iCs/>
          <w:color w:val="272726"/>
          <w:sz w:val="22"/>
          <w:szCs w:val="22"/>
        </w:rPr>
      </w:pPr>
      <w:r w:rsidRPr="003A3BDE">
        <w:rPr>
          <w:rFonts w:ascii="Calibri" w:eastAsia="Open Sans" w:hAnsi="Calibri" w:cs="Calibri"/>
          <w:i/>
          <w:iCs/>
          <w:color w:val="272726"/>
          <w:sz w:val="22"/>
          <w:szCs w:val="22"/>
        </w:rPr>
        <w:t>September 2026</w:t>
      </w: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D034B">
      <w:pPr>
        <w:spacing w:after="0" w:line="240" w:lineRule="auto"/>
      </w:pPr>
      <w:r>
        <w:separator/>
      </w:r>
    </w:p>
  </w:footnote>
  <w:footnote w:type="continuationSeparator" w:id="1">
    <w:p w:rsidR="008D034B">
      <w:pPr>
        <w:spacing w:after="0" w:line="240" w:lineRule="auto"/>
      </w:pPr>
      <w:r>
        <w:continuationSeparator/>
      </w:r>
    </w:p>
  </w:footnote>
  <w:footnote w:id="2">
    <w:p w:rsidR="008D034B" w:rsidP="772B9AF7">
      <w:pPr>
        <w:pStyle w:val="FootnoteText"/>
        <w:rPr>
          <w:rFonts w:ascii="Century Gothic" w:eastAsia="Century Gothic" w:hAnsi="Century Gothic" w:cs="Century Gothic"/>
          <w:sz w:val="16"/>
          <w:szCs w:val="16"/>
        </w:rPr>
      </w:pPr>
      <w:r w:rsidRPr="772B9AF7">
        <w:rPr>
          <w:rStyle w:val="FootnoteReference"/>
        </w:rPr>
        <w:footnoteRef/>
      </w:r>
      <w:r>
        <w:t xml:space="preserve"> </w:t>
      </w:r>
      <w:r w:rsidRPr="772B9AF7">
        <w:rPr>
          <w:rFonts w:ascii="Century Gothic" w:eastAsia="Century Gothic" w:hAnsi="Century Gothic" w:cs="Century Gothic"/>
        </w:rPr>
        <w:t>EPI (2026) Annual Report</w:t>
      </w:r>
    </w:p>
  </w:footnote>
  <w:footnote w:id="3">
    <w:p w:rsidR="008D034B" w:rsidP="249EAC47">
      <w:pPr>
        <w:pStyle w:val="FootnoteText"/>
        <w:rPr>
          <w:rFonts w:ascii="Century Gothic" w:eastAsia="Century Gothic" w:hAnsi="Century Gothic" w:cs="Century Gothic"/>
          <w:sz w:val="16"/>
          <w:szCs w:val="16"/>
        </w:rPr>
      </w:pPr>
      <w:r w:rsidRPr="249EAC47">
        <w:rPr>
          <w:rStyle w:val="FootnoteReference"/>
          <w:rFonts w:ascii="Century Gothic" w:eastAsia="Century Gothic" w:hAnsi="Century Gothic" w:cs="Century Gothic"/>
        </w:rPr>
        <w:footnoteRef/>
      </w:r>
      <w:r w:rsidRPr="249EAC47">
        <w:rPr>
          <w:rFonts w:ascii="Century Gothic" w:eastAsia="Century Gothic" w:hAnsi="Century Gothic" w:cs="Century Gothic"/>
        </w:rPr>
        <w:t xml:space="preserve"> EPI (2026) Annual Report </w:t>
      </w:r>
    </w:p>
  </w:footnote>
  <w:footnote w:id="4">
    <w:p w:rsidR="008D034B" w:rsidP="249EAC47">
      <w:pPr>
        <w:pStyle w:val="FootnoteText"/>
        <w:spacing w:line="300" w:lineRule="auto"/>
      </w:pPr>
      <w:r w:rsidRPr="249EAC47">
        <w:rPr>
          <w:rStyle w:val="FootnoteReference"/>
        </w:rPr>
        <w:footnoteRef/>
      </w:r>
      <w:r>
        <w:t xml:space="preserve"> </w:t>
      </w:r>
      <w:r w:rsidRPr="249EAC47">
        <w:rPr>
          <w:rFonts w:ascii="Segoe UI" w:eastAsia="Segoe UI" w:hAnsi="Segoe UI" w:cs="Segoe UI"/>
          <w:sz w:val="21"/>
          <w:szCs w:val="21"/>
        </w:rPr>
        <w:t xml:space="preserve">The </w:t>
      </w:r>
      <w:r w:rsidRPr="249EAC47">
        <w:rPr>
          <w:rFonts w:ascii="Segoe UI" w:eastAsia="Segoe UI" w:hAnsi="Segoe UI" w:cs="Segoe UI"/>
          <w:b/>
          <w:bCs/>
          <w:sz w:val="21"/>
          <w:szCs w:val="21"/>
        </w:rPr>
        <w:t>Education Policy Institute (EPI)</w:t>
      </w:r>
      <w:r w:rsidRPr="249EAC47">
        <w:rPr>
          <w:rFonts w:ascii="Segoe UI" w:eastAsia="Segoe UI" w:hAnsi="Segoe UI" w:cs="Segoe UI"/>
          <w:sz w:val="21"/>
          <w:szCs w:val="21"/>
        </w:rPr>
        <w:t xml:space="preserve"> generally defines </w:t>
      </w:r>
      <w:r w:rsidRPr="249EAC47">
        <w:rPr>
          <w:rFonts w:ascii="Segoe UI" w:eastAsia="Segoe UI" w:hAnsi="Segoe UI" w:cs="Segoe UI"/>
          <w:b/>
          <w:bCs/>
          <w:sz w:val="21"/>
          <w:szCs w:val="21"/>
        </w:rPr>
        <w:t>persistently disadvantaged pupils</w:t>
      </w:r>
      <w:r w:rsidRPr="249EAC47">
        <w:rPr>
          <w:rFonts w:ascii="Segoe UI" w:eastAsia="Segoe UI" w:hAnsi="Segoe UI" w:cs="Segoe UI"/>
          <w:sz w:val="21"/>
          <w:szCs w:val="21"/>
        </w:rPr>
        <w:t xml:space="preserve"> as those who have been </w:t>
      </w:r>
      <w:r w:rsidRPr="249EAC47">
        <w:rPr>
          <w:rFonts w:ascii="Segoe UI" w:eastAsia="Segoe UI" w:hAnsi="Segoe UI" w:cs="Segoe UI"/>
          <w:b/>
          <w:bCs/>
          <w:sz w:val="21"/>
          <w:szCs w:val="21"/>
        </w:rPr>
        <w:t>eligible for free school meals (FSM) for at least 80% of their time in school</w:t>
      </w:r>
      <w:r w:rsidRPr="249EAC47">
        <w:rPr>
          <w:rFonts w:ascii="Segoe UI" w:eastAsia="Segoe UI" w:hAnsi="Segoe UI" w:cs="Segoe UI"/>
          <w:sz w:val="21"/>
          <w:szCs w:val="21"/>
        </w:rPr>
        <w:t xml:space="preserve">. This measure is intended to identify children experiencing </w:t>
      </w:r>
      <w:r w:rsidRPr="249EAC47">
        <w:rPr>
          <w:rFonts w:ascii="Segoe UI" w:eastAsia="Segoe UI" w:hAnsi="Segoe UI" w:cs="Segoe UI"/>
          <w:b/>
          <w:bCs/>
          <w:sz w:val="21"/>
          <w:szCs w:val="21"/>
        </w:rPr>
        <w:t>long-term poverty</w:t>
      </w:r>
      <w:r w:rsidRPr="249EAC47">
        <w:rPr>
          <w:rFonts w:ascii="Segoe UI" w:eastAsia="Segoe UI" w:hAnsi="Segoe UI" w:cs="Segoe UI"/>
          <w:sz w:val="21"/>
          <w:szCs w:val="21"/>
        </w:rPr>
        <w:t>, rather than those who have experienced only a short period of disadvantage.</w:t>
      </w:r>
    </w:p>
    <w:p w:rsidR="008D034B" w:rsidP="249EAC47">
      <w:pPr>
        <w:pStyle w:val="FootnoteText"/>
      </w:pPr>
    </w:p>
  </w:footnote>
  <w:footnote w:id="5">
    <w:p w:rsidR="008D034B" w:rsidP="772B9AF7">
      <w:pPr>
        <w:pStyle w:val="FootnoteText"/>
        <w:rPr>
          <w:rFonts w:ascii="Century Gothic" w:eastAsia="Century Gothic" w:hAnsi="Century Gothic" w:cs="Century Gothic"/>
          <w:sz w:val="16"/>
          <w:szCs w:val="16"/>
        </w:rPr>
      </w:pPr>
      <w:r w:rsidRPr="772B9AF7">
        <w:rPr>
          <w:rStyle w:val="FootnoteReference"/>
        </w:rPr>
        <w:footnoteRef/>
      </w:r>
      <w:r>
        <w:t xml:space="preserve"> </w:t>
      </w:r>
      <w:r w:rsidRPr="772B9AF7">
        <w:rPr>
          <w:rFonts w:ascii="Century Gothic" w:eastAsia="Century Gothic" w:hAnsi="Century Gothic" w:cs="Century Gothic"/>
        </w:rPr>
        <w:t>EPI (2026) Annual Report</w:t>
      </w:r>
    </w:p>
  </w:footnote>
  <w:footnote w:id="6">
    <w:p w:rsidR="008D034B" w:rsidP="772B9AF7">
      <w:pPr>
        <w:pStyle w:val="FootnoteText"/>
      </w:pPr>
      <w:r w:rsidRPr="772B9AF7">
        <w:rPr>
          <w:rStyle w:val="FootnoteReference"/>
        </w:rPr>
        <w:footnoteRef/>
      </w:r>
      <w:r>
        <w:t xml:space="preserve"> </w:t>
      </w:r>
      <w:r>
        <w:t>Committee of Public Accounts (2025) improving educational outcomes for disadvantaged children</w:t>
      </w:r>
    </w:p>
  </w:footnote>
  <w:footnote w:id="7">
    <w:p w:rsidR="008D034B" w:rsidP="772B9AF7">
      <w:pPr>
        <w:pStyle w:val="FootnoteText"/>
      </w:pPr>
      <w:r w:rsidRPr="772B9AF7">
        <w:rPr>
          <w:rStyle w:val="FootnoteReference"/>
        </w:rPr>
        <w:footnoteRef/>
      </w:r>
      <w:r>
        <w:t xml:space="preserve"> Im</w:t>
      </w:r>
      <w:r w:rsidRPr="772B9AF7">
        <w:rPr>
          <w:rFonts w:ascii="Century Gothic" w:eastAsia="Century Gothic" w:hAnsi="Century Gothic" w:cs="Century Gothic"/>
        </w:rPr>
        <w:t>petus (2019) Youth Jobs Gap</w:t>
      </w:r>
    </w:p>
    <w:p w:rsidR="008D034B" w:rsidP="772B9AF7">
      <w:pPr>
        <w:pStyle w:val="FootnoteText"/>
      </w:pPr>
    </w:p>
  </w:footnote>
  <w:footnote w:id="8">
    <w:p w:rsidR="008D034B" w:rsidP="772B9AF7">
      <w:pPr>
        <w:pStyle w:val="FootnoteText"/>
        <w:rPr>
          <w:rFonts w:ascii="Century Gothic" w:eastAsia="Century Gothic" w:hAnsi="Century Gothic" w:cs="Century Gothic"/>
          <w:sz w:val="16"/>
          <w:szCs w:val="16"/>
        </w:rPr>
      </w:pPr>
      <w:r w:rsidRPr="772B9AF7">
        <w:rPr>
          <w:rStyle w:val="FootnoteReference"/>
        </w:rPr>
        <w:footnoteRef/>
      </w:r>
      <w:r>
        <w:t xml:space="preserve"> </w:t>
      </w:r>
      <w:r w:rsidRPr="772B9AF7">
        <w:rPr>
          <w:rFonts w:ascii="Century Gothic" w:eastAsia="Century Gothic" w:hAnsi="Century Gothic" w:cs="Century Gothic"/>
          <w:sz w:val="16"/>
          <w:szCs w:val="16"/>
        </w:rPr>
        <w:t>Department for Education (2024), Widening Participation in Higher Education: 2024</w:t>
      </w:r>
    </w:p>
  </w:footnote>
  <w:footnote w:id="9">
    <w:p w:rsidR="008D034B" w:rsidP="249EAC47">
      <w:pPr>
        <w:pStyle w:val="FootnoteText"/>
      </w:pPr>
      <w:r w:rsidRPr="249EAC47">
        <w:rPr>
          <w:rStyle w:val="FootnoteReference"/>
        </w:rPr>
        <w:footnoteRef/>
      </w:r>
      <w:r>
        <w:t xml:space="preserve"> </w:t>
      </w:r>
      <w:r w:rsidRPr="249EAC47">
        <w:t>DfE (2025), Widening participation in higher education</w:t>
      </w:r>
    </w:p>
  </w:footnote>
  <w:footnote w:id="10">
    <w:p w:rsidR="008D034B" w:rsidP="249EAC47">
      <w:pPr>
        <w:pStyle w:val="FootnoteText"/>
      </w:pPr>
      <w:r w:rsidRPr="249EAC47">
        <w:rPr>
          <w:rStyle w:val="FootnoteReference"/>
        </w:rPr>
        <w:footnoteRef/>
      </w:r>
      <w:r>
        <w:t xml:space="preserve"> </w:t>
      </w:r>
      <w:r w:rsidRPr="249EAC47">
        <w:rPr>
          <w:rFonts w:ascii="Century Gothic" w:eastAsia="Century Gothic" w:hAnsi="Century Gothic" w:cs="Century Gothic"/>
          <w:color w:val="000000" w:themeColor="text1"/>
          <w:sz w:val="24"/>
          <w:szCs w:val="24"/>
        </w:rPr>
        <w:t>TASO (</w:t>
      </w:r>
      <w:r w:rsidRPr="249EAC47">
        <w:rPr>
          <w:rFonts w:ascii="Century Gothic" w:eastAsia="Century Gothic" w:hAnsi="Century Gothic" w:cs="Century Gothic"/>
          <w:color w:val="000000" w:themeColor="text1"/>
          <w:sz w:val="24"/>
          <w:szCs w:val="24"/>
        </w:rPr>
        <w:t>2023)The</w:t>
      </w:r>
      <w:r w:rsidRPr="249EAC47">
        <w:rPr>
          <w:rFonts w:ascii="Century Gothic" w:eastAsia="Century Gothic" w:hAnsi="Century Gothic" w:cs="Century Gothic"/>
          <w:color w:val="000000" w:themeColor="text1"/>
          <w:sz w:val="24"/>
          <w:szCs w:val="24"/>
        </w:rPr>
        <w:t xml:space="preserve"> Value of HE</w:t>
      </w:r>
    </w:p>
  </w:footnote>
  <w:footnote w:id="11">
    <w:p w:rsidR="008D034B" w:rsidP="249EAC47">
      <w:pPr>
        <w:pStyle w:val="FootnoteText"/>
      </w:pPr>
      <w:r w:rsidRPr="249EAC47">
        <w:rPr>
          <w:rStyle w:val="FootnoteReference"/>
        </w:rPr>
        <w:footnoteRef/>
      </w:r>
      <w:r>
        <w:t xml:space="preserve"> Universities UK (2025) </w:t>
      </w:r>
      <w:r>
        <w:fldChar w:fldCharType="begin"/>
      </w:r>
      <w:r>
        <w:instrText xml:space="preserve"> HYPERLINK "https://www.universitiesuk.ac.uk/latest/news/new-analysis-shows-students-who-choose" </w:instrText>
      </w:r>
      <w:r>
        <w:fldChar w:fldCharType="separate"/>
      </w:r>
      <w:r w:rsidRPr="249EAC47">
        <w:rPr>
          <w:rStyle w:val="Hyperlink"/>
        </w:rPr>
        <w:t>New analysis shows students who choose to learn more, earn more</w:t>
      </w:r>
      <w:r>
        <w:fldChar w:fldCharType="end"/>
      </w:r>
    </w:p>
  </w:footnote>
  <w:footnote w:id="12">
    <w:p w:rsidR="008D034B" w:rsidP="1F6BA04A">
      <w:pPr>
        <w:pStyle w:val="FootnoteText"/>
      </w:pPr>
      <w:r w:rsidRPr="1F6BA04A">
        <w:rPr>
          <w:rStyle w:val="FootnoteReference"/>
        </w:rPr>
        <w:footnoteRef/>
      </w:r>
      <w:r>
        <w:t xml:space="preserve"> DWP (2026) Milburn Review Interim Findings </w:t>
      </w:r>
    </w:p>
    <w:p w:rsidR="008D034B" w:rsidP="1F6BA04A">
      <w:pPr>
        <w:pStyle w:val="FootnoteText"/>
      </w:pPr>
    </w:p>
  </w:footnote>
  <w:footnote w:id="13">
    <w:p w:rsidR="008D034B" w:rsidP="1F6BA04A">
      <w:pPr>
        <w:pStyle w:val="FootnoteText"/>
      </w:pPr>
      <w:r w:rsidRPr="1F6BA04A">
        <w:rPr>
          <w:rStyle w:val="FootnoteReference"/>
        </w:rPr>
        <w:footnoteRef/>
      </w:r>
      <w:r>
        <w:t xml:space="preserve"> </w:t>
      </w:r>
      <w:r w:rsidRPr="1F6BA04A">
        <w:t>Department for Education. (2017). School funding and review and regression analysis. https://assets.publishing.service. gov.uk/mamedia/5a81dcc940f0 b62305b91348/School_funding</w:t>
      </w:r>
    </w:p>
  </w:footnote>
  <w:footnote w:id="14">
    <w:p w:rsidR="008D034B" w:rsidP="5E85F9EA">
      <w:pPr>
        <w:pStyle w:val="FootnoteText"/>
      </w:pPr>
      <w:r w:rsidRPr="5E85F9EA">
        <w:rPr>
          <w:rStyle w:val="FootnoteReference"/>
        </w:rPr>
        <w:footnoteRef/>
      </w:r>
      <w:r>
        <w:t xml:space="preserve"> </w:t>
      </w:r>
      <w:r w:rsidRPr="5E85F9EA">
        <w:t>National Audit Office (2015), Funding for disadvantaged pupils</w:t>
      </w:r>
    </w:p>
  </w:footnote>
  <w:footnote w:id="15">
    <w:p w:rsidR="008D034B" w:rsidP="5E85F9EA">
      <w:pPr>
        <w:pStyle w:val="FootnoteText"/>
      </w:pPr>
      <w:r w:rsidRPr="5E85F9EA">
        <w:rPr>
          <w:rStyle w:val="FootnoteReference"/>
        </w:rPr>
        <w:footnoteRef/>
      </w:r>
      <w:r>
        <w:t xml:space="preserve"> </w:t>
      </w:r>
      <w:r w:rsidRPr="5E85F9EA">
        <w:t>Education Policy Institute (2024), Annual Report 2024: Disadvantage</w:t>
      </w:r>
    </w:p>
  </w:footnote>
  <w:footnote w:id="16">
    <w:p w:rsidR="008D034B" w:rsidP="1F6BA04A">
      <w:pPr>
        <w:pStyle w:val="FootnoteText"/>
      </w:pPr>
      <w:r w:rsidRPr="1F6BA04A">
        <w:rPr>
          <w:rStyle w:val="FootnoteReference"/>
        </w:rPr>
        <w:footnoteRef/>
      </w:r>
      <w:r>
        <w:t xml:space="preserve"> </w:t>
      </w:r>
      <w:r w:rsidRPr="1F6BA04A">
        <w:t>Drayton, E., Farquharson, C., Ogden, K., Sibieta, L., Tahir, I., &amp; Waltmann, B. (2023). Annual report on education spending in England: 2023. Institute for Fiscal Studies. https://ifs.org. uk/sites/default/files/2023-12/ IFS-Annual-report-on-education spending-in-England-2023-new. pdf</w:t>
      </w:r>
    </w:p>
  </w:footnote>
  <w:footnote w:id="17">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"https://thebrilliantclub.org/wp-content/uploads/2026/07/Our-Future-Our-Way-2025-26-Impact-Report-External.pdf" </w:instrText>
      </w:r>
      <w:r>
        <w:fldChar w:fldCharType="separate"/>
      </w:r>
      <w:r w:rsidRPr="5E85F9EA">
        <w:rPr>
          <w:rStyle w:val="Hyperlink"/>
        </w:rPr>
        <w:t>Our-Future-Our-Way-2025-26-Impact-Report-External.pdf</w:t>
      </w:r>
      <w:r>
        <w:fldChar w:fldCharType="end"/>
      </w:r>
    </w:p>
  </w:footnote>
  <w:footnote w:id="18">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"https://thebrilliantclub.org/wp-content/uploads/2026/07/Our-Future-Our-Way-2025-26-Impact-Report-External.pdf" </w:instrText>
      </w:r>
      <w:r>
        <w:fldChar w:fldCharType="separate"/>
      </w:r>
      <w:r w:rsidRPr="5E85F9EA">
        <w:rPr>
          <w:rStyle w:val="Hyperlink"/>
        </w:rPr>
        <w:t>Our-Future-Our-Way-2025-26-Impact-Report-External.pdf</w:t>
      </w:r>
      <w:r>
        <w:fldChar w:fldCharType="end"/>
      </w:r>
    </w:p>
  </w:footnote>
  <w:footnote w:id="19">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"https://thebrilliantclub.org/wp-content/uploads/2026/07/Our-Future-Our-Way-2025-26-Impact-Report-External.pdf" </w:instrText>
      </w:r>
      <w:r>
        <w:fldChar w:fldCharType="separate"/>
      </w:r>
      <w:r w:rsidRPr="5E85F9EA">
        <w:rPr>
          <w:rStyle w:val="Hyperlink"/>
        </w:rPr>
        <w:t>Our-Future-Our-Way-2025-26-Impact-Report-External.pdf</w:t>
      </w:r>
      <w:r>
        <w:fldChar w:fldCharType="end"/>
      </w:r>
    </w:p>
  </w:footnote>
  <w:footnote w:id="20">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"https://thebrilliantclub.org/wp-content/uploads/2026/07/Our-Future-Our-Way-2025-26-Impact-Report-External.pdf" </w:instrText>
      </w:r>
      <w:r>
        <w:fldChar w:fldCharType="separate"/>
      </w:r>
      <w:r w:rsidRPr="5E85F9EA">
        <w:rPr>
          <w:rStyle w:val="Hyperlink"/>
        </w:rPr>
        <w:t>Our-Future-Our-Way-2025-26-Impact-Report-External.pdf</w:t>
      </w:r>
      <w:r>
        <w:fldChar w:fldCharType="end"/>
      </w:r>
    </w:p>
  </w:footnote>
  <w:footnote w:id="21">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"https://thebrilliantclub.org/wp-content/uploads/2026/07/Our-Future-Our-Way-2025-26-Impact-Report-External.pdf" </w:instrText>
      </w:r>
      <w:r>
        <w:fldChar w:fldCharType="separate"/>
      </w:r>
      <w:r w:rsidRPr="5E85F9EA">
        <w:rPr>
          <w:rStyle w:val="Hyperlink"/>
        </w:rPr>
        <w:t>Our-Future-Our-Way-2025-26-Impact-Report-External.pdf</w:t>
      </w:r>
      <w:r>
        <w:fldChar w:fldCharType="end"/>
      </w:r>
    </w:p>
  </w:footnote>
  <w:footnote w:id="22">
    <w:p w:rsidR="008D034B" w:rsidP="5E85F9EA">
      <w:pPr>
        <w:pStyle w:val="FootnoteText"/>
        <w:spacing w:line="300" w:lineRule="auto"/>
      </w:pPr>
      <w:r w:rsidRPr="5E85F9EA">
        <w:rPr>
          <w:rStyle w:val="FootnoteReference"/>
        </w:rPr>
        <w:footnoteRef/>
      </w:r>
      <w:r>
        <w:t xml:space="preserve"> U</w:t>
      </w:r>
      <w:r w:rsidRPr="5E85F9EA">
        <w:rPr>
          <w:rFonts w:ascii="Segoe UI" w:eastAsia="Segoe UI" w:hAnsi="Segoe UI" w:cs="Segoe UI"/>
          <w:sz w:val="21"/>
          <w:szCs w:val="21"/>
        </w:rPr>
        <w:t xml:space="preserve">niversity of Oxford, </w:t>
      </w:r>
      <w:r w:rsidRPr="5E85F9EA">
        <w:rPr>
          <w:rFonts w:ascii="Segoe UI" w:eastAsia="Segoe UI" w:hAnsi="Segoe UI" w:cs="Segoe UI"/>
          <w:i/>
          <w:iCs/>
          <w:sz w:val="21"/>
          <w:szCs w:val="21"/>
        </w:rPr>
        <w:t>Pathways into and through higher education for young people with experience of children’s social care</w:t>
      </w:r>
      <w:r w:rsidRPr="5E85F9EA">
        <w:rPr>
          <w:rFonts w:ascii="Segoe UI" w:eastAsia="Segoe UI" w:hAnsi="Segoe UI" w:cs="Segoe UI"/>
          <w:sz w:val="21"/>
          <w:szCs w:val="21"/>
        </w:rPr>
        <w:t xml:space="preserve"> (2025)</w:t>
      </w:r>
    </w:p>
    <w:p w:rsidR="008D034B" w:rsidP="5E85F9EA">
      <w:pPr>
        <w:pStyle w:val="FootnoteText"/>
      </w:pPr>
    </w:p>
  </w:footnote>
  <w:footnote w:id="23">
    <w:p w:rsidR="008D034B" w:rsidP="772B9AF7">
      <w:pPr>
        <w:pStyle w:val="FootnoteText"/>
      </w:pPr>
      <w:r w:rsidRPr="772B9AF7">
        <w:rPr>
          <w:rStyle w:val="FootnoteReference"/>
        </w:rPr>
        <w:footnoteRef/>
      </w:r>
      <w:r>
        <w:t xml:space="preserve"> </w:t>
      </w:r>
      <w:r>
        <w:fldChar w:fldCharType="begin"/>
      </w:r>
      <w:r>
        <w:instrText xml:space="preserve"> HYPERLINK "https://educationendowmentfoundation.org.uk/projects-and-evaluation/accelerator-fund-2022-23" </w:instrText>
      </w:r>
      <w:r>
        <w:fldChar w:fldCharType="separate"/>
      </w:r>
      <w:r w:rsidRPr="772B9AF7">
        <w:rPr>
          <w:rStyle w:val="Hyperlink"/>
        </w:rPr>
        <w:t>Accelerator Fund | EEF</w:t>
      </w:r>
      <w:r>
        <w:fldChar w:fldCharType="end"/>
      </w:r>
    </w:p>
  </w:footnote>
  <w:footnote w:id="24">
    <w:p w:rsidR="008D034B" w:rsidP="5E85F9EA">
      <w:pPr>
        <w:pStyle w:val="FootnoteText"/>
        <w:rPr>
          <w:rFonts w:ascii="Century Gothic" w:eastAsia="Century Gothic" w:hAnsi="Century Gothic" w:cs="Century Gothic"/>
          <w:sz w:val="16"/>
          <w:szCs w:val="16"/>
        </w:rPr>
      </w:pPr>
      <w:r w:rsidRPr="5E85F9EA">
        <w:rPr>
          <w:rStyle w:val="FootnoteReference"/>
        </w:rPr>
        <w:footnoteRef/>
      </w:r>
      <w:r>
        <w:t xml:space="preserve"> </w:t>
      </w:r>
      <w:r w:rsidRPr="5E85F9EA">
        <w:rPr>
          <w:rFonts w:ascii="Century Gothic" w:eastAsia="Century Gothic" w:hAnsi="Century Gothic" w:cs="Century Gothic"/>
        </w:rPr>
        <w:t>EPI (2026) Annual Report</w:t>
      </w:r>
    </w:p>
  </w:footnote>
  <w:footnote w:id="25">
    <w:p w:rsidR="008D034B" w:rsidP="5E85F9EA">
      <w:pPr>
        <w:pStyle w:val="FootnoteText"/>
        <w:rPr>
          <w:rFonts w:ascii="Century Gothic" w:eastAsia="Century Gothic" w:hAnsi="Century Gothic" w:cs="Century Gothic"/>
          <w:sz w:val="16"/>
          <w:szCs w:val="16"/>
        </w:rPr>
      </w:pPr>
      <w:r w:rsidRPr="5E85F9EA">
        <w:rPr>
          <w:rStyle w:val="FootnoteReference"/>
        </w:rPr>
        <w:footnoteRef/>
      </w:r>
      <w:r>
        <w:t xml:space="preserve"> </w:t>
      </w:r>
      <w:r w:rsidRPr="5E85F9EA">
        <w:rPr>
          <w:rFonts w:ascii="Century Gothic" w:eastAsia="Century Gothic" w:hAnsi="Century Gothic" w:cs="Century Gothic"/>
        </w:rPr>
        <w:t>EPI (2026) Annual Report</w:t>
      </w:r>
    </w:p>
  </w:footnote>
  <w:footnote w:id="26">
    <w:p w:rsidR="008D034B" w:rsidP="5E85F9EA">
      <w:pPr>
        <w:pStyle w:val="FootnoteText"/>
        <w:rPr>
          <w:rFonts w:ascii="Century Gothic" w:eastAsia="Century Gothic" w:hAnsi="Century Gothic" w:cs="Century Gothic"/>
          <w:sz w:val="16"/>
          <w:szCs w:val="16"/>
        </w:rPr>
      </w:pPr>
      <w:r w:rsidRPr="5E85F9EA">
        <w:rPr>
          <w:rStyle w:val="FootnoteReference"/>
          <w:rFonts w:ascii="Century Gothic" w:eastAsia="Century Gothic" w:hAnsi="Century Gothic" w:cs="Century Gothic"/>
        </w:rPr>
        <w:footnoteRef/>
      </w:r>
      <w:r w:rsidRPr="5E85F9EA">
        <w:rPr>
          <w:rFonts w:ascii="Century Gothic" w:eastAsia="Century Gothic" w:hAnsi="Century Gothic" w:cs="Century Gothic"/>
        </w:rPr>
        <w:t xml:space="preserve"> EPI (2026) Annual Report</w:t>
      </w:r>
    </w:p>
  </w:footnote>
  <w:footnote w:id="27">
    <w:p w:rsidR="008D034B" w:rsidP="5E85F9EA">
      <w:pPr>
        <w:pStyle w:val="FootnoteText"/>
        <w:rPr>
          <w:rFonts w:ascii="Century Gothic" w:eastAsia="Century Gothic" w:hAnsi="Century Gothic" w:cs="Century Gothic"/>
          <w:sz w:val="16"/>
          <w:szCs w:val="16"/>
        </w:rPr>
      </w:pPr>
      <w:r w:rsidRPr="5E85F9EA">
        <w:rPr>
          <w:rStyle w:val="FootnoteReference"/>
          <w:rFonts w:ascii="Century Gothic" w:eastAsia="Century Gothic" w:hAnsi="Century Gothic" w:cs="Century Gothic"/>
        </w:rPr>
        <w:footnoteRef/>
      </w:r>
      <w:r w:rsidRPr="5E85F9EA">
        <w:rPr>
          <w:rFonts w:ascii="Century Gothic" w:eastAsia="Century Gothic" w:hAnsi="Century Gothic" w:cs="Century Gothic"/>
        </w:rPr>
        <w:t xml:space="preserve"> EPI (2026) Annual Report</w:t>
      </w:r>
    </w:p>
  </w:footnote>
  <w:footnote w:id="28">
    <w:p w:rsidR="008D034B" w:rsidP="5E85F9EA">
      <w:pPr>
        <w:pStyle w:val="FootnoteText"/>
      </w:pPr>
      <w:r w:rsidRPr="5E85F9EA">
        <w:rPr>
          <w:rStyle w:val="FootnoteReference"/>
        </w:rPr>
        <w:footnoteRef/>
      </w:r>
      <w:r>
        <w:t xml:space="preserve"> </w:t>
      </w:r>
      <w:r w:rsidRPr="5E85F9EA">
        <w:t>Sam Tuckett et al (2021), Measuring the Disadvantage Gap in 16-19 Education</w:t>
      </w:r>
    </w:p>
  </w:footnote>
  <w:footnote w:id="29">
    <w:p w:rsidR="008D034B" w:rsidP="772B9AF7">
      <w:pPr>
        <w:pStyle w:val="FootnoteText"/>
      </w:pPr>
      <w:r w:rsidRPr="772B9AF7">
        <w:rPr>
          <w:rStyle w:val="FootnoteReference"/>
        </w:rPr>
        <w:footnoteRef/>
      </w:r>
      <w:r>
        <w:t xml:space="preserve"> </w:t>
      </w:r>
      <w:r w:rsidRPr="772B9AF7">
        <w:t>: EPI (2024), Closing the Forgotten Gap: Implementing a 16-19 Student Premium</w:t>
      </w:r>
    </w:p>
  </w:footnote>
  <w:footnote w:id="30">
    <w:p w:rsidR="008D034B" w:rsidP="5E85F9EA">
      <w:pPr>
        <w:pStyle w:val="FootnoteText"/>
        <w:spacing w:line="300" w:lineRule="auto"/>
      </w:pPr>
      <w:r w:rsidRPr="5E85F9EA">
        <w:rPr>
          <w:rStyle w:val="FootnoteReference"/>
        </w:rPr>
        <w:footnoteRef/>
      </w:r>
      <w:r>
        <w:t xml:space="preserve"> </w:t>
      </w:r>
      <w:r w:rsidRPr="5E85F9EA">
        <w:rPr>
          <w:rFonts w:ascii="Segoe UI" w:eastAsia="Segoe UI" w:hAnsi="Segoe UI" w:cs="Segoe UI"/>
          <w:sz w:val="21"/>
          <w:szCs w:val="21"/>
        </w:rPr>
        <w:t xml:space="preserve">The Brilliant Club. (2025). </w:t>
      </w:r>
      <w:r w:rsidRPr="5E85F9EA">
        <w:rPr>
          <w:rFonts w:ascii="Segoe UI" w:eastAsia="Segoe UI" w:hAnsi="Segoe UI" w:cs="Segoe UI"/>
          <w:i/>
          <w:iCs/>
          <w:sz w:val="21"/>
          <w:szCs w:val="21"/>
        </w:rPr>
        <w:t>Annual Impact Report 2024/25</w:t>
      </w:r>
      <w:r w:rsidRPr="5E85F9EA">
        <w:rPr>
          <w:rFonts w:ascii="Segoe UI" w:eastAsia="Segoe UI" w:hAnsi="Segoe UI" w:cs="Segoe UI"/>
          <w:sz w:val="21"/>
          <w:szCs w:val="21"/>
        </w:rPr>
        <w:t>.</w:t>
      </w:r>
    </w:p>
  </w:footnote>
  <w:footnote w:id="31">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"https://thebrilliantclub.org/wp-content/uploads/2026/06/Backing-Brilliance-2026-29.pdf" </w:instrText>
      </w:r>
      <w:r>
        <w:fldChar w:fldCharType="separate"/>
      </w:r>
      <w:r w:rsidRPr="5E85F9EA">
        <w:rPr>
          <w:rStyle w:val="Hyperlink"/>
          <w:color w:val="467886"/>
        </w:rPr>
        <w:t>Backing-Brilliance-2026-29.pdf</w:t>
      </w:r>
      <w:r>
        <w:fldChar w:fldCharType="end"/>
      </w:r>
    </w:p>
  </w:footnote>
  <w:footnote w:id="32">
    <w:p w:rsidR="008D034B" w:rsidP="5E85F9EA">
      <w:pPr>
        <w:pStyle w:val="FootnoteText"/>
      </w:pPr>
      <w:r w:rsidRPr="5E85F9EA">
        <w:rPr>
          <w:rStyle w:val="FootnoteReference"/>
          <w:rFonts w:ascii="Century Gothic" w:eastAsia="Century Gothic" w:hAnsi="Century Gothic" w:cs="Century Gothic"/>
        </w:rPr>
        <w:footnoteRef/>
      </w:r>
      <w:r w:rsidRPr="5E85F9EA">
        <w:rPr>
          <w:rFonts w:ascii="Century Gothic" w:eastAsia="Century Gothic" w:hAnsi="Century Gothic" w:cs="Century Gothic"/>
        </w:rPr>
        <w:t xml:space="preserve"> Impetus (2019) Youth Jobs Gap</w:t>
      </w:r>
    </w:p>
  </w:footnote>
  <w:footnote w:id="33">
    <w:p w:rsidR="008D034B" w:rsidP="772B9AF7">
      <w:pPr>
        <w:pStyle w:val="FootnoteText"/>
      </w:pPr>
      <w:r w:rsidRPr="772B9AF7">
        <w:rPr>
          <w:rStyle w:val="FootnoteReference"/>
          <w:rFonts w:ascii="Century Gothic" w:eastAsia="Century Gothic" w:hAnsi="Century Gothic" w:cs="Century Gothic"/>
        </w:rPr>
        <w:footnoteRef/>
      </w:r>
      <w:r w:rsidRPr="772B9AF7">
        <w:rPr>
          <w:rFonts w:ascii="Century Gothic" w:eastAsia="Century Gothic" w:hAnsi="Century Gothic" w:cs="Century Gothic"/>
        </w:rPr>
        <w:t xml:space="preserve"> Impetus (2026) Closing the Youth Jobs Gap</w:t>
      </w:r>
    </w:p>
  </w:footnote>
  <w:footnote w:id="34">
    <w:p w:rsidR="008D034B" w:rsidP="1F6BA04A">
      <w:pPr>
        <w:pStyle w:val="FootnoteText"/>
      </w:pPr>
      <w:r w:rsidRPr="1F6BA04A">
        <w:rPr>
          <w:rStyle w:val="FootnoteReference"/>
        </w:rPr>
        <w:footnoteRef/>
      </w:r>
      <w:r>
        <w:t xml:space="preserve"> of children in state school </w:t>
      </w:r>
    </w:p>
  </w:footnote>
  <w:footnote w:id="35">
    <w:p w:rsidR="008D034B" w:rsidP="1F6BA04A">
      <w:pPr>
        <w:pStyle w:val="FootnoteText"/>
      </w:pPr>
      <w:r w:rsidRPr="1F6BA04A">
        <w:rPr>
          <w:rStyle w:val="FootnoteReference"/>
        </w:rPr>
        <w:footnoteRef/>
      </w:r>
      <w:r>
        <w:t xml:space="preserve"> </w:t>
      </w:r>
      <w:r>
        <w:fldChar w:fldCharType="begin"/>
      </w:r>
      <w:r>
        <w:instrText xml:space="preserve"> HYPERLINK "https://thebrilliantclub.org/news/poll-results-parents-attitudes-towards-university/" </w:instrText>
      </w:r>
      <w:r>
        <w:fldChar w:fldCharType="separate"/>
      </w:r>
      <w:r w:rsidRPr="1F6BA04A">
        <w:rPr>
          <w:rStyle w:val="Hyperlink"/>
        </w:rPr>
        <w:t>Poll results: Parents' attitudes towards university - The Brilliant Club</w:t>
      </w:r>
      <w:r>
        <w:fldChar w:fldCharType="end"/>
      </w:r>
    </w:p>
  </w:footnote>
  <w:footnote w:id="36">
    <w:p w:rsidR="008D034B" w:rsidP="5E85F9EA">
      <w:pPr>
        <w:pStyle w:val="FootnoteText"/>
      </w:pPr>
      <w:r w:rsidRPr="5E85F9EA">
        <w:rPr>
          <w:rStyle w:val="FootnoteReference"/>
        </w:rPr>
        <w:footnoteRef/>
      </w:r>
      <w:r>
        <w:t xml:space="preserve"> Public First (2026) Inquiry into Whie Working Class Educational Outcomes Findings </w:t>
      </w:r>
    </w:p>
  </w:footnote>
  <w:footnote w:id="37">
    <w:p w:rsidR="008D034B" w:rsidP="5E85F9EA">
      <w:pPr>
        <w:pStyle w:val="FootnoteText"/>
      </w:pPr>
      <w:r w:rsidRPr="5E85F9EA">
        <w:rPr>
          <w:rStyle w:val="FootnoteReference"/>
        </w:rPr>
        <w:footnoteRef/>
      </w:r>
      <w:r>
        <w:t xml:space="preserve"> </w:t>
      </w:r>
      <w:r>
        <w:fldChar w:fldCharType="begin"/>
      </w:r>
      <w:r>
        <w:instrText xml:space="preserve"> HYPERLINK "https://ifs.org.uk/publications/education-inequalities" </w:instrText>
      </w:r>
      <w:r>
        <w:fldChar w:fldCharType="separate"/>
      </w:r>
      <w:r w:rsidRPr="5E85F9EA">
        <w:rPr>
          <w:rStyle w:val="Hyperlink"/>
        </w:rPr>
        <w:t>Education inequalities | Institute for Fiscal Studies</w:t>
      </w:r>
      <w:r>
        <w:fldChar w:fldCharType="end"/>
      </w:r>
    </w:p>
  </w:footnote>
  <w:footnote w:id="38">
    <w:p w:rsidR="008D034B" w:rsidP="1F6BA04A">
      <w:pPr>
        <w:pStyle w:val="FootnoteText"/>
      </w:pPr>
      <w:r w:rsidRPr="1F6BA04A">
        <w:rPr>
          <w:rStyle w:val="FootnoteReference"/>
        </w:rPr>
        <w:footnoteRef/>
      </w:r>
      <w:r>
        <w:t xml:space="preserve"> </w:t>
      </w:r>
      <w:r>
        <w:fldChar w:fldCharType="begin"/>
      </w:r>
      <w:r>
        <w:instrText xml:space="preserve"> HYPERLINK "https://socialmobility.independent-commission.uk/publication/the-role-of-families-in-the-educational-outcomes-of-children-and-young-people/" </w:instrText>
      </w:r>
      <w:r>
        <w:fldChar w:fldCharType="separate"/>
      </w:r>
      <w:r w:rsidRPr="1F6BA04A">
        <w:rPr>
          <w:rStyle w:val="Hyperlink"/>
        </w:rPr>
        <w:t>The Role of Families in the Educational Outcomes of Children and Young People – The Social Mobility Commission</w:t>
      </w:r>
      <w:r>
        <w:fldChar w:fldCharType="end"/>
      </w:r>
      <w:r w:rsidRPr="1F6BA04A">
        <w:rPr>
          <w:rFonts w:ascii="Century Gothic" w:eastAsia="Century Gothic" w:hAnsi="Century Gothic" w:cs="Century Gothic"/>
          <w:color w:val="000000" w:themeColor="text1"/>
          <w:sz w:val="24"/>
          <w:szCs w:val="24"/>
        </w:rPr>
        <w:t>.</w:t>
      </w:r>
    </w:p>
  </w:footnote>
  <w:footnote w:id="39">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"https://thebrilliantclub.org/wp-content/uploads/2026/06/Backing-Brilliance-2026-29.pdf" </w:instrText>
      </w:r>
      <w:r>
        <w:fldChar w:fldCharType="separate"/>
      </w:r>
      <w:r w:rsidRPr="5E85F9EA">
        <w:rPr>
          <w:rStyle w:val="Hyperlink"/>
        </w:rPr>
        <w:t>Backing-Brilliance-2026-29.pdf</w:t>
      </w:r>
      <w:r>
        <w:fldChar w:fldCharType="end"/>
      </w:r>
    </w:p>
  </w:footnote>
  <w:footnote w:id="40">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"https://thebrilliantclub.org/wp-content/uploads/2026/06/Backing-Brilliance-2026-29.pdf" </w:instrText>
      </w:r>
      <w:r>
        <w:fldChar w:fldCharType="separate"/>
      </w:r>
      <w:r w:rsidRPr="5E85F9EA">
        <w:rPr>
          <w:rStyle w:val="Hyperlink"/>
        </w:rPr>
        <w:t>Backing-Brilliance-2026-29.pdf</w:t>
      </w:r>
      <w:r>
        <w:fldChar w:fldCharType="end"/>
      </w:r>
    </w:p>
  </w:footnote>
  <w:footnote w:id="41">
    <w:p w:rsidR="008D034B" w:rsidP="5E85F9EA">
      <w:pPr>
        <w:pStyle w:val="FootnoteText"/>
      </w:pPr>
      <w:r w:rsidRPr="5E85F9EA">
        <w:rPr>
          <w:rStyle w:val="FootnoteReference"/>
        </w:rPr>
        <w:footnoteRef/>
      </w:r>
      <w:r>
        <w:t xml:space="preserve"> </w:t>
      </w:r>
      <w:r>
        <w:fldChar w:fldCharType="begin"/>
      </w:r>
      <w:r>
        <w:instrText xml:space="preserve"> HYPERLINK "https://thebrilliantclub.org/wp-content/uploads/2026/06/Backing-Brilliance-2026-29.pdf" </w:instrText>
      </w:r>
      <w:r>
        <w:fldChar w:fldCharType="separate"/>
      </w:r>
      <w:r w:rsidRPr="5E85F9EA">
        <w:rPr>
          <w:rStyle w:val="Hyperlink"/>
        </w:rPr>
        <w:t>Backing-Brilliance-2026-29.pdf</w:t>
      </w:r>
      <w:r>
        <w:fldChar w:fldCharType="end"/>
      </w:r>
    </w:p>
    <w:p w:rsidR="008D034B" w:rsidP="5E85F9EA">
      <w:pPr>
        <w:pStyle w:val="FootnoteText"/>
      </w:pPr>
    </w:p>
  </w:footnote>
  <w:footnote w:id="42">
    <w:p w:rsidR="008D034B" w:rsidP="5E85F9EA">
      <w:pPr>
        <w:pStyle w:val="FootnoteText"/>
      </w:pPr>
      <w:r w:rsidRPr="5E85F9EA">
        <w:rPr>
          <w:rStyle w:val="FootnoteReference"/>
        </w:rPr>
        <w:footnoteRef/>
      </w:r>
      <w:r>
        <w:t xml:space="preserve"> Public First (2026) Inquiry into Whie Working Class Educational Outcomes Findings</w:t>
      </w:r>
    </w:p>
  </w:footnote>
  <w:footnote w:id="43">
    <w:p w:rsidR="008D034B" w:rsidP="772B9AF7">
      <w:pPr>
        <w:pStyle w:val="FootnoteText"/>
      </w:pPr>
      <w:r w:rsidRPr="772B9AF7">
        <w:rPr>
          <w:rStyle w:val="FootnoteReference"/>
        </w:rPr>
        <w:footnoteRef/>
      </w:r>
      <w:r>
        <w:t xml:space="preserve"> </w:t>
      </w:r>
      <w:r w:rsidRPr="772B9AF7">
        <w:rPr>
          <w:rFonts w:ascii="Segoe UI" w:eastAsia="Segoe UI" w:hAnsi="Segoe UI" w:cs="Segoe UI"/>
          <w:sz w:val="21"/>
          <w:szCs w:val="21"/>
        </w:rPr>
        <w:t>Education and Enrichment (CfEY &amp; UK Youth, 2024)</w:t>
      </w:r>
    </w:p>
  </w:footnote>
  <w:footnote w:id="44">
    <w:p w:rsidR="008D034B" w:rsidP="772B9AF7">
      <w:pPr>
        <w:pStyle w:val="FootnoteText"/>
      </w:pPr>
      <w:r w:rsidRPr="772B9AF7">
        <w:rPr>
          <w:rStyle w:val="FootnoteReference"/>
        </w:rPr>
        <w:footnoteRef/>
      </w:r>
      <w:r>
        <w:t xml:space="preserve"> </w:t>
      </w:r>
      <w:r w:rsidRPr="772B9AF7">
        <w:rPr>
          <w:rFonts w:ascii="Segoe UI" w:eastAsia="Segoe UI" w:hAnsi="Segoe UI" w:cs="Segoe UI"/>
          <w:sz w:val="21"/>
          <w:szCs w:val="21"/>
        </w:rPr>
        <w:t>Valuing Enrichment (Association of Colleges, NCFE &amp; University of Derby, 2024)</w:t>
      </w:r>
    </w:p>
  </w:footnote>
  <w:footnote w:id="45">
    <w:p w:rsidR="008D034B" w:rsidP="772B9AF7">
      <w:pPr>
        <w:pStyle w:val="FootnoteText"/>
      </w:pPr>
      <w:r w:rsidRPr="772B9AF7">
        <w:rPr>
          <w:rStyle w:val="FootnoteReference"/>
        </w:rPr>
        <w:footnoteRef/>
      </w:r>
      <w:r>
        <w:t xml:space="preserve"> DWP (2026) Milburn Review Interim Findings</w:t>
      </w:r>
    </w:p>
  </w:footnote>
  <w:footnote w:id="46">
    <w:p w:rsidR="008D034B" w:rsidP="772B9AF7">
      <w:pPr>
        <w:pStyle w:val="FootnoteText"/>
      </w:pPr>
      <w:r w:rsidRPr="772B9AF7">
        <w:rPr>
          <w:rStyle w:val="FootnoteReference"/>
        </w:rPr>
        <w:footnoteRef/>
      </w:r>
      <w:r>
        <w:t xml:space="preserve"> </w:t>
      </w:r>
      <w:r>
        <w:t>Public First (2026) Inquiry into Whie Working Class Educational Outcomes Findings</w:t>
      </w:r>
    </w:p>
    <w:p w:rsidR="008D034B" w:rsidP="772B9AF7">
      <w:pPr>
        <w:pStyle w:val="FootnoteText"/>
      </w:pPr>
    </w:p>
  </w:footnote>
  <w:footnote w:id="47">
    <w:p w:rsidR="008D034B" w:rsidP="772B9AF7">
      <w:pPr>
        <w:pStyle w:val="FootnoteText"/>
        <w:spacing w:line="300" w:lineRule="auto"/>
        <w:rPr>
          <w:rFonts w:ascii="Segoe UI" w:eastAsia="Segoe UI" w:hAnsi="Segoe UI" w:cs="Segoe UI"/>
          <w:sz w:val="21"/>
          <w:szCs w:val="21"/>
        </w:rPr>
      </w:pPr>
      <w:r w:rsidRPr="772B9AF7">
        <w:rPr>
          <w:rStyle w:val="FootnoteReference"/>
        </w:rPr>
        <w:footnoteRef/>
      </w:r>
      <w:r>
        <w:t xml:space="preserve"> </w:t>
      </w:r>
      <w:r w:rsidRPr="772B9AF7">
        <w:rPr>
          <w:rFonts w:ascii="Segoe UI" w:eastAsia="Segoe UI" w:hAnsi="Segoe UI" w:cs="Segoe UI"/>
          <w:sz w:val="21"/>
          <w:szCs w:val="21"/>
        </w:rPr>
        <w:t xml:space="preserve">The Brilliant Club (2025) </w:t>
      </w:r>
      <w:r w:rsidRPr="772B9AF7">
        <w:rPr>
          <w:rFonts w:ascii="Segoe UI" w:eastAsia="Segoe UI" w:hAnsi="Segoe UI" w:cs="Segoe UI"/>
          <w:i/>
          <w:iCs/>
          <w:sz w:val="21"/>
          <w:szCs w:val="21"/>
        </w:rPr>
        <w:t>The Scholars Programme: HEAT Evaluation Update (January 2025) - 2023 GCSE Attainment Outcomes</w:t>
      </w:r>
      <w:r w:rsidRPr="772B9AF7">
        <w:rPr>
          <w:rFonts w:ascii="Segoe UI" w:eastAsia="Segoe UI" w:hAnsi="Segoe UI" w:cs="Segoe UI"/>
          <w:sz w:val="21"/>
          <w:szCs w:val="21"/>
        </w:rPr>
        <w:t xml:space="preserve">. Available at: </w:t>
      </w:r>
      <w:r>
        <w:fldChar w:fldCharType="begin"/>
      </w:r>
      <w:r>
        <w:instrText xml:space="preserve"> HYPERLINK "https://thebrilliantclub.org/wp-content/uploads/2025/01/HEAT-2023-GCSEs.pdf" </w:instrText>
      </w:r>
      <w:r>
        <w:fldChar w:fldCharType="separate"/>
      </w:r>
      <w:r w:rsidRPr="772B9AF7">
        <w:rPr>
          <w:rStyle w:val="Hyperlink"/>
        </w:rPr>
        <w:t>https://thebrilliantclub.org/wp-content/uploads/2025/01/HEAT-2023-GCSEs.pdf</w:t>
      </w:r>
      <w:r>
        <w:fldChar w:fldCharType="end"/>
      </w:r>
    </w:p>
    <w:p w:rsidR="008D034B" w:rsidP="772B9AF7">
      <w:pPr>
        <w:pStyle w:val="FootnoteText"/>
      </w:pPr>
    </w:p>
  </w:footnote>
  <w:footnote w:id="48">
    <w:p w:rsidR="008D034B" w:rsidP="772B9AF7">
      <w:pPr>
        <w:pStyle w:val="FootnoteText"/>
        <w:rPr>
          <w:rFonts w:ascii="Century Gothic" w:eastAsia="Century Gothic" w:hAnsi="Century Gothic" w:cs="Century Gothic"/>
          <w:b/>
          <w:bCs/>
          <w:sz w:val="24"/>
          <w:szCs w:val="24"/>
        </w:rPr>
      </w:pPr>
      <w:r w:rsidRPr="772B9AF7">
        <w:rPr>
          <w:rStyle w:val="FootnoteReference"/>
        </w:rPr>
        <w:footnoteRef/>
      </w:r>
      <w:r>
        <w:t xml:space="preserve"> </w:t>
      </w:r>
      <w:r w:rsidRPr="772B9AF7">
        <w:rPr>
          <w:rFonts w:ascii="Century Gothic" w:eastAsia="Century Gothic" w:hAnsi="Century Gothic" w:cs="Century Gothic"/>
          <w:sz w:val="24"/>
          <w:szCs w:val="24"/>
        </w:rPr>
        <w:t xml:space="preserve">The </w:t>
      </w:r>
      <w:r w:rsidRPr="772B9AF7">
        <w:rPr>
          <w:rFonts w:ascii="Century Gothic" w:eastAsia="Century Gothic" w:hAnsi="Century Gothic" w:cs="Century Gothic"/>
          <w:sz w:val="24"/>
          <w:szCs w:val="24"/>
        </w:rPr>
        <w:t xml:space="preserve">Education Endowment </w:t>
      </w:r>
      <w:r w:rsidRPr="772B9AF7">
        <w:rPr>
          <w:rFonts w:ascii="Century Gothic" w:eastAsia="Century Gothic" w:hAnsi="Century Gothic" w:cs="Century Gothic"/>
          <w:sz w:val="24"/>
          <w:szCs w:val="24"/>
        </w:rPr>
        <w:t>Foundation‘</w:t>
      </w:r>
      <w:r w:rsidRPr="772B9AF7">
        <w:rPr>
          <w:rFonts w:ascii="Century Gothic" w:eastAsia="Century Gothic" w:hAnsi="Century Gothic" w:cs="Century Gothic"/>
          <w:sz w:val="24"/>
          <w:szCs w:val="24"/>
        </w:rPr>
        <w:t>s (EEF) evaluation of Children's University, another learning beyond the curriculum programme, led to "about 2 months' additional progress" in both reading and maths.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8F7921"/>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4FEBA2F"/>
    <w:multiLevelType w:val="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5A9529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C7507AB"/>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10962C29"/>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1200F6CA"/>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13B3BE2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1682F49E"/>
    <w:multiLevelType w:val="hybridMultilevel"/>
    <w:tmpl w:val="0000000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F2F7493"/>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24303B5D"/>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2A1F2AB9"/>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2F99B6CF"/>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17193F5"/>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BC01EF3"/>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3B5B1E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4BBA823C"/>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4DCC5B59"/>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4EA30C96"/>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54933D12"/>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559256AE"/>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574F12DF"/>
    <w:multiLevelType w:val="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F4EE1E1"/>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62E8F2DD"/>
    <w:multiLevelType w:val="hybridMultilevel"/>
    <w:tmpl w:val="00000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2786D1E"/>
    <w:multiLevelType w:val="hybridMultilevel"/>
    <w:tmpl w:val="000000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C108305"/>
    <w:multiLevelType w:val="hybridMultilevel"/>
    <w:tmpl w:val="0000000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6"/>
  </w:num>
  <w:num w:numId="3">
    <w:abstractNumId w:val="0"/>
  </w:num>
  <w:num w:numId="4">
    <w:abstractNumId w:val="4"/>
  </w:num>
  <w:num w:numId="5">
    <w:abstractNumId w:val="8"/>
  </w:num>
  <w:num w:numId="6">
    <w:abstractNumId w:val="23"/>
  </w:num>
  <w:num w:numId="7">
    <w:abstractNumId w:val="24"/>
  </w:num>
  <w:num w:numId="8">
    <w:abstractNumId w:val="13"/>
  </w:num>
  <w:num w:numId="9">
    <w:abstractNumId w:val="14"/>
  </w:num>
  <w:num w:numId="10">
    <w:abstractNumId w:val="9"/>
  </w:num>
  <w:num w:numId="11">
    <w:abstractNumId w:val="11"/>
  </w:num>
  <w:num w:numId="12">
    <w:abstractNumId w:val="7"/>
  </w:num>
  <w:num w:numId="13">
    <w:abstractNumId w:val="12"/>
  </w:num>
  <w:num w:numId="14">
    <w:abstractNumId w:val="22"/>
  </w:num>
  <w:num w:numId="15">
    <w:abstractNumId w:val="1"/>
  </w:num>
  <w:num w:numId="16">
    <w:abstractNumId w:val="20"/>
  </w:num>
  <w:num w:numId="17">
    <w:abstractNumId w:val="10"/>
  </w:num>
  <w:num w:numId="18">
    <w:abstractNumId w:val="16"/>
  </w:num>
  <w:num w:numId="19">
    <w:abstractNumId w:val="3"/>
  </w:num>
  <w:num w:numId="20">
    <w:abstractNumId w:val="15"/>
  </w:num>
  <w:num w:numId="21">
    <w:abstractNumId w:val="5"/>
  </w:num>
  <w:num w:numId="22">
    <w:abstractNumId w:val="21"/>
  </w:num>
  <w:num w:numId="23">
    <w:abstractNumId w:val="18"/>
  </w:num>
  <w:num w:numId="24">
    <w:abstractNumId w:val="17"/>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2">
    <w:name w:val="heading 2"/>
    <w:basedOn w:val="Normal"/>
    <w:next w:val="Normal"/>
    <w:uiPriority w:val="9"/>
    <w:unhideWhenUsed/>
    <w:qFormat/>
    <w:rsid w:val="249EA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49EAC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49EAC47"/>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rsid w:val="249EAC47"/>
    <w:pPr>
      <w:ind w:left="720"/>
      <w:contextualSpacing/>
    </w:pPr>
  </w:style>
  <w:style w:type="paragraph" w:styleId="FootnoteText">
    <w:name w:val="footnote text"/>
    <w:basedOn w:val="Normal"/>
    <w:uiPriority w:val="99"/>
    <w:semiHidden/>
    <w:unhideWhenUsed/>
    <w:rsid w:val="249EAC47"/>
    <w:pPr>
      <w:spacing w:after="0" w:line="240" w:lineRule="auto"/>
    </w:pPr>
    <w:rPr>
      <w:sz w:val="20"/>
      <w:szCs w:val="20"/>
    </w:rPr>
  </w:style>
  <w:style w:type="character" w:styleId="FootnoteReference">
    <w:name w:val="footnote reference"/>
    <w:basedOn w:val="DefaultParagraphFont"/>
    <w:uiPriority w:val="99"/>
    <w:semiHidden/>
    <w:unhideWhenUsed/>
    <w:rsid w:val="249EAC47"/>
    <w:rPr>
      <w:vertAlign w:val="superscript"/>
    </w:rPr>
  </w:style>
  <w:style w:type="paragraph" w:styleId="EndnoteText">
    <w:name w:val="endnote text"/>
    <w:basedOn w:val="Normal"/>
    <w:uiPriority w:val="99"/>
    <w:semiHidden/>
    <w:unhideWhenUsed/>
    <w:rsid w:val="772B9AF7"/>
    <w:pPr>
      <w:spacing w:after="0" w:line="240" w:lineRule="auto"/>
    </w:pPr>
    <w:rPr>
      <w:sz w:val="20"/>
      <w:szCs w:val="20"/>
    </w:rPr>
  </w:style>
  <w:style w:type="character" w:styleId="EndnoteReference">
    <w:name w:val="endnote reference"/>
    <w:basedOn w:val="DefaultParagraphFont"/>
    <w:uiPriority w:val="99"/>
    <w:semiHidden/>
    <w:unhideWhenUsed/>
    <w:rsid w:val="772B9A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D623F10F51E84690BBDE2E3921ABDB" ma:contentTypeVersion="19" ma:contentTypeDescription="Create a new document." ma:contentTypeScope="" ma:versionID="09e2c2f1d645750126130a4b85008b1f">
  <xsd:schema xmlns:xsd="http://www.w3.org/2001/XMLSchema" xmlns:xs="http://www.w3.org/2001/XMLSchema" xmlns:p="http://schemas.microsoft.com/office/2006/metadata/properties" xmlns:ns2="f166458b-6929-445d-98e7-28d2351ccfc2" xmlns:ns3="97fb6314-a812-4f1c-b1a7-f048ab595fe3" targetNamespace="http://schemas.microsoft.com/office/2006/metadata/properties" ma:root="true" ma:fieldsID="083a442e74a946d222379dd27068cf17" ns2:_="" ns3:_="">
    <xsd:import namespace="f166458b-6929-445d-98e7-28d2351ccfc2"/>
    <xsd:import namespace="97fb6314-a812-4f1c-b1a7-f048ab595f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6458b-6929-445d-98e7-28d2351cc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b0cd0a-b1ba-4ac5-86fe-f621f9e6b13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b6314-a812-4f1c-b1a7-f048ab595f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bc916e-1a68-4396-b780-da6a27b65dff}" ma:internalName="TaxCatchAll" ma:showField="CatchAllData" ma:web="97fb6314-a812-4f1c-b1a7-f048ab595f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7fb6314-a812-4f1c-b1a7-f048ab595fe3" xsi:nil="true"/>
    <lcf76f155ced4ddcb4097134ff3c332f xmlns="f166458b-6929-445d-98e7-28d2351ccf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51AF02-7169-48AE-B99F-D14B613BFA0C}">
  <ds:schemaRefs>
    <ds:schemaRef ds:uri="http://schemas.microsoft.com/sharepoint/v3/contenttype/forms"/>
  </ds:schemaRefs>
</ds:datastoreItem>
</file>

<file path=customXml/itemProps2.xml><?xml version="1.0" encoding="utf-8"?>
<ds:datastoreItem xmlns:ds="http://schemas.openxmlformats.org/officeDocument/2006/customXml" ds:itemID="{03D53E5A-8EE9-4C49-8B4A-74944CECA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6458b-6929-445d-98e7-28d2351ccfc2"/>
    <ds:schemaRef ds:uri="97fb6314-a812-4f1c-b1a7-f048ab595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DC3F3-6280-478D-BCAB-E311A705F740}">
  <ds:schemaRefs>
    <ds:schemaRef ds:uri="http://schemas.microsoft.com/office/2006/metadata/properties"/>
    <ds:schemaRef ds:uri="http://schemas.microsoft.com/office/infopath/2007/PartnerControls"/>
    <ds:schemaRef ds:uri="97fb6314-a812-4f1c-b1a7-f048ab595fe3"/>
    <ds:schemaRef ds:uri="f166458b-6929-445d-98e7-28d2351ccfc2"/>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ECA0135</dc:title>
  <cp:revision>0</cp:revision>
</cp:coreProperties>
</file>