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557E" w:rsidRPr="00D050E8" w:rsidP="00D050E8">
      <w:pPr>
        <w:pStyle w:val="Heading1"/>
        <w:keepNext w:val="0"/>
        <w:keepLines w:val="0"/>
        <w:spacing w:before="480"/>
        <w:jc w:val="center"/>
        <w:rPr>
          <w:rFonts w:ascii="Calibri" w:eastAsia="Times New Roman" w:hAnsi="Calibri" w:cs="Calibri"/>
          <w:b/>
          <w:bCs/>
          <w:sz w:val="22"/>
          <w:szCs w:val="22"/>
        </w:rPr>
      </w:pPr>
      <w:bookmarkStart w:id="0" w:name="_z2q21xvua4mp" w:colFirst="0" w:colLast="0"/>
      <w:bookmarkEnd w:id="0"/>
      <w:r w:rsidRPr="00D050E8">
        <w:rPr>
          <w:rFonts w:ascii="Calibri" w:eastAsia="Times New Roman" w:hAnsi="Calibri" w:cs="Calibri"/>
          <w:b/>
          <w:bCs/>
          <w:sz w:val="22"/>
          <w:szCs w:val="22"/>
        </w:rPr>
        <w:t>Written evidence</w:t>
      </w:r>
      <w:r w:rsidRPr="00D050E8" w:rsidR="00D050E8">
        <w:rPr>
          <w:rFonts w:ascii="Calibri" w:eastAsia="Times New Roman" w:hAnsi="Calibri" w:cs="Calibri"/>
          <w:b/>
          <w:bCs/>
          <w:sz w:val="22"/>
          <w:szCs w:val="22"/>
        </w:rPr>
        <w:t xml:space="preserve"> </w:t>
      </w:r>
      <w:r w:rsidRPr="00D050E8">
        <w:rPr>
          <w:rFonts w:ascii="Calibri" w:eastAsia="Times New Roman" w:hAnsi="Calibri" w:cs="Calibri"/>
          <w:b/>
          <w:bCs/>
          <w:sz w:val="22"/>
          <w:szCs w:val="22"/>
        </w:rPr>
        <w:t>by Dr Heather Ellis</w:t>
      </w:r>
      <w:r w:rsidRPr="00D050E8" w:rsidR="00D050E8">
        <w:rPr>
          <w:rFonts w:ascii="Calibri" w:eastAsia="Times New Roman" w:hAnsi="Calibri" w:cs="Calibri"/>
          <w:b/>
          <w:bCs/>
          <w:sz w:val="22"/>
          <w:szCs w:val="22"/>
        </w:rPr>
        <w:t xml:space="preserve"> (</w:t>
      </w:r>
      <w:r w:rsidRPr="00D050E8" w:rsidR="00D050E8">
        <w:rPr>
          <w:rFonts w:ascii="Calibri" w:eastAsia="Times New Roman" w:hAnsi="Calibri" w:cs="Calibri"/>
          <w:b/>
          <w:bCs/>
          <w:sz w:val="22"/>
          <w:szCs w:val="22"/>
        </w:rPr>
        <w:t>ECA0134</w:t>
      </w:r>
      <w:r w:rsidRPr="00D050E8" w:rsidR="00D050E8">
        <w:rPr>
          <w:rFonts w:ascii="Calibri" w:eastAsia="Times New Roman" w:hAnsi="Calibri" w:cs="Calibri"/>
          <w:b/>
          <w:bCs/>
          <w:sz w:val="22"/>
          <w:szCs w:val="22"/>
        </w:rPr>
        <w:t>)</w:t>
      </w:r>
    </w:p>
    <w:p w:rsidR="007B557E" w:rsidRPr="00D050E8">
      <w:pPr>
        <w:pStyle w:val="Heading3"/>
        <w:keepNext w:val="0"/>
        <w:keepLines w:val="0"/>
        <w:spacing w:before="280"/>
        <w:rPr>
          <w:rFonts w:ascii="Calibri" w:eastAsia="Times New Roman" w:hAnsi="Calibri" w:cs="Calibri"/>
          <w:b/>
          <w:bCs/>
          <w:color w:val="000000"/>
          <w:sz w:val="22"/>
          <w:szCs w:val="22"/>
        </w:rPr>
      </w:pPr>
      <w:bookmarkStart w:id="1" w:name="_e6da0wifggy1" w:colFirst="0" w:colLast="0"/>
      <w:bookmarkEnd w:id="1"/>
      <w:r w:rsidRPr="00D050E8">
        <w:rPr>
          <w:rFonts w:ascii="Calibri" w:eastAsia="Times New Roman" w:hAnsi="Calibri" w:cs="Calibri"/>
          <w:b/>
          <w:bCs/>
          <w:color w:val="000000"/>
          <w:sz w:val="22"/>
          <w:szCs w:val="22"/>
        </w:rPr>
        <w:t>Education Committee</w:t>
      </w:r>
    </w:p>
    <w:p w:rsidR="00D050E8" w:rsidRPr="00D050E8" w:rsidP="00D050E8">
      <w:pPr>
        <w:pStyle w:val="Normal1"/>
        <w:rPr>
          <w:rFonts w:ascii="Calibri" w:hAnsi="Calibri" w:cs="Calibri"/>
          <w:b/>
          <w:bCs/>
        </w:rPr>
      </w:pPr>
      <w:r w:rsidRPr="00D050E8">
        <w:rPr>
          <w:rFonts w:ascii="Calibri" w:hAnsi="Calibri" w:cs="Calibri"/>
          <w:b/>
          <w:bCs/>
        </w:rPr>
        <w:t>Every Child Achieving and Thriving’ White Paper</w:t>
      </w:r>
    </w:p>
    <w:p w:rsidR="007B557E" w:rsidRPr="00D050E8">
      <w:pPr>
        <w:pStyle w:val="Heading2"/>
        <w:keepNext w:val="0"/>
        <w:keepLines w:val="0"/>
        <w:spacing w:after="80"/>
        <w:rPr>
          <w:rFonts w:ascii="Calibri" w:eastAsia="Times New Roman" w:hAnsi="Calibri" w:cs="Calibri"/>
          <w:b/>
          <w:bCs/>
          <w:sz w:val="22"/>
          <w:szCs w:val="22"/>
        </w:rPr>
      </w:pPr>
      <w:bookmarkStart w:id="2" w:name="_p5rvg5h6qwo6" w:colFirst="0" w:colLast="0"/>
      <w:bookmarkEnd w:id="2"/>
      <w:r w:rsidRPr="00D050E8">
        <w:rPr>
          <w:rFonts w:ascii="Calibri" w:eastAsia="Times New Roman" w:hAnsi="Calibri" w:cs="Calibri"/>
          <w:b/>
          <w:bCs/>
          <w:sz w:val="22"/>
          <w:szCs w:val="22"/>
        </w:rPr>
        <w:t>About the author</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1. I am a historian of education at the University of Sheffield and Co-Investigator on the ESRC-funded project </w:t>
      </w:r>
      <w:r w:rsidRPr="00D050E8">
        <w:rPr>
          <w:rFonts w:ascii="Calibri" w:eastAsia="Times New Roman" w:hAnsi="Calibri" w:cs="Calibri"/>
          <w:i/>
          <w:iCs/>
        </w:rPr>
        <w:t>The School Meals Service: Past, Present – and Future?</w:t>
      </w:r>
      <w:r w:rsidRPr="00D050E8">
        <w:rPr>
          <w:rFonts w:ascii="Calibri" w:eastAsia="Times New Roman" w:hAnsi="Calibri" w:cs="Calibri"/>
        </w:rPr>
        <w:t xml:space="preserve"> (Grant No ES/X000737/1, 2023-2025).</w:t>
      </w:r>
      <w:r w:rsidRPr="00D050E8">
        <w:rPr>
          <w:rFonts w:ascii="Calibri" w:eastAsia="Times New Roman" w:hAnsi="Calibri" w:cs="Calibri"/>
        </w:rPr>
        <w:t xml:space="preserve"> I submit this evidence in an individual capacity. The project has combined historical research, archival analysis, oral history interviews and contemporary qualitative research to examine the School Meals Service from its origins in 1906 to the present day. It has also involved sustained engagement with policymakers, schools, museums and third-sector organisations concerned with child poverty and school food policy.</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2. This submission responds principally to the Committee's consideration of educational achievement, belonging, attendance and disadvantage. It argues that school food should be understood not simply as a welfare intervention or nutritional policy, but as an essential part of the educational infrastructure through which children are enabled to participate, belong and learn. Although the White Paper contains welcome commitments to expand breakfast provision and free school meal eligibility, it does not yet i</w:t>
      </w:r>
      <w:r w:rsidRPr="00D050E8">
        <w:rPr>
          <w:rFonts w:ascii="Calibri" w:eastAsia="Times New Roman" w:hAnsi="Calibri" w:cs="Calibri"/>
        </w:rPr>
        <w:t>ntegrate school food sufficiently into its wider understanding of what enables children to achieve and thrive.</w:t>
      </w:r>
    </w:p>
    <w:p w:rsidR="007B557E" w:rsidRPr="00D050E8">
      <w:pPr>
        <w:rPr>
          <w:rFonts w:ascii="Calibri" w:eastAsia="Times New Roman" w:hAnsi="Calibri" w:cs="Calibri"/>
          <w:b/>
          <w:bCs/>
        </w:rPr>
      </w:pPr>
      <w:r w:rsidRPr="00D050E8">
        <w:rPr>
          <w:rFonts w:ascii="Calibri" w:eastAsia="Times New Roman" w:hAnsi="Calibri" w:cs="Calibri"/>
          <w:b/>
          <w:bCs/>
        </w:rPr>
        <w:t>Executive summary</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3. The White Paper represents an important shift in educational thinking. Rather than focusing exclusively upon attainment, it recognises that children learn most effectively when they feel safe, connected and able to participate fully in school life. The proposed Pupil Engagement Framework reflects an understanding that achievement depends upon children's broader experiences of school as well as what happens inside classrooms.</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4. Historical evidence strongly supports this broader conception of education. For more than a century, policymakers have recognised that children's capacity to benefit from education depends upon material conditions including health, nutrition and wellbeing. School meals were introduced because compulsory education could not achieve its objectives if significant numbers of children were unable to concentrate, participate or remain healthy enough to learn. Throughout the twentieth century, school food was r</w:t>
      </w:r>
      <w:r w:rsidRPr="00D050E8">
        <w:rPr>
          <w:rFonts w:ascii="Calibri" w:eastAsia="Times New Roman" w:hAnsi="Calibri" w:cs="Calibri"/>
        </w:rPr>
        <w:t>epeatedly justified not simply as an anti-poverty measure but as an educational investment.</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5. Our research suggests that this educational purpose remains highly relevant today. School meals influence far more than children's nutritional intake. They shape daily routines, relationships, social participation and children's sense of dignity and belonging within school communities. Dining halls are among the few spaces where almost every child encounters the school as a social institution rather than simply a place of formal instruction. Children's experiences of these spaces therefore have important</w:t>
      </w:r>
      <w:r w:rsidRPr="00D050E8">
        <w:rPr>
          <w:rFonts w:ascii="Calibri" w:eastAsia="Times New Roman" w:hAnsi="Calibri" w:cs="Calibri"/>
        </w:rPr>
        <w:t xml:space="preserve"> implications for attendance, engagement and wellbeing.</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6. The Committee therefore has an opportunity to broaden discussion of school food beyond questions of nutritional standards and eligibility. School food should instead be recognised as </w:t>
      </w:r>
      <w:r w:rsidRPr="00D050E8">
        <w:rPr>
          <w:rFonts w:ascii="Calibri" w:eastAsia="Times New Roman" w:hAnsi="Calibri" w:cs="Calibri"/>
        </w:rPr>
        <w:t>educational and social infrastructure. This means evaluating not only whether children receive meals but how school food contributes to participation, inclusion, attendance and belonging.</w:t>
      </w:r>
    </w:p>
    <w:p w:rsidR="007B557E" w:rsidRPr="00D050E8">
      <w:pPr>
        <w:rPr>
          <w:rFonts w:ascii="Calibri" w:eastAsia="Times New Roman" w:hAnsi="Calibri" w:cs="Calibri"/>
          <w:b/>
          <w:bCs/>
        </w:rPr>
      </w:pPr>
      <w:r w:rsidRPr="00D050E8">
        <w:rPr>
          <w:rFonts w:ascii="Calibri" w:eastAsia="Times New Roman" w:hAnsi="Calibri" w:cs="Calibri"/>
          <w:b/>
          <w:bCs/>
        </w:rPr>
        <w:t>School food as educational infrastructure</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7. Contemporary debates often present school meals primarily as an aspect of welfare policy or public health. While both perspectives are important, they only partially explain why governments have invested in school food for more than a century. Historical evidence demonstrates that education has always provided an equally important rationale.</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8. The Education (Provision of Meals) Act 1906 emerged from growing recognition that compulsory schooling alone could not overcome educational disadvantage where children were hungry or poorly nourished. Reformers argued that schools had a responsibility not only to provide instruction but also to create the conditions under which children could benefit from that instruction. Feeding children was therefore understood as enabling education rather than distracting from it.</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9. This broader educational understanding continued throughout the twentieth century. The expansion of the School Meals Service after the Second World War reflected the belief that schools contributed to children's physical, social and moral development as well as their academic progress. School dining halls became everyday spaces through which schools sought to promote citizenship, health, routine and shared social experience. Although these ambitions were not always realised in practice, they illustrate t</w:t>
      </w:r>
      <w:r w:rsidRPr="00D050E8">
        <w:rPr>
          <w:rFonts w:ascii="Calibri" w:eastAsia="Times New Roman" w:hAnsi="Calibri" w:cs="Calibri"/>
        </w:rPr>
        <w:t>hat school meals have long occupied an important place within wider educational policy.</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10. Historical evidence also demonstrates that implementation matters as much as policy intention. National aspirations have repeatedly been shaped by financial pressures, local authority capacity, changing political priorities and variations in school organisation. Entitlement has not always translated into consistent access, while inequalities between schools and regions have remained persistent features of provision. History therefore cautions against evaluating policy solely through national announcemen</w:t>
      </w:r>
      <w:r w:rsidRPr="00D050E8">
        <w:rPr>
          <w:rFonts w:ascii="Calibri" w:eastAsia="Times New Roman" w:hAnsi="Calibri" w:cs="Calibri"/>
        </w:rPr>
        <w:t>ts or eligibility criteria. Children's actual experiences remain the most important measure of success.</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11. This historical perspective has </w:t>
      </w:r>
      <w:r w:rsidRPr="00D050E8">
        <w:rPr>
          <w:rFonts w:ascii="Calibri" w:eastAsia="Times New Roman" w:hAnsi="Calibri" w:cs="Calibri"/>
        </w:rPr>
        <w:t>particular relevance</w:t>
      </w:r>
      <w:r w:rsidRPr="00D050E8">
        <w:rPr>
          <w:rFonts w:ascii="Calibri" w:eastAsia="Times New Roman" w:hAnsi="Calibri" w:cs="Calibri"/>
        </w:rPr>
        <w:t xml:space="preserve"> for the Committee's inquiry. The White Paper rightly argues that children achieve best when they feel that they belong within school communities. Yet belonging is produced through everyday experiences as much as through curriculum or pedagogy. Lunchtime is one of the most significant daily experiences shared by pupils. Whether children can obtain and enjoy a meal in an environment characterised by dignity, inclusion and positive relationships therefore becomes an educational question ra</w:t>
      </w:r>
      <w:r w:rsidRPr="00D050E8">
        <w:rPr>
          <w:rFonts w:ascii="Calibri" w:eastAsia="Times New Roman" w:hAnsi="Calibri" w:cs="Calibri"/>
        </w:rPr>
        <w:t>ther than simply a catering issue.</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12. Recognising school food as educational infrastructure does not diminish the importance of nutritional quality. Rather, it broadens the framework through which policy is understood. Nutritional standards remain essential, but they should be considered alongside children's experiences of participation, inclusion, routine and social connection. These wider educational functions deserve greater prominence within national policy than they currently receive.</w:t>
      </w:r>
    </w:p>
    <w:p w:rsidR="007B557E" w:rsidRPr="00D050E8">
      <w:pPr>
        <w:pStyle w:val="Heading1"/>
        <w:keepNext w:val="0"/>
        <w:keepLines w:val="0"/>
        <w:spacing w:before="480"/>
        <w:rPr>
          <w:rFonts w:ascii="Calibri" w:eastAsia="Times New Roman" w:hAnsi="Calibri" w:cs="Calibri"/>
          <w:b/>
          <w:bCs/>
          <w:sz w:val="22"/>
          <w:szCs w:val="22"/>
        </w:rPr>
      </w:pPr>
      <w:bookmarkStart w:id="3" w:name="_4kfbde6td1m1" w:colFirst="0" w:colLast="0"/>
      <w:bookmarkEnd w:id="3"/>
      <w:r w:rsidRPr="00D050E8">
        <w:rPr>
          <w:rFonts w:ascii="Calibri" w:eastAsia="Times New Roman" w:hAnsi="Calibri" w:cs="Calibri"/>
          <w:b/>
          <w:bCs/>
          <w:sz w:val="22"/>
          <w:szCs w:val="22"/>
        </w:rPr>
        <w:t xml:space="preserve">School meals, belonging and </w:t>
      </w:r>
      <w:r w:rsidRPr="00D050E8">
        <w:rPr>
          <w:rFonts w:ascii="Calibri" w:eastAsia="Times New Roman" w:hAnsi="Calibri" w:cs="Calibri"/>
          <w:b/>
          <w:bCs/>
          <w:sz w:val="22"/>
          <w:szCs w:val="22"/>
        </w:rPr>
        <w:t>children's</w:t>
      </w:r>
      <w:r w:rsidRPr="00D050E8">
        <w:rPr>
          <w:rFonts w:ascii="Calibri" w:eastAsia="Times New Roman" w:hAnsi="Calibri" w:cs="Calibri"/>
          <w:b/>
          <w:bCs/>
          <w:sz w:val="22"/>
          <w:szCs w:val="22"/>
        </w:rPr>
        <w:t xml:space="preserve"> lived experience</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13. One of the White Paper's most important contributions is its recognition that belonging is fundamental to educational success. The proposed Pupil Engagement Framework acknowledges that children learn most effectively when they feel connected to their school community and able to </w:t>
      </w:r>
      <w:r w:rsidRPr="00D050E8">
        <w:rPr>
          <w:rFonts w:ascii="Calibri" w:eastAsia="Times New Roman" w:hAnsi="Calibri" w:cs="Calibri"/>
        </w:rPr>
        <w:t>participate fully in school life. This reflects a growing body of educational research demonstrating that belonging is associated with improved attendance, engagement, wellbeing and academic outcomes. However, belonging is not created solely through classroom teaching or pastoral interventions. It is produced through the everyday experiences that shape how children encounter school as a place in which they feel welcomed, valued and included.</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14. School meals are one of the most significant, and yet often overlooked, components of those everyday experiences. Every school day, millions of children encounter the School Meals Service not simply as recipients of food but as participants in a shared social institution. Lunchtime is one of the few periods during which almost every child negotiates friendships, routines, queues, rules and relationships with adults outside the formal structures of classroom learning. For many children it is also the pri</w:t>
      </w:r>
      <w:r w:rsidRPr="00D050E8">
        <w:rPr>
          <w:rFonts w:ascii="Calibri" w:eastAsia="Times New Roman" w:hAnsi="Calibri" w:cs="Calibri"/>
        </w:rPr>
        <w:t>ncipal opportunity during the school day to relax, socialise and experience school as a community rather than simply a place of instruction. The educational significance of these experiences has received remarkably little policy attention.</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15. Our research demonstrates that children do not remember school meals simply in terms of what they ate. Rather, they remember the wider experience of eating at school: the atmosphere of the dining hall, the sounds and smells associated with lunchtime, relationships with friends and lunchtime supervisors, anxieties about queues or seating arrangements, favourite meals, disliked meals, opportunities for conversation, and feelings of inclusion or exclusion. These experiences become part of how children reme</w:t>
      </w:r>
      <w:r w:rsidRPr="00D050E8">
        <w:rPr>
          <w:rFonts w:ascii="Calibri" w:eastAsia="Times New Roman" w:hAnsi="Calibri" w:cs="Calibri"/>
        </w:rPr>
        <w:t xml:space="preserve">mber school itself. This finding is explored in greater depth in our recent 2025 article in the </w:t>
      </w:r>
      <w:r w:rsidRPr="00D050E8">
        <w:rPr>
          <w:rFonts w:ascii="Calibri" w:eastAsia="Times New Roman" w:hAnsi="Calibri" w:cs="Calibri"/>
          <w:i/>
          <w:iCs/>
        </w:rPr>
        <w:t>History of Education</w:t>
      </w:r>
      <w:r w:rsidRPr="00D050E8">
        <w:rPr>
          <w:rFonts w:ascii="Calibri" w:eastAsia="Times New Roman" w:hAnsi="Calibri" w:cs="Calibri"/>
        </w:rPr>
        <w:t>, which demonstrates that the School Meals Service is best understood not simply as a nutritional intervention but as a sensory and emotional experience through which children develop enduring memories of school, relationships and belonging.  In oral history interviews, participants frequently recalled school meals in vivid detail many decades later, suggesting that the dining hall occupies an important place in educational memory.</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16. These findings challenge the tendency to treat school food as merely a logistical or nutritional service. Food is never simply fuel. Meals are social and cultural practices through which relationships are created and maintained. Within schools, they become one of the principal ways in which institutions communicate care, equality, authority and belonging. The organisation of school dining therefore shapes children's understanding of whether school is a place in which they matter.</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17. At the same time, our research also demonstrates that school meals can become sites of exclusion. Participants recalled experiences of embarrassment, coercion, bullying, inadequate time to eat, unpleasant dining environments and, particularly in relation to means-tested provision, the stigma associated with receiving free school meals. These experiences did not merely affect children's enjoyment of lunch. They shaped wider feelings about school and, for some participants, influenced whether lunchtime be</w:t>
      </w:r>
      <w:r w:rsidRPr="00D050E8">
        <w:rPr>
          <w:rFonts w:ascii="Calibri" w:eastAsia="Times New Roman" w:hAnsi="Calibri" w:cs="Calibri"/>
        </w:rPr>
        <w:t xml:space="preserve">came something to anticipate or something to avoid. Such findings reinforce the importance of considering the quality of children's experiences rather than </w:t>
      </w:r>
      <w:r w:rsidRPr="00D050E8">
        <w:rPr>
          <w:rFonts w:ascii="Calibri" w:eastAsia="Times New Roman" w:hAnsi="Calibri" w:cs="Calibri"/>
        </w:rPr>
        <w:t>assuming that</w:t>
      </w:r>
      <w:r w:rsidRPr="00D050E8">
        <w:rPr>
          <w:rFonts w:ascii="Calibri" w:eastAsia="Times New Roman" w:hAnsi="Calibri" w:cs="Calibri"/>
        </w:rPr>
        <w:t xml:space="preserve"> provision alone guarantees positive outcomes.</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18. A recurring finding across the project has been the importance of dignity. Children consistently value being able to eat alongside their peers without feeling different, identified or judged. This has </w:t>
      </w:r>
      <w:r w:rsidRPr="00D050E8">
        <w:rPr>
          <w:rFonts w:ascii="Calibri" w:eastAsia="Times New Roman" w:hAnsi="Calibri" w:cs="Calibri"/>
        </w:rPr>
        <w:t>particular relevance</w:t>
      </w:r>
      <w:r w:rsidRPr="00D050E8">
        <w:rPr>
          <w:rFonts w:ascii="Calibri" w:eastAsia="Times New Roman" w:hAnsi="Calibri" w:cs="Calibri"/>
        </w:rPr>
        <w:t xml:space="preserve"> for discussions of free school meals. Although digital payment systems have reduced some of the visible markers associated with entitlement, they do not necessarily eliminate children's awareness of social difference. The design of systems, the organisation of dining spaces and the culture of schools all influence whether children experience school meals as an ordinary part of school life or as a reminder of economic disadvantage. Further evidence from our ESRC School Meals project, pub</w:t>
      </w:r>
      <w:r w:rsidRPr="00D050E8">
        <w:rPr>
          <w:rFonts w:ascii="Calibri" w:eastAsia="Times New Roman" w:hAnsi="Calibri" w:cs="Calibri"/>
        </w:rPr>
        <w:t xml:space="preserve">lished recently in </w:t>
      </w:r>
      <w:r w:rsidRPr="00D050E8">
        <w:rPr>
          <w:rFonts w:ascii="Calibri" w:eastAsia="Times New Roman" w:hAnsi="Calibri" w:cs="Calibri"/>
          <w:i/>
          <w:iCs/>
        </w:rPr>
        <w:t>The Oral History Review</w:t>
      </w:r>
      <w:r w:rsidRPr="00D050E8">
        <w:rPr>
          <w:rFonts w:ascii="Calibri" w:eastAsia="Times New Roman" w:hAnsi="Calibri" w:cs="Calibri"/>
        </w:rPr>
        <w:t xml:space="preserve">, demonstrates that neurodivergent children's experiences of school dining spaces are profoundly shaped by sensory environments, institutional routines and opportunities for agency and control. </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19. The emotional significance of school meals also extends beyond childhood. Our oral histories demonstrate that memories of school food frequently become part of family histories and intergenerational narratives. Parents compare their children's experiences with their own; grandparents recall meals provided during periods of austerity or post-war reconstruction; families use memories of school dinners to reflect upon changing ideas about childhood, nutrition and social equality. School meals therefore occ</w:t>
      </w:r>
      <w:r w:rsidRPr="00D050E8">
        <w:rPr>
          <w:rFonts w:ascii="Calibri" w:eastAsia="Times New Roman" w:hAnsi="Calibri" w:cs="Calibri"/>
        </w:rPr>
        <w:t xml:space="preserve">upy an important place in Britain's collective educational memory as well as in individual biographies. These themes are explored in our </w:t>
      </w:r>
      <w:r w:rsidRPr="00D050E8">
        <w:rPr>
          <w:rFonts w:ascii="Calibri" w:eastAsia="Times New Roman" w:hAnsi="Calibri" w:cs="Calibri"/>
          <w:i/>
          <w:iCs/>
        </w:rPr>
        <w:t>History Workshop</w:t>
      </w:r>
      <w:r w:rsidRPr="00D050E8">
        <w:rPr>
          <w:rFonts w:ascii="Calibri" w:eastAsia="Times New Roman" w:hAnsi="Calibri" w:cs="Calibri"/>
        </w:rPr>
        <w:t xml:space="preserve"> article, </w:t>
      </w:r>
      <w:r w:rsidRPr="00D050E8">
        <w:rPr>
          <w:rFonts w:ascii="Calibri" w:eastAsia="Times New Roman" w:hAnsi="Calibri" w:cs="Calibri"/>
          <w:i/>
          <w:iCs/>
        </w:rPr>
        <w:t>School Meals Stories</w:t>
      </w:r>
      <w:r w:rsidRPr="00D050E8">
        <w:rPr>
          <w:rFonts w:ascii="Calibri" w:eastAsia="Times New Roman" w:hAnsi="Calibri" w:cs="Calibri"/>
        </w:rPr>
        <w:t>, which examines how memories of school food illuminate wider questions of identity, community and social change.</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20. Recent public engagement arising from the project demonstrates that these experiences continue to resonate widely. Public responses to our research, including through </w:t>
      </w:r>
      <w:r w:rsidRPr="00D050E8">
        <w:rPr>
          <w:rFonts w:ascii="Calibri" w:eastAsia="Times New Roman" w:hAnsi="Calibri" w:cs="Calibri"/>
          <w:i/>
          <w:iCs/>
        </w:rPr>
        <w:t>The Conversation</w:t>
      </w:r>
      <w:r w:rsidRPr="00D050E8">
        <w:rPr>
          <w:rFonts w:ascii="Calibri" w:eastAsia="Times New Roman" w:hAnsi="Calibri" w:cs="Calibri"/>
        </w:rPr>
        <w:t>, reveal the remarkable strength of feeling that school meals continue to evoke across generations. People remember not only menus but emotions: feelings of comfort, embarrassment, pride, shame, friendship and belonging. Such responses underline an important policy lesson. School meals matter because they shape how children experience school emotionally as well as physically. Policies concerned with educational engagement therefore cannot afford to regard lunchtime as peripheral to the educational day.</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21. These findings have direct implications for the proposed Pupil Engagement Framework. If the Government wishes to understand whether children feel that they belong within school communities, it should ask questions not only about lessons, behaviour and pastoral care but also about children's experiences of eating together. Do children have sufficient time to obtain and eat their meal? Do they feel comfortable within dining spaces? Can they sit with friends? Are dietary, cultural and religious needs respe</w:t>
      </w:r>
      <w:r w:rsidRPr="00D050E8">
        <w:rPr>
          <w:rFonts w:ascii="Calibri" w:eastAsia="Times New Roman" w:hAnsi="Calibri" w:cs="Calibri"/>
        </w:rPr>
        <w:t>cted? Do children receiving free school meals feel indistinguishable from their peers? These questions concern educational participation every bit as much as curriculum or assessment.</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22. More broadly, our research suggests that children's own perspectives should occupy a more central place within future policy development. Too often, school food policy is evaluated through administrative indicators such as eligibility, uptake or compliance with nutritional standards. While these remain important, they cannot explain how children </w:t>
      </w:r>
      <w:r w:rsidRPr="00D050E8">
        <w:rPr>
          <w:rFonts w:ascii="Calibri" w:eastAsia="Times New Roman" w:hAnsi="Calibri" w:cs="Calibri"/>
        </w:rPr>
        <w:t>actually experience</w:t>
      </w:r>
      <w:r w:rsidRPr="00D050E8">
        <w:rPr>
          <w:rFonts w:ascii="Calibri" w:eastAsia="Times New Roman" w:hAnsi="Calibri" w:cs="Calibri"/>
        </w:rPr>
        <w:t xml:space="preserve"> provision. The Committee therefore has an opportunity to encourage a more balanced approach in which quantitative measures are complemented by systematic engagement with </w:t>
      </w:r>
      <w:r w:rsidRPr="00D050E8">
        <w:rPr>
          <w:rFonts w:ascii="Calibri" w:eastAsia="Times New Roman" w:hAnsi="Calibri" w:cs="Calibri"/>
        </w:rPr>
        <w:t>children's</w:t>
      </w:r>
      <w:r w:rsidRPr="00D050E8">
        <w:rPr>
          <w:rFonts w:ascii="Calibri" w:eastAsia="Times New Roman" w:hAnsi="Calibri" w:cs="Calibri"/>
        </w:rPr>
        <w:t xml:space="preserve"> lived experience. Listening to children is not an optional addition to evidence-based policymaking; it is essential to understanding whether policy is achieving its intended educational purposes.</w:t>
      </w:r>
    </w:p>
    <w:p w:rsidR="007B557E" w:rsidRPr="00D050E8">
      <w:pPr>
        <w:pStyle w:val="Heading1"/>
        <w:keepNext w:val="0"/>
        <w:keepLines w:val="0"/>
        <w:spacing w:before="480"/>
        <w:rPr>
          <w:rFonts w:ascii="Calibri" w:eastAsia="Times New Roman" w:hAnsi="Calibri" w:cs="Calibri"/>
          <w:b/>
          <w:bCs/>
          <w:sz w:val="22"/>
          <w:szCs w:val="22"/>
        </w:rPr>
      </w:pPr>
      <w:bookmarkStart w:id="4" w:name="_1hd0fb7m3lav" w:colFirst="0" w:colLast="0"/>
      <w:bookmarkEnd w:id="4"/>
      <w:r w:rsidRPr="00D050E8">
        <w:rPr>
          <w:rFonts w:ascii="Calibri" w:eastAsia="Times New Roman" w:hAnsi="Calibri" w:cs="Calibri"/>
          <w:b/>
          <w:bCs/>
          <w:sz w:val="22"/>
          <w:szCs w:val="22"/>
        </w:rPr>
        <w:t>School food, disadvantage and free school meals</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23. The White Paper proposes to remove the direct link between free school meal (FSM) eligibility and the allocation of disadvantage funding, while expanding FSM entitlement through a new income threshold. This represents an opportunity to separate two policy objectives that have become closely intertwined: ensuring children have access to nutritious food during the school </w:t>
      </w:r>
      <w:r w:rsidRPr="00D050E8">
        <w:rPr>
          <w:rFonts w:ascii="Calibri" w:eastAsia="Times New Roman" w:hAnsi="Calibri" w:cs="Calibri"/>
        </w:rPr>
        <w:t>day, and</w:t>
      </w:r>
      <w:r w:rsidRPr="00D050E8">
        <w:rPr>
          <w:rFonts w:ascii="Calibri" w:eastAsia="Times New Roman" w:hAnsi="Calibri" w:cs="Calibri"/>
        </w:rPr>
        <w:t xml:space="preserve"> identifying pupils experiencing socio-economic disadvantage for funding purposes. These objectives are related but distinct, and policy should continue to recognise the educational importance of both.</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24. Historical evidence demonstrates that means-tested school meals have repeatedly been associated with feelings of shame, embarrassment and social exclusion. Throughout the post-war period, central government recognised that visible systems of identifying children entitled to free meals discouraged take-up and undermined the educational purpose of the policy. Circulars issued to local authorities in the 1960s explicitly warned against practices that identified children publicly, </w:t>
      </w:r>
      <w:r w:rsidRPr="00D050E8">
        <w:rPr>
          <w:rFonts w:ascii="Calibri" w:eastAsia="Times New Roman" w:hAnsi="Calibri" w:cs="Calibri"/>
        </w:rPr>
        <w:t>including the use of coloured tickets and classroom collection systems. Despite these efforts, local practices often continued to expose children to stigma.</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25. Our oral history research demonstrates the remarkable longevity of these experiences. One participant, “Jim”, who attended school in Bradford in the 1950s, recalled attempting to hide his free meal ticket amongst those collected from classmates before another pupil shouted across the dining hall, </w:t>
      </w:r>
      <w:r w:rsidRPr="00D050E8">
        <w:rPr>
          <w:rFonts w:ascii="Calibri" w:eastAsia="Times New Roman" w:hAnsi="Calibri" w:cs="Calibri"/>
          <w:i/>
          <w:iCs/>
        </w:rPr>
        <w:t>"Who's got the free meal then?"</w:t>
      </w:r>
      <w:r w:rsidRPr="00D050E8">
        <w:rPr>
          <w:rFonts w:ascii="Calibri" w:eastAsia="Times New Roman" w:hAnsi="Calibri" w:cs="Calibri"/>
        </w:rPr>
        <w:t xml:space="preserve"> He continued to describe this decades later as an "excruciatingly embarrassing experience". Another participant remembered children being called from the classroom with the instruction, </w:t>
      </w:r>
      <w:r w:rsidRPr="00D050E8">
        <w:rPr>
          <w:rFonts w:ascii="Calibri" w:eastAsia="Times New Roman" w:hAnsi="Calibri" w:cs="Calibri"/>
          <w:i/>
          <w:iCs/>
        </w:rPr>
        <w:t>"Come out the frees!"</w:t>
      </w:r>
      <w:r w:rsidRPr="00D050E8">
        <w:rPr>
          <w:rFonts w:ascii="Calibri" w:eastAsia="Times New Roman" w:hAnsi="Calibri" w:cs="Calibri"/>
        </w:rPr>
        <w:t>, describing the subsequent walk to collect meal tickets as "the walk of shame". These memories underline the lasting educational consequences of policies that inadvertently distinguish children according to family income.</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26. There is evidence that contemporary practice has reduced, though not eliminated, some forms of stigma. Cashless payment systems and online ordering mean that children receiving free school meals are increasingly indistinguishable from their peers during the lunch service. Staff participating in our contemporary case studies regarded these developments as significant improvements because they normalised participation rather than marking difference. However, technology alone cannot eliminate stigma if wid</w:t>
      </w:r>
      <w:r w:rsidRPr="00D050E8">
        <w:rPr>
          <w:rFonts w:ascii="Calibri" w:eastAsia="Times New Roman" w:hAnsi="Calibri" w:cs="Calibri"/>
        </w:rPr>
        <w:t>er school cultures continue to associate poverty with shame or exclusion.</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27. The Committee may therefore wish to consider school meal policy through the broader concept of dignity. The success of free school meals should not be measured solely through eligibility or uptake, but through whether children are able to participate in school life without feeling identified, embarrassed or different from their peers. Policies that reduce administrative stigma strengthen not only children's wellbeing but also their sense of belonging within school communities.</w:t>
      </w:r>
    </w:p>
    <w:p w:rsidR="007B557E" w:rsidRPr="00D050E8">
      <w:pPr>
        <w:pStyle w:val="Heading1"/>
        <w:keepNext w:val="0"/>
        <w:keepLines w:val="0"/>
        <w:spacing w:before="480"/>
        <w:rPr>
          <w:rFonts w:ascii="Calibri" w:eastAsia="Times New Roman" w:hAnsi="Calibri" w:cs="Calibri"/>
          <w:b/>
          <w:bCs/>
          <w:sz w:val="22"/>
          <w:szCs w:val="22"/>
        </w:rPr>
      </w:pPr>
      <w:bookmarkStart w:id="5" w:name="_3rypsvyioq1g" w:colFirst="0" w:colLast="0"/>
      <w:bookmarkEnd w:id="5"/>
      <w:r w:rsidRPr="00D050E8">
        <w:rPr>
          <w:rFonts w:ascii="Calibri" w:eastAsia="Times New Roman" w:hAnsi="Calibri" w:cs="Calibri"/>
          <w:b/>
          <w:bCs/>
          <w:sz w:val="22"/>
          <w:szCs w:val="22"/>
        </w:rPr>
        <w:t>Attendance, engagement and educational participation</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28. The White Paper rightly identifies persistent absence as one of the most significant challenges facing the education system. School meals are not, in themselves, a solution to attendance problems, which arise from complex social, economic and health-related factors. Nevertheless, our research suggests that school food contributes to many of the conditions that support regular attendance and sustained educational engagement.</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29. Educational participation extends beyond time spent in lessons. Children experience school as a sequence of interconnected activities including arrival, breaktimes, lunchtimes and opportunities for informal interaction with peers and staff. Positive experiences across the whole school day contribute to children's willingness to attend and to their perception of school as a welcoming environment. Lunchtime therefore forms part of the wider ecology of educational engagement rather than existing separately</w:t>
      </w:r>
      <w:r w:rsidRPr="00D050E8">
        <w:rPr>
          <w:rFonts w:ascii="Calibri" w:eastAsia="Times New Roman" w:hAnsi="Calibri" w:cs="Calibri"/>
        </w:rPr>
        <w:t xml:space="preserve"> from learning.</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30. Our ethnographic research found that schools increasingly view lunchtime as an opportunity for relationship-building rather than simply supervision. Staff actively negotiated with pupils to create dining environments that balanced conversation, social interaction and consideration for those who found noisy spaces overwhelming. One deputy headteacher explained that pupils should not feel expected to sit in silence “like the Victorian days</w:t>
      </w:r>
      <w:r w:rsidRPr="00D050E8">
        <w:rPr>
          <w:rFonts w:ascii="Calibri" w:eastAsia="Times New Roman" w:hAnsi="Calibri" w:cs="Calibri"/>
        </w:rPr>
        <w:t>”, but</w:t>
      </w:r>
      <w:r w:rsidRPr="00D050E8">
        <w:rPr>
          <w:rFonts w:ascii="Calibri" w:eastAsia="Times New Roman" w:hAnsi="Calibri" w:cs="Calibri"/>
        </w:rPr>
        <w:t xml:space="preserve"> should instead experience lunchtime as a social occasion comparable to eating together in a restaurant. Such approaches reflect an understanding that eating together is itself an important educational and social experience.</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31. At the same time, the research highlights the importance of recognising diverse needs. Contemporary pupils described noisy dining halls as sources of sensory overload, while schools </w:t>
      </w:r>
      <w:r w:rsidRPr="00D050E8">
        <w:rPr>
          <w:rFonts w:ascii="Calibri" w:eastAsia="Times New Roman" w:hAnsi="Calibri" w:cs="Calibri"/>
        </w:rPr>
        <w:t>developed practical adjustments for neurodivergent children, including quieter spaces, ear defenders and flexible seating arrangements. These examples demonstrate that relatively modest changes to dining environments can improve children's experience of school without requiring fundamental changes to educational provision.</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32. The Committee may therefore wish to encourage the government to consider school food within its wider strategy for improving engagement and attendance. Schools that invest in welcoming, inclusive and accessible dining environments are investing not simply in nutrition but in children's everyday experience of belonging. This aligns closely with the White Paper's emphasis on participation, wellbeing and engagement as foundations for educational success.</w:t>
      </w:r>
    </w:p>
    <w:p w:rsidR="007B557E" w:rsidRPr="00D050E8">
      <w:pPr>
        <w:pStyle w:val="Heading1"/>
        <w:keepNext w:val="0"/>
        <w:keepLines w:val="0"/>
        <w:spacing w:before="480"/>
        <w:rPr>
          <w:rFonts w:ascii="Calibri" w:eastAsia="Times New Roman" w:hAnsi="Calibri" w:cs="Calibri"/>
          <w:b/>
          <w:bCs/>
          <w:sz w:val="22"/>
          <w:szCs w:val="22"/>
        </w:rPr>
      </w:pPr>
      <w:bookmarkStart w:id="6" w:name="_vmvffhkut8cf" w:colFirst="0" w:colLast="0"/>
      <w:bookmarkEnd w:id="6"/>
      <w:r w:rsidRPr="00D050E8">
        <w:rPr>
          <w:rFonts w:ascii="Calibri" w:eastAsia="Times New Roman" w:hAnsi="Calibri" w:cs="Calibri"/>
          <w:b/>
          <w:bCs/>
          <w:sz w:val="22"/>
          <w:szCs w:val="22"/>
        </w:rPr>
        <w:t>Recommendations</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33. Drawing on the findings of the ESRC School Meals project, I recommend that the Government:</w:t>
      </w:r>
    </w:p>
    <w:p w:rsidR="007B557E" w:rsidRPr="00D050E8">
      <w:pPr>
        <w:numPr>
          <w:ilvl w:val="0"/>
          <w:numId w:val="1"/>
        </w:numPr>
        <w:spacing w:before="240" w:line="240" w:lineRule="auto"/>
        <w:rPr>
          <w:rFonts w:ascii="Calibri" w:eastAsia="Times New Roman" w:hAnsi="Calibri" w:cs="Calibri"/>
        </w:rPr>
      </w:pPr>
      <w:r w:rsidRPr="00D050E8">
        <w:rPr>
          <w:rFonts w:ascii="Calibri" w:eastAsia="Times New Roman" w:hAnsi="Calibri" w:cs="Calibri"/>
        </w:rPr>
        <w:t>recognise school food explicitly as part of the educational infrastructure that enables children to achieve and thrive, rather than treating it solely as a welfare or nutritional intervention;</w:t>
      </w:r>
    </w:p>
    <w:p w:rsidR="007B557E" w:rsidRPr="00D050E8">
      <w:pPr>
        <w:numPr>
          <w:ilvl w:val="0"/>
          <w:numId w:val="1"/>
        </w:numPr>
        <w:spacing w:line="240" w:lineRule="auto"/>
        <w:rPr>
          <w:rFonts w:ascii="Calibri" w:eastAsia="Times New Roman" w:hAnsi="Calibri" w:cs="Calibri"/>
        </w:rPr>
      </w:pPr>
      <w:r w:rsidRPr="00D050E8">
        <w:rPr>
          <w:rFonts w:ascii="Calibri" w:eastAsia="Times New Roman" w:hAnsi="Calibri" w:cs="Calibri"/>
        </w:rPr>
        <w:t>incorporate children's experiences of lunchtime, dining environments and social participation within the proposed Pupil Engagement Framework;</w:t>
      </w:r>
    </w:p>
    <w:p w:rsidR="007B557E" w:rsidRPr="00D050E8">
      <w:pPr>
        <w:numPr>
          <w:ilvl w:val="0"/>
          <w:numId w:val="1"/>
        </w:numPr>
        <w:spacing w:line="240" w:lineRule="auto"/>
        <w:rPr>
          <w:rFonts w:ascii="Calibri" w:eastAsia="Times New Roman" w:hAnsi="Calibri" w:cs="Calibri"/>
        </w:rPr>
      </w:pPr>
      <w:r w:rsidRPr="00D050E8">
        <w:rPr>
          <w:rFonts w:ascii="Calibri" w:eastAsia="Times New Roman" w:hAnsi="Calibri" w:cs="Calibri"/>
        </w:rPr>
        <w:t>ensure that reforms to disadvantage funding do not unintentionally weaken school meal entitlement or discourage registration among eligible families;</w:t>
      </w:r>
    </w:p>
    <w:p w:rsidR="007B557E" w:rsidRPr="00D050E8">
      <w:pPr>
        <w:numPr>
          <w:ilvl w:val="0"/>
          <w:numId w:val="1"/>
        </w:numPr>
        <w:spacing w:line="240" w:lineRule="auto"/>
        <w:rPr>
          <w:rFonts w:ascii="Calibri" w:eastAsia="Times New Roman" w:hAnsi="Calibri" w:cs="Calibri"/>
        </w:rPr>
      </w:pPr>
      <w:r w:rsidRPr="00D050E8">
        <w:rPr>
          <w:rFonts w:ascii="Calibri" w:eastAsia="Times New Roman" w:hAnsi="Calibri" w:cs="Calibri"/>
        </w:rPr>
        <w:t>continue to prioritise measures that minimise stigma associated with free school meals through universal, discreet and inclusive systems of provision;</w:t>
      </w:r>
    </w:p>
    <w:p w:rsidR="007B557E" w:rsidRPr="00D050E8">
      <w:pPr>
        <w:numPr>
          <w:ilvl w:val="0"/>
          <w:numId w:val="1"/>
        </w:numPr>
        <w:spacing w:line="240" w:lineRule="auto"/>
        <w:rPr>
          <w:rFonts w:ascii="Calibri" w:eastAsia="Times New Roman" w:hAnsi="Calibri" w:cs="Calibri"/>
        </w:rPr>
      </w:pPr>
      <w:r w:rsidRPr="00D050E8">
        <w:rPr>
          <w:rFonts w:ascii="Calibri" w:eastAsia="Times New Roman" w:hAnsi="Calibri" w:cs="Calibri"/>
        </w:rPr>
        <w:t>encourage schools to evaluate dining environments as part of whole-school approaches to belonging, attendance and wellbeing, including consideration of sensory accessibility and inclusion for neurodivergent pupils;</w:t>
      </w:r>
    </w:p>
    <w:p w:rsidR="007B557E" w:rsidRPr="00D050E8">
      <w:pPr>
        <w:numPr>
          <w:ilvl w:val="0"/>
          <w:numId w:val="1"/>
        </w:numPr>
        <w:spacing w:after="240" w:line="240" w:lineRule="auto"/>
        <w:rPr>
          <w:rFonts w:ascii="Calibri" w:eastAsia="Times New Roman" w:hAnsi="Calibri" w:cs="Calibri"/>
        </w:rPr>
      </w:pPr>
      <w:r w:rsidRPr="00D050E8">
        <w:rPr>
          <w:rFonts w:ascii="Calibri" w:eastAsia="Times New Roman" w:hAnsi="Calibri" w:cs="Calibri"/>
        </w:rPr>
        <w:t xml:space="preserve">embed </w:t>
      </w:r>
      <w:r w:rsidRPr="00D050E8">
        <w:rPr>
          <w:rFonts w:ascii="Calibri" w:eastAsia="Times New Roman" w:hAnsi="Calibri" w:cs="Calibri"/>
        </w:rPr>
        <w:t>children's</w:t>
      </w:r>
      <w:r w:rsidRPr="00D050E8">
        <w:rPr>
          <w:rFonts w:ascii="Calibri" w:eastAsia="Times New Roman" w:hAnsi="Calibri" w:cs="Calibri"/>
        </w:rPr>
        <w:t xml:space="preserve"> lived experiences more systematically within future policy development and evaluation relating to school food.</w:t>
      </w:r>
    </w:p>
    <w:p w:rsidR="007B557E" w:rsidRPr="00D050E8">
      <w:pPr>
        <w:pStyle w:val="Heading1"/>
        <w:keepNext w:val="0"/>
        <w:keepLines w:val="0"/>
        <w:spacing w:before="480"/>
        <w:rPr>
          <w:rFonts w:ascii="Calibri" w:eastAsia="Times New Roman" w:hAnsi="Calibri" w:cs="Calibri"/>
          <w:b/>
          <w:bCs/>
          <w:sz w:val="22"/>
          <w:szCs w:val="22"/>
        </w:rPr>
      </w:pPr>
      <w:bookmarkStart w:id="7" w:name="_5x6mday52yr4" w:colFirst="0" w:colLast="0"/>
      <w:bookmarkEnd w:id="7"/>
      <w:r w:rsidRPr="00D050E8">
        <w:rPr>
          <w:rFonts w:ascii="Calibri" w:eastAsia="Times New Roman" w:hAnsi="Calibri" w:cs="Calibri"/>
          <w:b/>
          <w:bCs/>
          <w:sz w:val="22"/>
          <w:szCs w:val="22"/>
        </w:rPr>
        <w:t>Conclusion</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34. The School Meals Service has always been about more than feeding children. Since its origins in the early twentieth century, successive governments have recognised that children cannot benefit fully from education if their basic needs are unmet. Historical evidence demonstrates that school meals were conceived as an educational investment because they enabled children to participate more fully in school life. That insight remains as relevant today as it was in 1906.</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35. The White Paper makes a welcome commitment to creating schools in which every child can achieve and thrive. Our research suggests that this ambition will be realised most effectively when school food is understood as part of the educational experience rather than as an issue separate from it. School meals shape children's relationships, routines, memories, sense of dignity and feelings of belonging. They influence not only whether children are adequately nourished but how they experience school itself.</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36. Historical research offers what the educational historian David Tyack described as a "usable past": evidence that helps policymakers understand not only how policies were designed but how they were experienced by those expected to live with them. The history of the School Meals Service demonstrates that questions of belonging, dignity, participation and educational equality have long been central to debates about school food. Recognising these historical continuities can help ensure </w:t>
      </w:r>
      <w:r w:rsidRPr="00D050E8">
        <w:rPr>
          <w:rFonts w:ascii="Calibri" w:eastAsia="Times New Roman" w:hAnsi="Calibri" w:cs="Calibri"/>
        </w:rPr>
        <w:t>that future reforms build not only upon contemporary evidence but upon more than a century of educational experience.</w:t>
      </w:r>
    </w:p>
    <w:p w:rsidR="007B557E" w:rsidRPr="00D050E8">
      <w:pPr>
        <w:spacing w:before="240" w:after="240" w:line="240" w:lineRule="auto"/>
        <w:rPr>
          <w:rFonts w:ascii="Calibri" w:eastAsia="Times New Roman" w:hAnsi="Calibri" w:cs="Calibri"/>
          <w:b/>
          <w:bCs/>
        </w:rPr>
      </w:pPr>
      <w:r w:rsidRPr="00D050E8">
        <w:rPr>
          <w:rFonts w:ascii="Calibri" w:eastAsia="Times New Roman" w:hAnsi="Calibri" w:cs="Calibri"/>
          <w:b/>
          <w:bCs/>
        </w:rPr>
        <w:t>References</w:t>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Carter, I. &amp; Ellis, H. (2025). “Control, Resistance, and the Senses: Neurodivergent Perspectives of the UK School Meals Service: A Case Study.” </w:t>
      </w:r>
      <w:r w:rsidRPr="00D050E8">
        <w:rPr>
          <w:rFonts w:ascii="Calibri" w:eastAsia="Times New Roman" w:hAnsi="Calibri" w:cs="Calibri"/>
          <w:i/>
          <w:iCs/>
        </w:rPr>
        <w:t>The Oral History Review</w:t>
      </w:r>
      <w:r w:rsidRPr="00D050E8">
        <w:rPr>
          <w:rFonts w:ascii="Calibri" w:eastAsia="Times New Roman" w:hAnsi="Calibri" w:cs="Calibri"/>
        </w:rPr>
        <w:t xml:space="preserve">, 52(1), 111–136. </w:t>
      </w:r>
      <w:r>
        <w:fldChar w:fldCharType="begin"/>
      </w:r>
      <w:r>
        <w:instrText xml:space="preserve"> HYPERLINK "https://doi.org/10.1080/00940798.2025.2468522" </w:instrText>
      </w:r>
      <w:r>
        <w:fldChar w:fldCharType="separate"/>
      </w:r>
      <w:r w:rsidRPr="00D050E8">
        <w:rPr>
          <w:rFonts w:ascii="Calibri" w:eastAsia="Times New Roman" w:hAnsi="Calibri" w:cs="Calibri"/>
          <w:color w:val="1155CC"/>
          <w:u w:val="single"/>
        </w:rPr>
        <w:t>https://doi.org/10.1080/00940798.2025.2468522</w:t>
      </w:r>
      <w:r>
        <w:fldChar w:fldCharType="end"/>
      </w:r>
    </w:p>
    <w:p w:rsidR="007B557E" w:rsidRPr="00D050E8">
      <w:pPr>
        <w:spacing w:before="240" w:after="240" w:line="240" w:lineRule="auto"/>
        <w:rPr>
          <w:rFonts w:ascii="Calibri" w:eastAsia="Times New Roman" w:hAnsi="Calibri" w:cs="Calibri"/>
        </w:rPr>
      </w:pPr>
      <w:r w:rsidRPr="00D050E8">
        <w:rPr>
          <w:rFonts w:ascii="Calibri" w:eastAsia="Times New Roman" w:hAnsi="Calibri" w:cs="Calibri"/>
        </w:rPr>
        <w:t xml:space="preserve">Bishop, E., Carter, I., Ellis, H., Lalli. G., McCulloch G., &amp; Newman, L. (2025). “The UK School Meals Service, 1944–Present: A Sensory and Emotional Experience” </w:t>
      </w:r>
      <w:r w:rsidRPr="00D050E8">
        <w:rPr>
          <w:rFonts w:ascii="Calibri" w:eastAsia="Times New Roman" w:hAnsi="Calibri" w:cs="Calibri"/>
          <w:i/>
          <w:iCs/>
        </w:rPr>
        <w:t xml:space="preserve">History of Education </w:t>
      </w:r>
      <w:r w:rsidRPr="00D050E8">
        <w:rPr>
          <w:rFonts w:ascii="Calibri" w:eastAsia="Times New Roman" w:hAnsi="Calibri" w:cs="Calibri"/>
        </w:rPr>
        <w:t xml:space="preserve">55(3), 289-314. </w:t>
      </w:r>
      <w:r>
        <w:fldChar w:fldCharType="begin"/>
      </w:r>
      <w:r>
        <w:instrText xml:space="preserve"> HYPERLINK "https://doi.org/10.1080/0046760X.2025.2564358" </w:instrText>
      </w:r>
      <w:r>
        <w:fldChar w:fldCharType="separate"/>
      </w:r>
      <w:r w:rsidRPr="00D050E8">
        <w:rPr>
          <w:rFonts w:ascii="Calibri" w:eastAsia="Times New Roman" w:hAnsi="Calibri" w:cs="Calibri"/>
          <w:color w:val="006DB4"/>
        </w:rPr>
        <w:t>https://doi.org/10.1080/0046760X.2025.2564358</w:t>
      </w:r>
      <w:r>
        <w:fldChar w:fldCharType="end"/>
      </w:r>
      <w:r w:rsidRPr="00D050E8">
        <w:rPr>
          <w:rFonts w:ascii="Calibri" w:eastAsia="Times New Roman" w:hAnsi="Calibri" w:cs="Calibri"/>
        </w:rPr>
        <w:t xml:space="preserve"> </w:t>
      </w:r>
    </w:p>
    <w:p w:rsidR="007B557E" w:rsidRPr="00D050E8">
      <w:pPr>
        <w:spacing w:before="240" w:after="240" w:line="240" w:lineRule="auto"/>
        <w:rPr>
          <w:rFonts w:ascii="Calibri" w:eastAsia="Times New Roman" w:hAnsi="Calibri" w:cs="Calibri"/>
          <w:color w:val="1155CC"/>
          <w:u w:val="single"/>
        </w:rPr>
      </w:pPr>
      <w:r w:rsidRPr="00D050E8">
        <w:rPr>
          <w:rFonts w:ascii="Calibri" w:eastAsia="Times New Roman" w:hAnsi="Calibri" w:cs="Calibri"/>
        </w:rPr>
        <w:t xml:space="preserve">Ellis, H. &amp; Carter, I. (2025). “School Meals Stories”. </w:t>
      </w:r>
      <w:r w:rsidRPr="00D050E8">
        <w:rPr>
          <w:rFonts w:ascii="Calibri" w:eastAsia="Times New Roman" w:hAnsi="Calibri" w:cs="Calibri"/>
          <w:i/>
          <w:iCs/>
        </w:rPr>
        <w:t>History Workshop</w:t>
      </w:r>
      <w:r w:rsidRPr="00D050E8">
        <w:rPr>
          <w:rFonts w:ascii="Calibri" w:eastAsia="Times New Roman" w:hAnsi="Calibri" w:cs="Calibri"/>
        </w:rPr>
        <w:t>.</w:t>
      </w:r>
      <w:r>
        <w:fldChar w:fldCharType="begin"/>
      </w:r>
      <w:r>
        <w:instrText xml:space="preserve"> HYPERLINK "https://www.historyworkshop.org.uk/food/school-meals-stories/?utm_source=chatgpt.com" </w:instrText>
      </w:r>
      <w:r>
        <w:fldChar w:fldCharType="separate"/>
      </w:r>
      <w:r w:rsidRPr="00D050E8">
        <w:rPr>
          <w:rFonts w:ascii="Calibri" w:eastAsia="Times New Roman" w:hAnsi="Calibri" w:cs="Calibri"/>
        </w:rPr>
        <w:t xml:space="preserve"> </w:t>
      </w:r>
      <w:r>
        <w:fldChar w:fldCharType="end"/>
      </w:r>
      <w:r>
        <w:fldChar w:fldCharType="begin"/>
      </w:r>
      <w:r>
        <w:instrText xml:space="preserve"> HYPERLINK "https://www.historyworkshop.org.uk/food/school-meals-stories/?utm_source=chatgpt.com" </w:instrText>
      </w:r>
      <w:r>
        <w:fldChar w:fldCharType="separate"/>
      </w:r>
      <w:r w:rsidRPr="00D050E8">
        <w:rPr>
          <w:rFonts w:ascii="Calibri" w:eastAsia="Times New Roman" w:hAnsi="Calibri" w:cs="Calibri"/>
          <w:color w:val="1155CC"/>
          <w:u w:val="single"/>
        </w:rPr>
        <w:t>https://www.historyworkshop.org.uk/food/school-meals-stories/</w:t>
      </w:r>
      <w:r>
        <w:fldChar w:fldCharType="end"/>
      </w:r>
    </w:p>
    <w:p w:rsidR="007B557E" w:rsidRPr="00D050E8">
      <w:pPr>
        <w:spacing w:before="240" w:after="240" w:line="240" w:lineRule="auto"/>
        <w:rPr>
          <w:rFonts w:ascii="Calibri" w:eastAsia="Times New Roman" w:hAnsi="Calibri" w:cs="Calibri"/>
          <w:color w:val="1155CC"/>
          <w:u w:val="single"/>
        </w:rPr>
      </w:pPr>
      <w:r w:rsidRPr="00D050E8">
        <w:rPr>
          <w:rFonts w:ascii="Calibri" w:eastAsia="Times New Roman" w:hAnsi="Calibri" w:cs="Calibri"/>
        </w:rPr>
        <w:t>Ellis, H. (2026).</w:t>
      </w:r>
      <w:r w:rsidRPr="00D050E8">
        <w:rPr>
          <w:rFonts w:ascii="Calibri" w:eastAsia="Times New Roman" w:hAnsi="Calibri" w:cs="Calibri"/>
        </w:rPr>
        <w:t xml:space="preserve"> “School dinners are changing: The strong emotions and memories around these meals reflect their social, economic and cultural importance.” </w:t>
      </w:r>
      <w:r w:rsidRPr="00D050E8">
        <w:rPr>
          <w:rFonts w:ascii="Calibri" w:eastAsia="Times New Roman" w:hAnsi="Calibri" w:cs="Calibri"/>
          <w:i/>
          <w:iCs/>
        </w:rPr>
        <w:t>The Conversation</w:t>
      </w:r>
      <w:r w:rsidRPr="00D050E8">
        <w:rPr>
          <w:rFonts w:ascii="Calibri" w:eastAsia="Times New Roman" w:hAnsi="Calibri" w:cs="Calibri"/>
        </w:rPr>
        <w:t>.</w:t>
      </w:r>
      <w:r>
        <w:fldChar w:fldCharType="begin"/>
      </w:r>
      <w:r>
        <w:instrText xml:space="preserve"> HYPERLINK "https://theconversation.com/school-dinners-are-changing-the-strong-emotions-and-memories-around-these-meals-reflect-their-social-economic-and-cultural-importance-281917" </w:instrText>
      </w:r>
      <w:r>
        <w:fldChar w:fldCharType="separate"/>
      </w:r>
      <w:r w:rsidRPr="00D050E8">
        <w:rPr>
          <w:rFonts w:ascii="Calibri" w:eastAsia="Times New Roman" w:hAnsi="Calibri" w:cs="Calibri"/>
        </w:rPr>
        <w:t xml:space="preserve"> </w:t>
      </w:r>
      <w:r>
        <w:fldChar w:fldCharType="end"/>
      </w:r>
      <w:r>
        <w:fldChar w:fldCharType="begin"/>
      </w:r>
      <w:r>
        <w:instrText xml:space="preserve"> HYPERLINK "https://theconversation.com/school-dinners-are-changing-the-strong-emotions-and-memories-around-these-meals-reflect-their-social-economic-and-cultural-importance-281917" </w:instrText>
      </w:r>
      <w:r>
        <w:fldChar w:fldCharType="separate"/>
      </w:r>
      <w:r w:rsidRPr="00D050E8">
        <w:rPr>
          <w:rFonts w:ascii="Calibri" w:eastAsia="Times New Roman" w:hAnsi="Calibri" w:cs="Calibri"/>
          <w:color w:val="1155CC"/>
          <w:u w:val="single"/>
        </w:rPr>
        <w:t>https://theconversation.com/school-dinners-are-changing-the-strong-emotions-and-memories-around-these-meals-reflect-their-social-economic-and-cultural-importance-281917</w:t>
      </w:r>
      <w:r>
        <w:fldChar w:fldCharType="end"/>
      </w:r>
    </w:p>
    <w:p w:rsidR="007B557E" w:rsidRPr="00D050E8">
      <w:pPr>
        <w:spacing w:before="240" w:after="240" w:line="240" w:lineRule="auto"/>
        <w:rPr>
          <w:rFonts w:ascii="Calibri" w:eastAsia="Times New Roman" w:hAnsi="Calibri" w:cs="Calibri"/>
        </w:rPr>
      </w:pPr>
    </w:p>
    <w:p w:rsidR="007B557E" w:rsidRPr="00D050E8">
      <w:pPr>
        <w:rPr>
          <w:rFonts w:ascii="Calibri" w:hAnsi="Calibri" w:cs="Calibri"/>
          <w:i/>
          <w:iCs/>
        </w:rPr>
      </w:pPr>
      <w:r w:rsidRPr="00D050E8">
        <w:rPr>
          <w:rFonts w:ascii="Calibri" w:hAnsi="Calibri" w:cs="Calibri"/>
          <w:i/>
          <w:iCs/>
        </w:rPr>
        <w:t>September 2026</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EA8C79A-7629-4A83-A367-810C4F3D3EB7}"/>
    <w:embedBold r:id="rId2" w:fontKey="{A7E2906C-0282-4DD8-83BE-7251A900A136}"/>
    <w:embedItalic r:id="rId3" w:fontKey="{E7CA87C1-C13F-4F9C-9719-C9F005087545}"/>
  </w:font>
  <w:font w:name="Cambria">
    <w:panose1 w:val="02040503050406030204"/>
    <w:charset w:val="00"/>
    <w:family w:val="roman"/>
    <w:pitch w:val="variable"/>
    <w:sig w:usb0="E00006FF" w:usb1="420024FF" w:usb2="02000000" w:usb3="00000000" w:csb0="0000019F" w:csb1="00000000"/>
    <w:embedRegular r:id="rId4" w:fontKey="{2B378086-7268-45AF-A9D1-5FC24A7CD55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ECA0134</dc:title>
  <cp:revision>0</cp:revision>
</cp:coreProperties>
</file>