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B7ECC" w:rsidRPr="00F82888" w:rsidP="00F82888">
      <w:pPr>
        <w:jc w:val="center"/>
        <w:rPr>
          <w:rFonts w:ascii="Calibri" w:hAnsi="Calibri" w:cs="Calibri"/>
          <w:b/>
          <w:bCs/>
        </w:rPr>
      </w:pPr>
      <w:r w:rsidRPr="00F82888">
        <w:rPr>
          <w:rFonts w:ascii="Calibri" w:hAnsi="Calibri" w:cs="Calibri"/>
          <w:b/>
          <w:bCs/>
        </w:rPr>
        <w:t xml:space="preserve">Written evidence by </w:t>
      </w:r>
      <w:r w:rsidRPr="00F82888">
        <w:rPr>
          <w:rFonts w:ascii="Calibri" w:hAnsi="Calibri" w:cs="Calibri"/>
          <w:b/>
          <w:bCs/>
        </w:rPr>
        <w:t>Voice 21</w:t>
      </w:r>
      <w:r w:rsidRPr="00F82888">
        <w:rPr>
          <w:rFonts w:ascii="Calibri" w:hAnsi="Calibri" w:cs="Calibri"/>
          <w:b/>
          <w:bCs/>
        </w:rPr>
        <w:t xml:space="preserve"> (</w:t>
      </w:r>
      <w:r w:rsidRPr="00F82888">
        <w:rPr>
          <w:rFonts w:ascii="Calibri" w:hAnsi="Calibri" w:cs="Calibri"/>
          <w:b/>
          <w:bCs/>
        </w:rPr>
        <w:t>ECA0133</w:t>
      </w:r>
      <w:r w:rsidRPr="00F82888">
        <w:rPr>
          <w:rFonts w:ascii="Calibri" w:hAnsi="Calibri" w:cs="Calibri"/>
          <w:b/>
          <w:bCs/>
        </w:rPr>
        <w:t>)</w:t>
      </w:r>
    </w:p>
    <w:p w:rsidR="00F82888" w:rsidRPr="00F82888" w:rsidP="00F82888">
      <w:pPr>
        <w:jc w:val="center"/>
        <w:rPr>
          <w:rFonts w:ascii="Calibri" w:hAnsi="Calibri" w:cs="Calibri"/>
          <w:b/>
          <w:bCs/>
        </w:rPr>
      </w:pPr>
    </w:p>
    <w:p w:rsidR="00F82888" w:rsidRPr="00F82888" w:rsidP="00F82888">
      <w:pPr>
        <w:rPr>
          <w:rFonts w:ascii="Calibri" w:hAnsi="Calibri" w:cs="Calibri"/>
          <w:b/>
          <w:bCs/>
        </w:rPr>
      </w:pPr>
      <w:r w:rsidRPr="00F82888">
        <w:rPr>
          <w:rFonts w:ascii="Calibri" w:hAnsi="Calibri" w:cs="Calibri"/>
          <w:b/>
          <w:bCs/>
        </w:rPr>
        <w:t>Education Committee</w:t>
      </w:r>
    </w:p>
    <w:p w:rsidR="00F82888" w:rsidRPr="00F82888" w:rsidP="00F82888">
      <w:pPr>
        <w:rPr>
          <w:rFonts w:ascii="Calibri" w:hAnsi="Calibri" w:cs="Calibri"/>
          <w:b/>
          <w:bCs/>
        </w:rPr>
      </w:pPr>
      <w:r w:rsidRPr="00F82888">
        <w:rPr>
          <w:rFonts w:ascii="Calibri" w:hAnsi="Calibri" w:cs="Calibri"/>
          <w:b/>
          <w:bCs/>
        </w:rPr>
        <w:t>Every Child Achieving and Thriving’ White Paper</w:t>
      </w:r>
    </w:p>
    <w:p w:rsidR="001B7ECC" w:rsidRPr="00F82888">
      <w:pPr>
        <w:rPr>
          <w:rFonts w:ascii="Calibri" w:hAnsi="Calibri" w:cs="Calibri"/>
          <w:b/>
          <w:bCs/>
        </w:rPr>
      </w:pPr>
    </w:p>
    <w:p w:rsidR="001B7ECC" w:rsidRPr="00F82888">
      <w:pPr>
        <w:rPr>
          <w:rFonts w:ascii="Calibri" w:hAnsi="Calibri" w:cs="Calibri"/>
          <w:b/>
          <w:bCs/>
        </w:rPr>
      </w:pPr>
      <w:r w:rsidRPr="00F82888">
        <w:rPr>
          <w:rFonts w:ascii="Calibri" w:hAnsi="Calibri" w:cs="Calibri"/>
          <w:b/>
          <w:bCs/>
        </w:rPr>
        <w:t>About Voice 21:</w:t>
      </w:r>
    </w:p>
    <w:p w:rsidR="001B7ECC" w:rsidRPr="00F82888">
      <w:pPr>
        <w:rPr>
          <w:rFonts w:ascii="Calibri" w:hAnsi="Calibri" w:cs="Calibri"/>
        </w:rPr>
      </w:pPr>
    </w:p>
    <w:p w:rsidR="001B7ECC" w:rsidRPr="00F82888">
      <w:pPr>
        <w:numPr>
          <w:ilvl w:val="0"/>
          <w:numId w:val="1"/>
        </w:numPr>
        <w:rPr>
          <w:rFonts w:ascii="Calibri" w:hAnsi="Calibri" w:cs="Calibri"/>
        </w:rPr>
      </w:pPr>
      <w:r w:rsidRPr="00F82888">
        <w:rPr>
          <w:rFonts w:ascii="Calibri" w:hAnsi="Calibri" w:cs="Calibri"/>
        </w:rPr>
        <w:t>Voice 21 is the national oracy charity. Our vision is that every child benefits from a high-quality oracy education, which enables them to use their voice to thrive in school, work and life.</w:t>
      </w:r>
    </w:p>
    <w:p w:rsidR="001B7ECC" w:rsidRPr="00F82888">
      <w:pPr>
        <w:numPr>
          <w:ilvl w:val="0"/>
          <w:numId w:val="1"/>
        </w:numPr>
        <w:rPr>
          <w:rFonts w:ascii="Calibri" w:hAnsi="Calibri" w:cs="Calibri"/>
        </w:rPr>
      </w:pPr>
      <w:r w:rsidRPr="00F82888">
        <w:rPr>
          <w:rFonts w:ascii="Calibri" w:hAnsi="Calibri" w:cs="Calibri"/>
        </w:rPr>
        <w:t>We support 1,200 schools each year by ensuring speaking, listening and communication skills are developed through teaching, the curriculum and wider school life.  Over the last 10 years, Voice 21 has supported 1 in 10 schools in the UK and over 16,000 teachers to deliver a high-quality oracy education as part of their daily lessons.</w:t>
      </w:r>
    </w:p>
    <w:p w:rsidR="001B7ECC" w:rsidRPr="00F82888">
      <w:pPr>
        <w:rPr>
          <w:rFonts w:ascii="Calibri" w:hAnsi="Calibri" w:cs="Calibri"/>
          <w:b/>
          <w:bCs/>
        </w:rPr>
      </w:pPr>
    </w:p>
    <w:p w:rsidR="001B7ECC" w:rsidRPr="00F82888">
      <w:pPr>
        <w:rPr>
          <w:rFonts w:ascii="Calibri" w:hAnsi="Calibri" w:cs="Calibri"/>
          <w:b/>
          <w:bCs/>
        </w:rPr>
      </w:pPr>
      <w:r w:rsidRPr="00F82888">
        <w:rPr>
          <w:rFonts w:ascii="Calibri" w:hAnsi="Calibri" w:cs="Calibri"/>
          <w:b/>
          <w:bCs/>
        </w:rPr>
        <w:t>Evidence:</w:t>
      </w:r>
    </w:p>
    <w:p w:rsidR="001B7ECC" w:rsidRPr="00F82888">
      <w:pPr>
        <w:numPr>
          <w:ilvl w:val="0"/>
          <w:numId w:val="1"/>
        </w:numPr>
        <w:spacing w:before="240" w:line="240" w:lineRule="auto"/>
        <w:rPr>
          <w:rFonts w:ascii="Calibri" w:hAnsi="Calibri" w:cs="Calibri"/>
        </w:rPr>
      </w:pPr>
      <w:r w:rsidRPr="00F82888">
        <w:rPr>
          <w:rFonts w:ascii="Calibri" w:hAnsi="Calibri" w:cs="Calibri"/>
        </w:rPr>
        <w:t>The Government’s education plans set out ambitious aims to reduce the disadvantage gap – a goal Voice 21 strongly supports.</w:t>
      </w:r>
    </w:p>
    <w:p w:rsidR="001B7ECC" w:rsidRPr="00F82888">
      <w:pPr>
        <w:numPr>
          <w:ilvl w:val="0"/>
          <w:numId w:val="1"/>
        </w:numPr>
        <w:spacing w:line="240" w:lineRule="auto"/>
        <w:rPr>
          <w:rFonts w:ascii="Calibri" w:hAnsi="Calibri" w:cs="Calibri"/>
        </w:rPr>
      </w:pPr>
      <w:r w:rsidRPr="00F82888">
        <w:rPr>
          <w:rFonts w:ascii="Calibri" w:hAnsi="Calibri" w:cs="Calibri"/>
        </w:rPr>
        <w:t>The ability to speak, listen and communicate confidently are essential skills for learning and for life. It was encouraging to see oracy being recognised as a core skill alongside reading, writing and numeracy. We’ve long called for oracy to be given this prominence, and it was a central recommendation of the Oracy Education Commission in 2024</w:t>
      </w:r>
      <w:r>
        <w:rPr>
          <w:rFonts w:ascii="Calibri" w:hAnsi="Calibri" w:cs="Calibri"/>
          <w:vertAlign w:val="superscript"/>
        </w:rPr>
        <w:footnoteReference w:id="2"/>
      </w:r>
      <w:r w:rsidRPr="00F82888">
        <w:rPr>
          <w:rFonts w:ascii="Calibri" w:hAnsi="Calibri" w:cs="Calibri"/>
        </w:rPr>
        <w:t>.</w:t>
      </w:r>
    </w:p>
    <w:p w:rsidR="001B7ECC" w:rsidRPr="00F82888">
      <w:pPr>
        <w:numPr>
          <w:ilvl w:val="0"/>
          <w:numId w:val="1"/>
        </w:numPr>
        <w:spacing w:after="240" w:line="240" w:lineRule="auto"/>
        <w:rPr>
          <w:rFonts w:ascii="Calibri" w:hAnsi="Calibri" w:cs="Calibri"/>
        </w:rPr>
      </w:pPr>
      <w:r w:rsidRPr="00F82888">
        <w:rPr>
          <w:rFonts w:ascii="Calibri" w:hAnsi="Calibri" w:cs="Calibri"/>
        </w:rPr>
        <w:t>When oracy education is a priority, we lay the foundations for every child to thrive and to make their voice heard, whatever their background. For children facing disadvantage, or who have additional needs, strong speaking and listening skills are particularly powerful.</w:t>
      </w:r>
    </w:p>
    <w:p w:rsidR="001B7ECC" w:rsidRPr="00F82888">
      <w:pPr>
        <w:spacing w:before="240" w:after="240" w:line="240" w:lineRule="auto"/>
        <w:ind w:left="720"/>
        <w:rPr>
          <w:rFonts w:ascii="Calibri" w:hAnsi="Calibri" w:cs="Calibri"/>
          <w:b/>
          <w:bCs/>
          <w:i/>
          <w:iCs/>
        </w:rPr>
      </w:pPr>
      <w:r w:rsidRPr="00F82888">
        <w:rPr>
          <w:rFonts w:ascii="Calibri" w:hAnsi="Calibri" w:cs="Calibri"/>
          <w:b/>
          <w:bCs/>
          <w:i/>
          <w:iCs/>
        </w:rPr>
        <w:t>‘The Government’s ambition to raise attainment, including reducing the disadvantage gap’</w:t>
      </w:r>
    </w:p>
    <w:p w:rsidR="001B7ECC" w:rsidRPr="00F82888">
      <w:pPr>
        <w:numPr>
          <w:ilvl w:val="0"/>
          <w:numId w:val="1"/>
        </w:numPr>
        <w:spacing w:before="240" w:line="240" w:lineRule="auto"/>
        <w:rPr>
          <w:rFonts w:ascii="Calibri" w:hAnsi="Calibri" w:cs="Calibri"/>
        </w:rPr>
      </w:pPr>
      <w:r w:rsidRPr="00F82888">
        <w:rPr>
          <w:rFonts w:ascii="Calibri" w:hAnsi="Calibri" w:cs="Calibri"/>
        </w:rPr>
        <w:t>Talk is a feature of every classroom and educational setting. Harnessed effectively for learning, it enhances cognition and improves outcomes. Oracy can be nurtured, taught, demonstrated and applied through explicit instruction, planned authentic learning experiences, as well as teachable moments. While this practice begins in the early years, it continues to support students as they progress through school.</w:t>
      </w:r>
    </w:p>
    <w:p w:rsidR="001B7ECC" w:rsidRPr="00F82888">
      <w:pPr>
        <w:numPr>
          <w:ilvl w:val="0"/>
          <w:numId w:val="1"/>
        </w:numPr>
        <w:spacing w:line="240" w:lineRule="auto"/>
        <w:rPr>
          <w:rFonts w:ascii="Calibri" w:hAnsi="Calibri" w:cs="Calibri"/>
        </w:rPr>
      </w:pPr>
      <w:r w:rsidRPr="00F82888">
        <w:rPr>
          <w:rFonts w:ascii="Calibri" w:hAnsi="Calibri" w:cs="Calibri"/>
        </w:rPr>
        <w:t>Research has shown that dialogic approaches can raise achievement across the curriculum and enhance children’s learning, including on standardised tests</w:t>
      </w:r>
      <w:r>
        <w:rPr>
          <w:rFonts w:ascii="Calibri" w:hAnsi="Calibri" w:cs="Calibri"/>
          <w:vertAlign w:val="superscript"/>
        </w:rPr>
        <w:footnoteReference w:id="3"/>
      </w:r>
      <w:r>
        <w:rPr>
          <w:rFonts w:ascii="Calibri" w:hAnsi="Calibri" w:cs="Calibri"/>
          <w:vertAlign w:val="superscript"/>
        </w:rPr>
        <w:footnoteReference w:id="4"/>
      </w:r>
      <w:r>
        <w:rPr>
          <w:rFonts w:ascii="Calibri" w:hAnsi="Calibri" w:cs="Calibri"/>
          <w:vertAlign w:val="superscript"/>
        </w:rPr>
        <w:footnoteReference w:id="5"/>
      </w:r>
      <w:r w:rsidRPr="00F82888">
        <w:rPr>
          <w:rFonts w:ascii="Calibri" w:hAnsi="Calibri" w:cs="Calibri"/>
        </w:rPr>
        <w:t>. There is also evidence to suggest that classroom discussion can support students’ capacity for reasoning, processing and problem solving</w:t>
      </w:r>
      <w:r>
        <w:rPr>
          <w:rFonts w:ascii="Calibri" w:hAnsi="Calibri" w:cs="Calibri"/>
          <w:vertAlign w:val="superscript"/>
        </w:rPr>
        <w:footnoteReference w:id="6"/>
      </w:r>
      <w:r w:rsidRPr="00F82888">
        <w:rPr>
          <w:rFonts w:ascii="Calibri" w:hAnsi="Calibri" w:cs="Calibri"/>
        </w:rPr>
        <w:t xml:space="preserve">. </w:t>
      </w:r>
    </w:p>
    <w:p w:rsidR="001B7ECC" w:rsidRPr="00F82888">
      <w:pPr>
        <w:numPr>
          <w:ilvl w:val="0"/>
          <w:numId w:val="1"/>
        </w:numPr>
        <w:rPr>
          <w:rFonts w:ascii="Calibri" w:hAnsi="Calibri" w:cs="Calibri"/>
        </w:rPr>
      </w:pPr>
      <w:r w:rsidRPr="00F82888">
        <w:rPr>
          <w:rFonts w:ascii="Calibri" w:hAnsi="Calibri" w:cs="Calibri"/>
        </w:rPr>
        <w:t xml:space="preserve">An EEF study on Oral Language Interventions (oracy) found that students make an additional +6 months of progress, a high impact and </w:t>
      </w:r>
      <w:r w:rsidRPr="00F82888">
        <w:rPr>
          <w:rFonts w:ascii="Calibri" w:hAnsi="Calibri" w:cs="Calibri"/>
        </w:rPr>
        <w:t>low cost</w:t>
      </w:r>
      <w:r w:rsidRPr="00F82888">
        <w:rPr>
          <w:rFonts w:ascii="Calibri" w:hAnsi="Calibri" w:cs="Calibri"/>
        </w:rPr>
        <w:t xml:space="preserve"> intervention</w:t>
      </w:r>
      <w:r>
        <w:rPr>
          <w:rFonts w:ascii="Calibri" w:hAnsi="Calibri" w:cs="Calibri"/>
          <w:vertAlign w:val="superscript"/>
        </w:rPr>
        <w:footnoteReference w:id="7"/>
      </w:r>
      <w:r w:rsidRPr="00F82888">
        <w:rPr>
          <w:rFonts w:ascii="Calibri" w:hAnsi="Calibri" w:cs="Calibri"/>
        </w:rPr>
        <w:t xml:space="preserve">. </w:t>
      </w:r>
    </w:p>
    <w:p w:rsidR="001B7ECC" w:rsidRPr="00F82888">
      <w:pPr>
        <w:numPr>
          <w:ilvl w:val="0"/>
          <w:numId w:val="1"/>
        </w:numPr>
        <w:rPr>
          <w:rFonts w:ascii="Calibri" w:hAnsi="Calibri" w:cs="Calibri"/>
        </w:rPr>
      </w:pPr>
      <w:r w:rsidRPr="00F82888">
        <w:rPr>
          <w:rFonts w:ascii="Calibri" w:hAnsi="Calibri" w:cs="Calibri"/>
        </w:rPr>
        <w:t>According to Resnick et al (2018), “studies also show that students in average and low-performing schools not only were able to participate in discussions, but they also significantly improved their general learning abilities, compared to peers who were not taught through a discussion method</w:t>
      </w:r>
      <w:r>
        <w:rPr>
          <w:rFonts w:ascii="Calibri" w:hAnsi="Calibri" w:cs="Calibri"/>
          <w:vertAlign w:val="superscript"/>
        </w:rPr>
        <w:footnoteReference w:id="8"/>
      </w:r>
      <w:r w:rsidRPr="00F82888">
        <w:rPr>
          <w:rFonts w:ascii="Calibri" w:hAnsi="Calibri" w:cs="Calibri"/>
        </w:rPr>
        <w:t>.”</w:t>
      </w:r>
    </w:p>
    <w:p w:rsidR="001B7ECC" w:rsidRPr="00F82888">
      <w:pPr>
        <w:rPr>
          <w:rFonts w:ascii="Calibri" w:hAnsi="Calibri" w:cs="Calibri"/>
        </w:rPr>
      </w:pPr>
    </w:p>
    <w:p w:rsidR="001B7ECC" w:rsidRPr="00F82888">
      <w:pPr>
        <w:ind w:left="720"/>
        <w:rPr>
          <w:rFonts w:ascii="Calibri" w:hAnsi="Calibri" w:cs="Calibri"/>
          <w:b/>
          <w:bCs/>
          <w:i/>
          <w:iCs/>
        </w:rPr>
      </w:pPr>
      <w:r w:rsidRPr="00F82888">
        <w:rPr>
          <w:rFonts w:ascii="Calibri" w:hAnsi="Calibri" w:cs="Calibri"/>
          <w:b/>
          <w:bCs/>
          <w:i/>
          <w:iCs/>
        </w:rPr>
        <w:t>‘How essential skills can be more effectively integrated into the curriculum in order to raise attainment and reduce the number of young people not in education, employment or training (NEET)’</w:t>
      </w:r>
    </w:p>
    <w:p w:rsidR="001B7ECC" w:rsidRPr="00F82888">
      <w:pPr>
        <w:rPr>
          <w:rFonts w:ascii="Calibri" w:hAnsi="Calibri" w:cs="Calibri"/>
          <w:b/>
          <w:bCs/>
          <w:i/>
          <w:iCs/>
        </w:rPr>
      </w:pPr>
    </w:p>
    <w:p w:rsidR="001B7ECC" w:rsidRPr="00F82888">
      <w:pPr>
        <w:numPr>
          <w:ilvl w:val="0"/>
          <w:numId w:val="1"/>
        </w:numPr>
        <w:spacing w:line="240" w:lineRule="auto"/>
        <w:rPr>
          <w:rFonts w:ascii="Calibri" w:hAnsi="Calibri" w:cs="Calibri"/>
        </w:rPr>
      </w:pPr>
      <w:r w:rsidRPr="00F82888">
        <w:rPr>
          <w:rFonts w:ascii="Calibri" w:hAnsi="Calibri" w:cs="Calibri"/>
        </w:rPr>
        <w:t xml:space="preserve">The Milburn review confirmed a reality we've long </w:t>
      </w:r>
      <w:r w:rsidRPr="00F82888">
        <w:rPr>
          <w:rFonts w:ascii="Calibri" w:hAnsi="Calibri" w:cs="Calibri"/>
        </w:rPr>
        <w:t>known:</w:t>
      </w:r>
      <w:r w:rsidRPr="00F82888">
        <w:rPr>
          <w:rFonts w:ascii="Calibri" w:hAnsi="Calibri" w:cs="Calibri"/>
        </w:rPr>
        <w:t xml:space="preserve"> there are far too many barriers to young people getting into work. The problem isn’t their aspirations or the dedication of their teachers - the system is letting them down. With over a million young people currently not in employment, education or training, this must be a turning point. While the issues are complex, education is a vital piece of the puzzle. So is oracy education. </w:t>
      </w:r>
    </w:p>
    <w:p w:rsidR="001B7ECC" w:rsidRPr="00F82888">
      <w:pPr>
        <w:numPr>
          <w:ilvl w:val="0"/>
          <w:numId w:val="1"/>
        </w:numPr>
        <w:spacing w:line="240" w:lineRule="auto"/>
        <w:rPr>
          <w:rFonts w:ascii="Calibri" w:hAnsi="Calibri" w:cs="Calibri"/>
        </w:rPr>
      </w:pPr>
      <w:r w:rsidRPr="00F82888">
        <w:rPr>
          <w:rFonts w:ascii="Calibri" w:hAnsi="Calibri" w:cs="Calibri"/>
        </w:rPr>
        <w:t>We strongly support the Prime Minister’s and Education Secretary’s ambition to tackle this head on and help ‘</w:t>
      </w:r>
      <w:r w:rsidRPr="00F82888">
        <w:rPr>
          <w:rFonts w:ascii="Calibri" w:hAnsi="Calibri" w:cs="Calibri"/>
          <w:i/>
          <w:iCs/>
        </w:rPr>
        <w:t>young people thrive in today’s economy and careers of the future</w:t>
      </w:r>
      <w:r w:rsidRPr="00F82888">
        <w:rPr>
          <w:rFonts w:ascii="Calibri" w:hAnsi="Calibri" w:cs="Calibri"/>
        </w:rPr>
        <w:t>’.</w:t>
      </w:r>
    </w:p>
    <w:p w:rsidR="001B7ECC" w:rsidRPr="00F82888">
      <w:pPr>
        <w:numPr>
          <w:ilvl w:val="0"/>
          <w:numId w:val="1"/>
        </w:numPr>
        <w:spacing w:line="240" w:lineRule="auto"/>
        <w:rPr>
          <w:rFonts w:ascii="Calibri" w:hAnsi="Calibri" w:cs="Calibri"/>
        </w:rPr>
      </w:pPr>
      <w:r w:rsidRPr="00F82888">
        <w:rPr>
          <w:rFonts w:ascii="Calibri" w:hAnsi="Calibri" w:cs="Calibri"/>
        </w:rPr>
        <w:t>From a decade of working with schools, we know that oracy – articulating ideas, developing understanding and engaging with others through speaking, listening and communication – is fundamental to a child’s life chances.</w:t>
      </w:r>
    </w:p>
    <w:p w:rsidR="001B7ECC" w:rsidRPr="00F82888">
      <w:pPr>
        <w:numPr>
          <w:ilvl w:val="0"/>
          <w:numId w:val="1"/>
        </w:numPr>
        <w:spacing w:line="240" w:lineRule="auto"/>
        <w:rPr>
          <w:rFonts w:ascii="Calibri" w:hAnsi="Calibri" w:cs="Calibri"/>
        </w:rPr>
      </w:pPr>
      <w:r w:rsidRPr="00F82888">
        <w:rPr>
          <w:rFonts w:ascii="Calibri" w:hAnsi="Calibri" w:cs="Calibri"/>
        </w:rPr>
        <w:t>Oracy underpins each of the six key Essential Employability Skills (highlighted in NFER’s Skills Imperative 2035 Report). Being able to communicate effectively in different contexts, with different audiences, and for different purposes is crucial for young people to be able to navigate the world of work.</w:t>
      </w:r>
    </w:p>
    <w:p w:rsidR="001B7ECC" w:rsidRPr="00F82888">
      <w:pPr>
        <w:numPr>
          <w:ilvl w:val="0"/>
          <w:numId w:val="1"/>
        </w:numPr>
        <w:spacing w:line="240" w:lineRule="auto"/>
        <w:rPr>
          <w:rFonts w:ascii="Calibri" w:hAnsi="Calibri" w:cs="Calibri"/>
        </w:rPr>
      </w:pPr>
      <w:r w:rsidRPr="00F82888">
        <w:rPr>
          <w:rFonts w:ascii="Calibri" w:hAnsi="Calibri" w:cs="Calibri"/>
        </w:rPr>
        <w:t xml:space="preserve">There is substantial research evidence emphasising the need to elevate careers education in secondary and post-16 settings, </w:t>
      </w:r>
      <w:r w:rsidRPr="00F82888">
        <w:rPr>
          <w:rFonts w:ascii="Calibri" w:hAnsi="Calibri" w:cs="Calibri"/>
        </w:rPr>
        <w:t>in order to</w:t>
      </w:r>
      <w:r w:rsidRPr="00F82888">
        <w:rPr>
          <w:rFonts w:ascii="Calibri" w:hAnsi="Calibri" w:cs="Calibri"/>
        </w:rPr>
        <w:t xml:space="preserve"> increase participation from young people.</w:t>
      </w:r>
    </w:p>
    <w:p w:rsidR="001B7ECC" w:rsidRPr="00F82888">
      <w:pPr>
        <w:numPr>
          <w:ilvl w:val="0"/>
          <w:numId w:val="1"/>
        </w:numPr>
        <w:spacing w:line="240" w:lineRule="auto"/>
        <w:rPr>
          <w:rFonts w:ascii="Calibri" w:hAnsi="Calibri" w:cs="Calibri"/>
        </w:rPr>
      </w:pPr>
      <w:r w:rsidRPr="00F82888">
        <w:rPr>
          <w:rFonts w:ascii="Calibri" w:hAnsi="Calibri" w:cs="Calibri"/>
        </w:rPr>
        <w:t xml:space="preserve">This </w:t>
      </w:r>
      <w:r w:rsidRPr="00F82888">
        <w:rPr>
          <w:rFonts w:ascii="Calibri" w:hAnsi="Calibri" w:cs="Calibri"/>
        </w:rPr>
        <w:t>includes:</w:t>
      </w:r>
      <w:r w:rsidRPr="00F82888">
        <w:rPr>
          <w:rFonts w:ascii="Calibri" w:hAnsi="Calibri" w:cs="Calibri"/>
        </w:rPr>
        <w:t xml:space="preserve"> updates to the Gatsby Benchmarks</w:t>
      </w:r>
      <w:r>
        <w:rPr>
          <w:rFonts w:ascii="Calibri" w:hAnsi="Calibri" w:cs="Calibri"/>
          <w:vertAlign w:val="superscript"/>
        </w:rPr>
        <w:footnoteReference w:id="9"/>
      </w:r>
      <w:r w:rsidRPr="00F82888">
        <w:rPr>
          <w:rFonts w:ascii="Calibri" w:hAnsi="Calibri" w:cs="Calibri"/>
        </w:rPr>
        <w:t>; the Post-16 White Paper</w:t>
      </w:r>
      <w:r>
        <w:rPr>
          <w:rFonts w:ascii="Calibri" w:hAnsi="Calibri" w:cs="Calibri"/>
          <w:vertAlign w:val="superscript"/>
        </w:rPr>
        <w:footnoteReference w:id="10"/>
      </w:r>
      <w:r w:rsidRPr="00F82888">
        <w:rPr>
          <w:rFonts w:ascii="Calibri" w:hAnsi="Calibri" w:cs="Calibri"/>
        </w:rPr>
        <w:t>; NFER’s The Skills Imperative 2035 Report</w:t>
      </w:r>
      <w:r>
        <w:rPr>
          <w:rFonts w:ascii="Calibri" w:hAnsi="Calibri" w:cs="Calibri"/>
          <w:vertAlign w:val="superscript"/>
        </w:rPr>
        <w:footnoteReference w:id="11"/>
      </w:r>
      <w:r w:rsidRPr="00F82888">
        <w:rPr>
          <w:rFonts w:ascii="Calibri" w:hAnsi="Calibri" w:cs="Calibri"/>
        </w:rPr>
        <w:t>; and OFSTED’s Further Education and Skills Inspection Toolkit</w:t>
      </w:r>
      <w:r>
        <w:rPr>
          <w:rFonts w:ascii="Calibri" w:hAnsi="Calibri" w:cs="Calibri"/>
          <w:vertAlign w:val="superscript"/>
        </w:rPr>
        <w:footnoteReference w:id="12"/>
      </w:r>
      <w:r w:rsidRPr="00F82888">
        <w:rPr>
          <w:rFonts w:ascii="Calibri" w:hAnsi="Calibri" w:cs="Calibri"/>
        </w:rPr>
        <w:t xml:space="preserve">. </w:t>
      </w:r>
    </w:p>
    <w:p w:rsidR="001B7ECC" w:rsidRPr="00F82888">
      <w:pPr>
        <w:numPr>
          <w:ilvl w:val="0"/>
          <w:numId w:val="1"/>
        </w:numPr>
        <w:spacing w:after="160" w:line="240" w:lineRule="auto"/>
        <w:rPr>
          <w:rFonts w:ascii="Calibri" w:hAnsi="Calibri" w:cs="Calibri"/>
        </w:rPr>
      </w:pPr>
      <w:r w:rsidRPr="00F82888">
        <w:rPr>
          <w:rFonts w:ascii="Calibri" w:hAnsi="Calibri" w:cs="Calibri"/>
        </w:rPr>
        <w:t>If we want young people to leave school and college feeling confident and equipped to enter employment, oracy needs to be at the heart of what happens in schools and colleges across the UK. Teaching these vital skills opens opportunities that may otherwise be out of reach for many students.</w:t>
      </w:r>
    </w:p>
    <w:p w:rsidR="00F82888" w:rsidRPr="00F82888" w:rsidP="00F82888">
      <w:pPr>
        <w:spacing w:after="160" w:line="240" w:lineRule="auto"/>
        <w:rPr>
          <w:rFonts w:ascii="Calibri" w:hAnsi="Calibri" w:cs="Calibri"/>
          <w:i/>
          <w:iCs/>
        </w:rPr>
      </w:pPr>
      <w:r w:rsidRPr="00F82888">
        <w:rPr>
          <w:rFonts w:ascii="Calibri" w:hAnsi="Calibri" w:cs="Calibri"/>
          <w:i/>
          <w:iCs/>
        </w:rPr>
        <w:t>September 2026</w:t>
      </w:r>
    </w:p>
    <w:sectPr>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CB0BEF6-516E-4F7D-BECA-73E372381A44}"/>
    <w:embedBold r:id="rId2" w:fontKey="{1C4781FD-E1F5-4676-9305-653DB29AB751}"/>
    <w:embedItalic r:id="rId3" w:fontKey="{B0CD6D15-3861-4E79-8D67-4A9548F98F1B}"/>
    <w:embedBoldItalic r:id="rId4" w:fontKey="{E714230B-D82F-4E00-A2CB-D2F0D7FE0A76}"/>
  </w:font>
  <w:font w:name="Cambria">
    <w:panose1 w:val="02040503050406030204"/>
    <w:charset w:val="00"/>
    <w:family w:val="roman"/>
    <w:pitch w:val="variable"/>
    <w:sig w:usb0="E00006FF" w:usb1="420024FF" w:usb2="02000000" w:usb3="00000000" w:csb0="0000019F" w:csb1="00000000"/>
    <w:embedRegular r:id="rId5" w:fontKey="{6467E9C6-51B0-48C7-B3A5-4944210D4A2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D645E">
      <w:pPr>
        <w:spacing w:line="240" w:lineRule="auto"/>
      </w:pPr>
      <w:r>
        <w:separator/>
      </w:r>
    </w:p>
  </w:footnote>
  <w:footnote w:type="continuationSeparator" w:id="1">
    <w:p w:rsidR="006D645E">
      <w:pPr>
        <w:spacing w:line="240" w:lineRule="auto"/>
      </w:pPr>
      <w:r>
        <w:continuationSeparator/>
      </w:r>
    </w:p>
  </w:footnote>
  <w:footnote w:id="2">
    <w:p w:rsidR="001B7ECC">
      <w:pPr>
        <w:spacing w:line="240" w:lineRule="auto"/>
        <w:rPr>
          <w:sz w:val="16"/>
          <w:szCs w:val="16"/>
        </w:rPr>
      </w:pPr>
      <w:r>
        <w:rPr>
          <w:vertAlign w:val="superscript"/>
        </w:rPr>
        <w:footnoteRef/>
      </w:r>
      <w:r>
        <w:rPr>
          <w:sz w:val="16"/>
          <w:szCs w:val="16"/>
        </w:rPr>
        <w:t>https://oracyeducationcommission.co.uk/wp-content/uploads/2024/10/Future-of-Oracy-v23-web-13.pdf</w:t>
      </w:r>
    </w:p>
  </w:footnote>
  <w:footnote w:id="3">
    <w:p w:rsidR="001B7ECC">
      <w:pPr>
        <w:spacing w:line="240" w:lineRule="auto"/>
        <w:rPr>
          <w:sz w:val="16"/>
          <w:szCs w:val="16"/>
        </w:rPr>
      </w:pPr>
      <w:r>
        <w:rPr>
          <w:vertAlign w:val="superscript"/>
        </w:rPr>
        <w:footnoteRef/>
      </w:r>
      <w:r>
        <w:rPr>
          <w:sz w:val="16"/>
          <w:szCs w:val="16"/>
        </w:rPr>
        <w:t xml:space="preserve"> Alexander, R. 2018. Developing dialogic teaching: genesis, process, trial. Research Papers in Education 33(5).</w:t>
      </w:r>
    </w:p>
  </w:footnote>
  <w:footnote w:id="4">
    <w:p w:rsidR="001B7ECC">
      <w:pPr>
        <w:spacing w:line="240" w:lineRule="auto"/>
        <w:rPr>
          <w:sz w:val="16"/>
          <w:szCs w:val="16"/>
        </w:rPr>
      </w:pPr>
      <w:r>
        <w:rPr>
          <w:vertAlign w:val="superscript"/>
        </w:rPr>
        <w:footnoteRef/>
      </w:r>
      <w:r>
        <w:rPr>
          <w:sz w:val="16"/>
          <w:szCs w:val="16"/>
        </w:rPr>
        <w:t xml:space="preserve">Resnick, L. B., C. </w:t>
      </w:r>
      <w:r>
        <w:rPr>
          <w:sz w:val="16"/>
          <w:szCs w:val="16"/>
        </w:rPr>
        <w:t>Asterhan</w:t>
      </w:r>
      <w:r>
        <w:rPr>
          <w:sz w:val="16"/>
          <w:szCs w:val="16"/>
        </w:rPr>
        <w:t>, and S. Clarke. (Eds.) (2015). Socializing intelligence through academic talk and dialogue. Washington, DC: American Educational Research Association.</w:t>
      </w:r>
    </w:p>
  </w:footnote>
  <w:footnote w:id="5">
    <w:p w:rsidR="001B7ECC">
      <w:pPr>
        <w:spacing w:line="240" w:lineRule="auto"/>
        <w:rPr>
          <w:sz w:val="16"/>
          <w:szCs w:val="16"/>
        </w:rPr>
      </w:pPr>
      <w:r>
        <w:rPr>
          <w:vertAlign w:val="superscript"/>
        </w:rPr>
        <w:footnoteRef/>
      </w:r>
      <w:r>
        <w:rPr>
          <w:sz w:val="16"/>
          <w:szCs w:val="16"/>
        </w:rPr>
        <w:t xml:space="preserve"> Howe, C., S. Hennessy, N. Mercer, M. Vrikki, and L. Wheatley. 2019. "Teacher–Student Dialogue During Classroom Teaching: Does It Really Impact on Student Outcomes?" Journal of the Learning Sciences 28(4–5), 462–512.</w:t>
      </w:r>
    </w:p>
  </w:footnote>
  <w:footnote w:id="6">
    <w:p w:rsidR="001B7ECC">
      <w:pPr>
        <w:spacing w:line="240" w:lineRule="auto"/>
        <w:rPr>
          <w:sz w:val="16"/>
          <w:szCs w:val="16"/>
        </w:rPr>
      </w:pPr>
      <w:r>
        <w:rPr>
          <w:vertAlign w:val="superscript"/>
        </w:rPr>
        <w:footnoteRef/>
      </w:r>
      <w:r>
        <w:rPr>
          <w:sz w:val="16"/>
          <w:szCs w:val="16"/>
        </w:rPr>
        <w:t xml:space="preserve"> Resnick, L. B., C. S. C. </w:t>
      </w:r>
      <w:r>
        <w:rPr>
          <w:sz w:val="16"/>
          <w:szCs w:val="16"/>
        </w:rPr>
        <w:t>Asterhan</w:t>
      </w:r>
      <w:r>
        <w:rPr>
          <w:sz w:val="16"/>
          <w:szCs w:val="16"/>
        </w:rPr>
        <w:t>, S. N. Clarke and F. Schantz. (2018). Next Generation Research in Dialogic Learning. In G. E. Hall, L. F. Quinn, &amp; D. M. Gollnick (Eds.), The Wiley Handbook of Teaching and Learning. John Wiley &amp; Sons, Ltd, 323–338.</w:t>
      </w:r>
    </w:p>
  </w:footnote>
  <w:footnote w:id="7">
    <w:p w:rsidR="001B7ECC">
      <w:pPr>
        <w:spacing w:line="240" w:lineRule="auto"/>
        <w:rPr>
          <w:sz w:val="16"/>
          <w:szCs w:val="16"/>
        </w:rPr>
      </w:pPr>
      <w:r>
        <w:rPr>
          <w:vertAlign w:val="superscript"/>
        </w:rPr>
        <w:footnoteRef/>
      </w:r>
      <w:r>
        <w:rPr>
          <w:sz w:val="16"/>
          <w:szCs w:val="16"/>
        </w:rPr>
        <w:t>https://educationendowmentfoundation.org.uk/education-evidence/teaching-learning-toolkit/oral-language-interventions</w:t>
      </w:r>
    </w:p>
  </w:footnote>
  <w:footnote w:id="8">
    <w:p w:rsidR="001B7ECC">
      <w:pPr>
        <w:spacing w:line="240" w:lineRule="auto"/>
        <w:rPr>
          <w:sz w:val="16"/>
          <w:szCs w:val="16"/>
        </w:rPr>
      </w:pPr>
      <w:r>
        <w:rPr>
          <w:vertAlign w:val="superscript"/>
        </w:rPr>
        <w:footnoteRef/>
      </w:r>
      <w:r>
        <w:rPr>
          <w:sz w:val="16"/>
          <w:szCs w:val="16"/>
        </w:rPr>
        <w:t xml:space="preserve"> Resnick, Lauren, </w:t>
      </w:r>
      <w:r>
        <w:rPr>
          <w:sz w:val="16"/>
          <w:szCs w:val="16"/>
        </w:rPr>
        <w:t>Asterhan</w:t>
      </w:r>
      <w:r>
        <w:rPr>
          <w:sz w:val="16"/>
          <w:szCs w:val="16"/>
        </w:rPr>
        <w:t xml:space="preserve">, Christa, Clarke, Sherice (2018) UNESCO International Bureau of Education Educational practices series. </w:t>
      </w:r>
    </w:p>
  </w:footnote>
  <w:footnote w:id="9">
    <w:p w:rsidR="001B7ECC">
      <w:pPr>
        <w:spacing w:line="240" w:lineRule="auto"/>
        <w:rPr>
          <w:sz w:val="16"/>
          <w:szCs w:val="16"/>
        </w:rPr>
      </w:pPr>
      <w:r>
        <w:rPr>
          <w:vertAlign w:val="superscript"/>
        </w:rPr>
        <w:footnoteRef/>
      </w:r>
      <w:r>
        <w:rPr>
          <w:sz w:val="16"/>
          <w:szCs w:val="16"/>
        </w:rPr>
        <w:t xml:space="preserve"> The Gatsby Benchmarks (2025) </w:t>
      </w:r>
      <w:r>
        <w:fldChar w:fldCharType="begin"/>
      </w:r>
      <w:r>
        <w:instrText xml:space="preserve"> HYPERLINK "https://cdn.gatsbybenchmarks.org.uk/app/uploads/2024/11/good-career-guidance-the-next-10-years-report.pdf" </w:instrText>
      </w:r>
      <w:r>
        <w:fldChar w:fldCharType="separate"/>
      </w:r>
      <w:r>
        <w:rPr>
          <w:color w:val="1155CC"/>
          <w:sz w:val="16"/>
          <w:szCs w:val="16"/>
          <w:u w:val="single"/>
        </w:rPr>
        <w:t>https://cdn.gatsbybenchmarks.org.uk/app/uploads/2024/11/good-career-guidance-the-next-10-years-report.pdf</w:t>
      </w:r>
      <w:r>
        <w:fldChar w:fldCharType="end"/>
      </w:r>
      <w:r>
        <w:rPr>
          <w:sz w:val="16"/>
          <w:szCs w:val="16"/>
        </w:rPr>
        <w:t xml:space="preserve"> </w:t>
      </w:r>
    </w:p>
  </w:footnote>
  <w:footnote w:id="10">
    <w:p w:rsidR="001B7ECC">
      <w:pPr>
        <w:spacing w:line="240" w:lineRule="auto"/>
        <w:rPr>
          <w:sz w:val="16"/>
          <w:szCs w:val="16"/>
        </w:rPr>
      </w:pPr>
      <w:r>
        <w:rPr>
          <w:vertAlign w:val="superscript"/>
        </w:rPr>
        <w:footnoteRef/>
      </w:r>
      <w:r>
        <w:rPr>
          <w:sz w:val="16"/>
          <w:szCs w:val="16"/>
        </w:rPr>
        <w:t xml:space="preserve"> Department for Education (2025) </w:t>
      </w:r>
      <w:r>
        <w:rPr>
          <w:i/>
          <w:iCs/>
          <w:sz w:val="16"/>
          <w:szCs w:val="16"/>
        </w:rPr>
        <w:t xml:space="preserve">Post-16 Education and Skills White Paper </w:t>
      </w:r>
      <w:r>
        <w:fldChar w:fldCharType="begin"/>
      </w:r>
      <w:r>
        <w:instrText xml:space="preserve"> HYPERLINK "https://www.gov.uk/government/publications/post-16-education-and-skills-white-paper" </w:instrText>
      </w:r>
      <w:r>
        <w:fldChar w:fldCharType="separate"/>
      </w:r>
      <w:r>
        <w:rPr>
          <w:color w:val="1155CC"/>
          <w:sz w:val="16"/>
          <w:szCs w:val="16"/>
          <w:u w:val="single"/>
        </w:rPr>
        <w:t>https://www.gov.uk/government/publications/post-16-education-and-skills-white-paper</w:t>
      </w:r>
      <w:r>
        <w:fldChar w:fldCharType="end"/>
      </w:r>
      <w:r>
        <w:rPr>
          <w:sz w:val="16"/>
          <w:szCs w:val="16"/>
        </w:rPr>
        <w:t xml:space="preserve"> </w:t>
      </w:r>
    </w:p>
  </w:footnote>
  <w:footnote w:id="11">
    <w:p w:rsidR="001B7ECC">
      <w:pPr>
        <w:spacing w:line="240" w:lineRule="auto"/>
        <w:rPr>
          <w:sz w:val="16"/>
          <w:szCs w:val="16"/>
        </w:rPr>
      </w:pPr>
      <w:r>
        <w:rPr>
          <w:vertAlign w:val="superscript"/>
        </w:rPr>
        <w:footnoteRef/>
      </w:r>
      <w:r>
        <w:rPr>
          <w:sz w:val="16"/>
          <w:szCs w:val="16"/>
        </w:rPr>
        <w:t xml:space="preserve"> Bocock, L., Scott, M., and Hillary, J. (2025) </w:t>
      </w:r>
      <w:r>
        <w:rPr>
          <w:i/>
          <w:iCs/>
          <w:sz w:val="16"/>
          <w:szCs w:val="16"/>
        </w:rPr>
        <w:t>Skills Imperative 2035: Creating a system of lifelong learning to provide the essential skills for tomorrow's workforce</w:t>
      </w:r>
      <w:r>
        <w:rPr>
          <w:sz w:val="16"/>
          <w:szCs w:val="16"/>
        </w:rPr>
        <w:t>. National Foundation for Educational Research (NFER)</w:t>
      </w:r>
    </w:p>
  </w:footnote>
  <w:footnote w:id="12">
    <w:p w:rsidR="001B7ECC">
      <w:pPr>
        <w:spacing w:line="240" w:lineRule="auto"/>
        <w:rPr>
          <w:sz w:val="16"/>
          <w:szCs w:val="16"/>
        </w:rPr>
      </w:pPr>
      <w:r>
        <w:rPr>
          <w:vertAlign w:val="superscript"/>
        </w:rPr>
        <w:footnoteRef/>
      </w:r>
      <w:r>
        <w:rPr>
          <w:sz w:val="16"/>
          <w:szCs w:val="16"/>
        </w:rPr>
        <w:t xml:space="preserve"> OFSTED (2025) </w:t>
      </w:r>
      <w:r>
        <w:rPr>
          <w:i/>
          <w:iCs/>
          <w:sz w:val="16"/>
          <w:szCs w:val="16"/>
        </w:rPr>
        <w:t>Further Education and Skills Inspection Toolkit</w:t>
      </w:r>
      <w:r>
        <w:rPr>
          <w:sz w:val="16"/>
          <w:szCs w:val="16"/>
        </w:rPr>
        <w:t xml:space="preserve"> </w:t>
      </w:r>
      <w:r>
        <w:fldChar w:fldCharType="begin"/>
      </w:r>
      <w:r>
        <w:instrText xml:space="preserve"> HYPERLINK "https://assets.publishing.service.gov.uk/media/68b975aa3f3e5483efdba9c3/Further_education_and_skills_inspection_toolkit.pdf" </w:instrText>
      </w:r>
      <w:r>
        <w:fldChar w:fldCharType="separate"/>
      </w:r>
      <w:r>
        <w:rPr>
          <w:color w:val="1155CC"/>
          <w:sz w:val="16"/>
          <w:szCs w:val="16"/>
          <w:u w:val="single"/>
        </w:rPr>
        <w:t>https://assets.publishing.service.gov.uk/media/68b975aa3f3e5483efdba9c3/Further_education_and_skills_inspection_toolkit.pdf</w:t>
      </w:r>
      <w:r>
        <w:fldChar w:fldCharType="end"/>
      </w:r>
      <w:r>
        <w:rPr>
          <w:sz w:val="16"/>
          <w:szCs w:val="16"/>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ECA0133</dc:title>
  <cp:revision>0</cp:revision>
</cp:coreProperties>
</file>