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743D4" w:rsidRPr="00B743D4" w:rsidP="00B743D4">
      <w:pPr>
        <w:pStyle w:val="Subtitle"/>
        <w:keepLines w:val="0"/>
        <w:spacing w:after="0"/>
        <w:jc w:val="center"/>
        <w:rPr>
          <w:rFonts w:ascii="Calibri" w:eastAsia="Inclusive Sans SemiBold" w:hAnsi="Calibri" w:cs="Calibri"/>
          <w:b/>
          <w:bCs/>
          <w:color w:val="404040"/>
          <w:sz w:val="22"/>
          <w:szCs w:val="22"/>
        </w:rPr>
      </w:pPr>
      <w:r w:rsidRPr="00B743D4">
        <w:rPr>
          <w:rFonts w:ascii="Calibri" w:eastAsia="Inclusive Sans SemiBold" w:hAnsi="Calibri" w:cs="Calibri"/>
          <w:b/>
          <w:bCs/>
          <w:color w:val="404040"/>
          <w:sz w:val="22"/>
          <w:szCs w:val="22"/>
        </w:rPr>
        <w:t xml:space="preserve">Written evidence by </w:t>
      </w:r>
      <w:r w:rsidRPr="00B743D4">
        <w:rPr>
          <w:rFonts w:ascii="Calibri" w:eastAsia="Inclusive Sans SemiBold" w:hAnsi="Calibri" w:cs="Calibri"/>
          <w:b/>
          <w:bCs/>
          <w:color w:val="404040"/>
          <w:sz w:val="22"/>
          <w:szCs w:val="22"/>
        </w:rPr>
        <w:t>Social Mobility Commission</w:t>
      </w:r>
      <w:r w:rsidRPr="00B743D4">
        <w:rPr>
          <w:rFonts w:ascii="Calibri" w:eastAsia="Inclusive Sans SemiBold" w:hAnsi="Calibri" w:cs="Calibri"/>
          <w:b/>
          <w:bCs/>
          <w:color w:val="404040"/>
          <w:sz w:val="22"/>
          <w:szCs w:val="22"/>
        </w:rPr>
        <w:t xml:space="preserve"> (</w:t>
      </w:r>
      <w:r w:rsidRPr="00B743D4">
        <w:rPr>
          <w:rFonts w:ascii="Calibri" w:eastAsia="Inclusive Sans SemiBold" w:hAnsi="Calibri" w:cs="Calibri"/>
          <w:b/>
          <w:bCs/>
          <w:color w:val="404040"/>
          <w:sz w:val="22"/>
          <w:szCs w:val="22"/>
        </w:rPr>
        <w:t>ECA0132</w:t>
      </w:r>
      <w:r w:rsidRPr="00B743D4">
        <w:rPr>
          <w:rFonts w:ascii="Calibri" w:eastAsia="Inclusive Sans SemiBold" w:hAnsi="Calibri" w:cs="Calibri"/>
          <w:b/>
          <w:bCs/>
          <w:color w:val="404040"/>
          <w:sz w:val="22"/>
          <w:szCs w:val="22"/>
        </w:rPr>
        <w:t>)</w:t>
      </w:r>
    </w:p>
    <w:p w:rsidR="00B743D4" w:rsidRPr="00B743D4" w:rsidP="00B743D4">
      <w:pPr>
        <w:pStyle w:val="Subtitle"/>
        <w:keepLines w:val="0"/>
        <w:spacing w:after="0"/>
        <w:jc w:val="center"/>
        <w:rPr>
          <w:rFonts w:ascii="Calibri" w:eastAsia="Inclusive Sans SemiBold" w:hAnsi="Calibri" w:cs="Calibri"/>
          <w:b/>
          <w:bCs/>
          <w:color w:val="404040"/>
          <w:sz w:val="22"/>
          <w:szCs w:val="22"/>
        </w:rPr>
      </w:pPr>
    </w:p>
    <w:p w:rsidR="00B743D4" w:rsidRPr="00B743D4" w:rsidP="00B743D4">
      <w:pPr>
        <w:pStyle w:val="Subtitle"/>
        <w:keepLines w:val="0"/>
        <w:spacing w:after="0"/>
        <w:rPr>
          <w:rFonts w:ascii="Calibri" w:eastAsia="Inclusive Sans SemiBold" w:hAnsi="Calibri" w:cs="Calibri"/>
          <w:b/>
          <w:bCs/>
          <w:color w:val="404040"/>
          <w:sz w:val="22"/>
          <w:szCs w:val="22"/>
        </w:rPr>
      </w:pPr>
      <w:r w:rsidRPr="00B743D4">
        <w:rPr>
          <w:rFonts w:ascii="Calibri" w:eastAsia="Inclusive Sans SemiBold" w:hAnsi="Calibri" w:cs="Calibri"/>
          <w:b/>
          <w:bCs/>
          <w:color w:val="404040"/>
          <w:sz w:val="22"/>
          <w:szCs w:val="22"/>
        </w:rPr>
        <w:t>Education Committee</w:t>
      </w:r>
    </w:p>
    <w:p w:rsidR="000365A0" w:rsidRPr="00B743D4" w:rsidP="00B743D4">
      <w:pPr>
        <w:pStyle w:val="Subtitle"/>
        <w:keepLines w:val="0"/>
        <w:spacing w:after="0"/>
        <w:rPr>
          <w:rFonts w:ascii="Calibri" w:eastAsia="Inclusive Sans SemiBold" w:hAnsi="Calibri" w:cs="Calibri"/>
          <w:b/>
          <w:bCs/>
          <w:color w:val="404040"/>
          <w:sz w:val="22"/>
          <w:szCs w:val="22"/>
        </w:rPr>
      </w:pPr>
      <w:r w:rsidRPr="00B743D4">
        <w:rPr>
          <w:rFonts w:ascii="Calibri" w:hAnsi="Calibri" w:cs="Calibri"/>
          <w:b/>
          <w:bCs/>
          <w:color w:val="auto"/>
          <w:sz w:val="22"/>
          <w:szCs w:val="22"/>
        </w:rPr>
        <w:t>Every Child Achieving and Thriving’ White Paper</w:t>
      </w:r>
      <w:r w:rsidRPr="00B743D4" w:rsidR="00A754ED">
        <w:rPr>
          <w:rFonts w:ascii="Calibri" w:eastAsia="Inclusive Sans SemiBold" w:hAnsi="Calibri" w:cs="Calibri"/>
          <w:b/>
          <w:bCs/>
          <w:color w:val="404040"/>
          <w:sz w:val="22"/>
          <w:szCs w:val="22"/>
        </w:rPr>
        <w:br/>
      </w:r>
    </w:p>
    <w:p w:rsidR="000365A0" w:rsidRPr="00B743D4">
      <w:pPr>
        <w:keepNext/>
        <w:spacing w:line="240" w:lineRule="auto"/>
        <w:rPr>
          <w:rFonts w:ascii="Calibri" w:hAnsi="Calibri" w:cs="Calibri"/>
        </w:rPr>
      </w:pPr>
      <w:r w:rsidRPr="00B743D4">
        <w:rPr>
          <w:rFonts w:ascii="Calibri" w:hAnsi="Calibri" w:cs="Calibri"/>
        </w:rPr>
        <w:t>Dear Helen,</w:t>
      </w:r>
      <w:r w:rsidRPr="00B743D4">
        <w:rPr>
          <w:rFonts w:ascii="Calibri" w:hAnsi="Calibri" w:cs="Calibri"/>
        </w:rPr>
        <w:br/>
      </w:r>
      <w:r w:rsidRPr="00B743D4">
        <w:rPr>
          <w:rFonts w:ascii="Calibri" w:hAnsi="Calibri" w:cs="Calibri"/>
        </w:rPr>
        <w:br/>
        <w:t>Thank you and members of the Education Select Committees for inviting me to give evidence at the September evidence session of the committee’s inquiry into Government’s ‘Every Child Achieving and Thriving’ white paper.</w:t>
      </w:r>
      <w:r w:rsidRPr="00B743D4">
        <w:rPr>
          <w:rFonts w:ascii="Calibri" w:hAnsi="Calibri" w:cs="Calibri"/>
        </w:rPr>
        <w:br/>
      </w:r>
      <w:r w:rsidRPr="00B743D4">
        <w:rPr>
          <w:rFonts w:ascii="Calibri" w:hAnsi="Calibri" w:cs="Calibri"/>
        </w:rPr>
        <w:br/>
      </w:r>
      <w:r w:rsidRPr="00B743D4">
        <w:rPr>
          <w:rFonts w:ascii="Calibri" w:hAnsi="Calibri" w:cs="Calibri"/>
        </w:rPr>
        <w:t>I’d like to provide you with an overview, in writing, of some of the key evidence produced by the Social Mobility Commission (SMC) on some of the issues highlighted in the white paper.</w:t>
      </w:r>
      <w:r w:rsidRPr="00B743D4">
        <w:rPr>
          <w:rFonts w:ascii="Calibri" w:hAnsi="Calibri" w:cs="Calibri"/>
        </w:rPr>
        <w:br/>
      </w:r>
    </w:p>
    <w:p w:rsidR="000365A0" w:rsidRPr="00B743D4">
      <w:pPr>
        <w:keepNext/>
        <w:spacing w:line="240" w:lineRule="auto"/>
        <w:rPr>
          <w:rFonts w:ascii="Calibri" w:hAnsi="Calibri" w:cs="Calibri"/>
        </w:rPr>
      </w:pPr>
      <w:r w:rsidRPr="00B743D4">
        <w:rPr>
          <w:rFonts w:ascii="Calibri" w:hAnsi="Calibri" w:cs="Calibri"/>
        </w:rPr>
        <w:t>Please do get in touch should you or the Committee members have any further questions in relation to this or the SMC’s broader work on social mobility.</w:t>
      </w:r>
      <w:r w:rsidRPr="00B743D4">
        <w:rPr>
          <w:rFonts w:ascii="Calibri" w:hAnsi="Calibri" w:cs="Calibri"/>
        </w:rPr>
        <w:br/>
      </w:r>
      <w:r w:rsidRPr="00B743D4">
        <w:rPr>
          <w:rFonts w:ascii="Calibri" w:hAnsi="Calibri" w:cs="Calibri"/>
        </w:rPr>
        <w:br/>
      </w:r>
    </w:p>
    <w:p w:rsidR="000365A0" w:rsidRPr="00B743D4">
      <w:pPr>
        <w:keepNext/>
        <w:widowControl w:val="0"/>
        <w:spacing w:before="247" w:line="240" w:lineRule="auto"/>
        <w:ind w:right="891"/>
        <w:rPr>
          <w:rFonts w:ascii="Calibri" w:eastAsia="Inclusive Sans" w:hAnsi="Calibri" w:cs="Calibri"/>
        </w:rPr>
      </w:pPr>
      <w:r w:rsidRPr="00B743D4">
        <w:rPr>
          <w:rFonts w:ascii="Calibri" w:eastAsia="Inclusive Sans" w:hAnsi="Calibri" w:cs="Calibri"/>
        </w:rPr>
        <w:t xml:space="preserve">Yours, </w:t>
      </w:r>
    </w:p>
    <w:p w:rsidR="000365A0" w:rsidRPr="00B743D4">
      <w:pPr>
        <w:keepNext/>
        <w:widowControl w:val="0"/>
        <w:spacing w:before="128" w:line="240" w:lineRule="auto"/>
        <w:ind w:left="51"/>
        <w:rPr>
          <w:rFonts w:ascii="Calibri" w:eastAsia="Inclusive Sans" w:hAnsi="Calibri" w:cs="Calibri"/>
        </w:rPr>
      </w:pPr>
      <w:r w:rsidRPr="00B743D4">
        <w:rPr>
          <w:rFonts w:ascii="Calibri" w:eastAsia="Inclusive Sans" w:hAnsi="Calibri" w:cs="Calibri"/>
          <w:noProof/>
        </w:rPr>
        <w:drawing>
          <wp:inline distT="19050" distB="19050" distL="19050" distR="19050">
            <wp:extent cx="1123950" cy="571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5"/>
                    <a:srcRect/>
                    <a:stretch>
                      <a:fillRect/>
                    </a:stretch>
                  </pic:blipFill>
                  <pic:spPr>
                    <a:xfrm>
                      <a:off x="0" y="0"/>
                      <a:ext cx="1123950" cy="571500"/>
                    </a:xfrm>
                    <a:prstGeom prst="rect">
                      <a:avLst/>
                    </a:prstGeom>
                    <a:ln/>
                  </pic:spPr>
                </pic:pic>
              </a:graphicData>
            </a:graphic>
          </wp:inline>
        </w:drawing>
      </w:r>
    </w:p>
    <w:p w:rsidR="000365A0" w:rsidRPr="00B743D4">
      <w:pPr>
        <w:keepNext/>
        <w:widowControl w:val="0"/>
        <w:spacing w:before="123" w:line="240" w:lineRule="auto"/>
        <w:ind w:left="23"/>
        <w:rPr>
          <w:rFonts w:ascii="Calibri" w:eastAsia="Inclusive Sans" w:hAnsi="Calibri" w:cs="Calibri"/>
        </w:rPr>
      </w:pPr>
      <w:r w:rsidRPr="00B743D4">
        <w:rPr>
          <w:rFonts w:ascii="Calibri" w:eastAsia="Inclusive Sans" w:hAnsi="Calibri" w:cs="Calibri"/>
        </w:rPr>
        <w:t xml:space="preserve">Alun Francis OBE </w:t>
      </w:r>
    </w:p>
    <w:p w:rsidR="000365A0" w:rsidRPr="00B743D4">
      <w:pPr>
        <w:keepNext/>
        <w:widowControl w:val="0"/>
        <w:spacing w:before="47" w:line="240" w:lineRule="auto"/>
        <w:ind w:left="35"/>
        <w:rPr>
          <w:rFonts w:ascii="Calibri" w:eastAsia="Inclusive Sans" w:hAnsi="Calibri" w:cs="Calibri"/>
        </w:rPr>
      </w:pPr>
      <w:r w:rsidRPr="00B743D4">
        <w:rPr>
          <w:rFonts w:ascii="Calibri" w:eastAsia="Inclusive Sans" w:hAnsi="Calibri" w:cs="Calibri"/>
        </w:rPr>
        <w:t>Chair, Social Mobility Commission</w:t>
      </w:r>
      <w:r w:rsidRPr="00B743D4">
        <w:rPr>
          <w:rFonts w:ascii="Calibri" w:eastAsia="Inclusive Sans" w:hAnsi="Calibri" w:cs="Calibri"/>
        </w:rPr>
        <w:br/>
      </w:r>
    </w:p>
    <w:p w:rsidR="000365A0" w:rsidRPr="00B743D4">
      <w:pPr>
        <w:keepNext/>
        <w:widowControl w:val="0"/>
        <w:spacing w:before="47" w:line="240" w:lineRule="auto"/>
        <w:rPr>
          <w:rFonts w:ascii="Calibri" w:eastAsia="Inclusive Sans" w:hAnsi="Calibri" w:cs="Calibri"/>
        </w:rPr>
      </w:pPr>
      <w:r>
        <w:rPr>
          <w:rFonts w:ascii="Calibri" w:hAnsi="Calibri" w:cs="Calibri"/>
        </w:rPr>
        <w:pict>
          <v:rect id="_x0000_i1025" style="height:1.5pt;width:0" o:hralign="center" o:hrstd="t" o:hr="t" fillcolor="#a0a0a0" stroked="f"/>
        </w:pict>
      </w:r>
      <w:r w:rsidRPr="00B743D4">
        <w:rPr>
          <w:rFonts w:ascii="Calibri" w:eastAsia="Inclusive Sans" w:hAnsi="Calibri" w:cs="Calibri"/>
        </w:rPr>
        <w:br/>
      </w:r>
      <w:r w:rsidRPr="00B743D4">
        <w:rPr>
          <w:rFonts w:ascii="Calibri" w:eastAsia="Inclusive Sans" w:hAnsi="Calibri" w:cs="Calibri"/>
        </w:rPr>
        <w:br/>
      </w:r>
      <w:r w:rsidRPr="00B743D4">
        <w:rPr>
          <w:rFonts w:ascii="Calibri" w:eastAsia="Play" w:hAnsi="Calibri" w:cs="Calibri"/>
          <w:b/>
          <w:bCs/>
          <w:color w:val="153932"/>
          <w:u w:val="single"/>
        </w:rPr>
        <w:t>The Social Mobility Commission (SMC)</w:t>
      </w:r>
      <w:r w:rsidRPr="00B743D4">
        <w:rPr>
          <w:rFonts w:ascii="Calibri" w:hAnsi="Calibri" w:cs="Calibri"/>
        </w:rPr>
        <w:br/>
      </w:r>
      <w:r w:rsidRPr="00B743D4">
        <w:rPr>
          <w:rFonts w:ascii="Calibri" w:hAnsi="Calibri" w:cs="Calibri"/>
        </w:rPr>
        <w:br/>
      </w:r>
      <w:r w:rsidRPr="00B743D4">
        <w:rPr>
          <w:rFonts w:ascii="Calibri" w:eastAsia="Inclusive Sans" w:hAnsi="Calibri" w:cs="Calibri"/>
        </w:rPr>
        <w:t xml:space="preserve">The SMC is the UK’s only legal, independent body for social mobility, with specific responsibilities to promote, research, and report on social mobility. </w:t>
      </w:r>
    </w:p>
    <w:p w:rsidR="000365A0" w:rsidRPr="00B743D4">
      <w:pPr>
        <w:keepNext/>
        <w:widowControl w:val="0"/>
        <w:spacing w:before="47" w:line="240" w:lineRule="auto"/>
        <w:rPr>
          <w:rFonts w:ascii="Calibri" w:eastAsia="Inclusive Sans" w:hAnsi="Calibri" w:cs="Calibri"/>
        </w:rPr>
      </w:pPr>
    </w:p>
    <w:p w:rsidR="000365A0" w:rsidRPr="00B743D4">
      <w:pPr>
        <w:keepNext/>
        <w:spacing w:line="240" w:lineRule="auto"/>
        <w:rPr>
          <w:rFonts w:ascii="Calibri" w:eastAsia="Inclusive Sans" w:hAnsi="Calibri" w:cs="Calibri"/>
        </w:rPr>
      </w:pPr>
      <w:r w:rsidRPr="00B743D4">
        <w:rPr>
          <w:rFonts w:ascii="Calibri" w:eastAsia="Inclusive Sans" w:hAnsi="Calibri" w:cs="Calibri"/>
        </w:rPr>
        <w:t xml:space="preserve">As part of our statutory functions, we work with local and central government, Parliament, and cross-sector organisations in the UK to create and promote conditions that lead to upward social mobility for the most disadvantaged in society. We also analyse data and commission new research to explore gaps in knowledge on a range of areas, to make informed evidence-based recommendations on how to improve social mobility. </w:t>
      </w:r>
      <w:r w:rsidRPr="00B743D4">
        <w:rPr>
          <w:rFonts w:ascii="Calibri" w:eastAsia="Inclusive Sans" w:hAnsi="Calibri" w:cs="Calibri"/>
        </w:rPr>
        <w:t>We publish the most comprehensive annual analysis of social mobility in our annual State of the Nation report, which is laid in Parliament. The report explores geographical trends and drivers (or barriers) highlighted by our bespoke Social Mobility Index.</w:t>
      </w:r>
      <w:r w:rsidRPr="00B743D4">
        <w:rPr>
          <w:rFonts w:ascii="Calibri" w:eastAsia="Inclusive Sans" w:hAnsi="Calibri" w:cs="Calibri"/>
        </w:rPr>
        <w:br/>
      </w:r>
      <w:r w:rsidRPr="00B743D4">
        <w:rPr>
          <w:rFonts w:ascii="Calibri" w:eastAsia="Inclusive Sans" w:hAnsi="Calibri" w:cs="Calibri"/>
        </w:rPr>
        <w:br/>
      </w:r>
      <w:r w:rsidRPr="00B743D4">
        <w:rPr>
          <w:rFonts w:ascii="Calibri" w:eastAsia="Inclusive Sans" w:hAnsi="Calibri" w:cs="Calibri"/>
        </w:rPr>
        <w:t xml:space="preserve">In the last 2 years we have published 14 reports which, taken together, establish the foundation for our policy recommendations and a forthcoming place-based social mobility action plan. To inform and test our findings, we have engaged with stakeholders across a range of sectors </w:t>
      </w:r>
      <w:r w:rsidRPr="00B743D4">
        <w:rPr>
          <w:rFonts w:ascii="Calibri" w:eastAsia="Inclusive Sans" w:hAnsi="Calibri" w:cs="Calibri"/>
        </w:rPr>
        <w:t>including  those</w:t>
      </w:r>
      <w:r w:rsidRPr="00B743D4">
        <w:rPr>
          <w:rFonts w:ascii="Calibri" w:eastAsia="Inclusive Sans" w:hAnsi="Calibri" w:cs="Calibri"/>
        </w:rPr>
        <w:t xml:space="preserve"> on the front-line and with lived experience, parliamentarians and leaders from across the political parties, and leaders in the regions of England, and the Devolved Administrations of Scotland, Wales and Northern Ir</w:t>
      </w:r>
      <w:r w:rsidRPr="00B743D4">
        <w:rPr>
          <w:rFonts w:ascii="Calibri" w:eastAsia="Inclusive Sans" w:hAnsi="Calibri" w:cs="Calibri"/>
        </w:rPr>
        <w:t xml:space="preserve">eland. Our latest recommendations for promoting a place-based approach to social </w:t>
      </w:r>
      <w:r w:rsidRPr="00B743D4">
        <w:rPr>
          <w:rFonts w:ascii="Calibri" w:eastAsia="Inclusive Sans" w:hAnsi="Calibri" w:cs="Calibri"/>
        </w:rPr>
        <w:t xml:space="preserve">mobility </w:t>
      </w:r>
      <w:r w:rsidRPr="00B743D4">
        <w:rPr>
          <w:rFonts w:ascii="Calibri" w:eastAsia="Inclusive Sans" w:hAnsi="Calibri" w:cs="Calibri"/>
        </w:rPr>
        <w:t>are</w:t>
      </w:r>
      <w:r w:rsidRPr="00B743D4">
        <w:rPr>
          <w:rFonts w:ascii="Calibri" w:eastAsia="Inclusive Sans" w:hAnsi="Calibri" w:cs="Calibri"/>
        </w:rPr>
        <w:t xml:space="preserve"> set out in our complementary reports</w:t>
      </w:r>
      <w:r w:rsidRPr="00B743D4">
        <w:rPr>
          <w:rFonts w:ascii="Calibri" w:eastAsia="Inclusive Sans" w:hAnsi="Calibri" w:cs="Calibri"/>
          <w:color w:val="222222"/>
        </w:rPr>
        <w:t xml:space="preserve"> </w:t>
      </w:r>
      <w:r w:rsidRPr="00B743D4">
        <w:rPr>
          <w:rFonts w:ascii="Calibri" w:eastAsia="Inclusive Sans" w:hAnsi="Calibri" w:cs="Calibri"/>
          <w:highlight w:val="white"/>
        </w:rPr>
        <w:t>‘</w:t>
      </w:r>
      <w:r>
        <w:fldChar w:fldCharType="begin"/>
      </w:r>
      <w:r>
        <w:instrText xml:space="preserve"> HYPERLINK "https://socialmobility.independent-commission.uk/publication/innovation-investment-and-inclusion-a-framework-for-regional-renewal/" </w:instrText>
      </w:r>
      <w:r>
        <w:fldChar w:fldCharType="separate"/>
      </w:r>
      <w:r w:rsidRPr="00B743D4">
        <w:rPr>
          <w:rFonts w:ascii="Calibri" w:eastAsia="Inclusive Sans" w:hAnsi="Calibri" w:cs="Calibri"/>
          <w:i/>
          <w:iCs/>
          <w:color w:val="1155CC"/>
          <w:highlight w:val="white"/>
          <w:u w:val="single"/>
        </w:rPr>
        <w:t>Innovation, investment and inclusion: a framework for regional renewal</w:t>
      </w:r>
      <w:r>
        <w:fldChar w:fldCharType="end"/>
      </w:r>
      <w:r w:rsidRPr="00B743D4">
        <w:rPr>
          <w:rFonts w:ascii="Calibri" w:eastAsia="Inclusive Sans" w:hAnsi="Calibri" w:cs="Calibri"/>
          <w:highlight w:val="white"/>
        </w:rPr>
        <w:t xml:space="preserve">’ </w:t>
      </w:r>
      <w:r>
        <w:rPr>
          <w:rFonts w:ascii="Calibri" w:eastAsia="Inclusive Sans" w:hAnsi="Calibri" w:cs="Calibri"/>
          <w:highlight w:val="white"/>
          <w:vertAlign w:val="superscript"/>
        </w:rPr>
        <w:footnoteReference w:id="2"/>
      </w:r>
      <w:r w:rsidRPr="00B743D4">
        <w:rPr>
          <w:rFonts w:ascii="Calibri" w:eastAsia="Inclusive Sans" w:hAnsi="Calibri" w:cs="Calibri"/>
          <w:color w:val="222222"/>
        </w:rPr>
        <w:t xml:space="preserve"> and</w:t>
      </w:r>
      <w:r w:rsidRPr="00B743D4">
        <w:rPr>
          <w:rFonts w:ascii="Calibri" w:eastAsia="Inclusive Sans" w:hAnsi="Calibri" w:cs="Calibri"/>
        </w:rPr>
        <w:t xml:space="preserve"> </w:t>
      </w:r>
      <w:r w:rsidRPr="00B743D4">
        <w:rPr>
          <w:rFonts w:ascii="Calibri" w:eastAsia="Inclusive Sans" w:hAnsi="Calibri" w:cs="Calibri"/>
          <w:highlight w:val="white"/>
        </w:rPr>
        <w:t>‘</w:t>
      </w:r>
      <w:r>
        <w:fldChar w:fldCharType="begin"/>
      </w:r>
      <w:r>
        <w:instrText xml:space="preserve"> HYPERLINK "https://socialmobility.independent-commission.uk/publication/regional-insights-creating-fairer-chances-across-the-regions/" </w:instrText>
      </w:r>
      <w:r>
        <w:fldChar w:fldCharType="separate"/>
      </w:r>
      <w:r w:rsidRPr="00B743D4">
        <w:rPr>
          <w:rFonts w:ascii="Calibri" w:eastAsia="Inclusive Sans" w:hAnsi="Calibri" w:cs="Calibri"/>
          <w:i/>
          <w:iCs/>
          <w:color w:val="1155CC"/>
          <w:highlight w:val="white"/>
          <w:u w:val="single"/>
        </w:rPr>
        <w:t>Regional Insights: Creating fairer chances across the regions</w:t>
      </w:r>
      <w:r>
        <w:fldChar w:fldCharType="end"/>
      </w:r>
      <w:r w:rsidRPr="00B743D4">
        <w:rPr>
          <w:rFonts w:ascii="Calibri" w:eastAsia="Inclusive Sans" w:hAnsi="Calibri" w:cs="Calibri"/>
          <w:highlight w:val="white"/>
        </w:rPr>
        <w:t>’</w:t>
      </w:r>
      <w:r>
        <w:rPr>
          <w:rFonts w:ascii="Calibri" w:eastAsia="Inclusive Sans" w:hAnsi="Calibri" w:cs="Calibri"/>
          <w:highlight w:val="white"/>
          <w:vertAlign w:val="superscript"/>
        </w:rPr>
        <w:footnoteReference w:id="3"/>
      </w:r>
      <w:r w:rsidRPr="00B743D4">
        <w:rPr>
          <w:rFonts w:ascii="Calibri" w:eastAsia="Inclusive Sans" w:hAnsi="Calibri" w:cs="Calibri"/>
          <w:highlight w:val="white"/>
        </w:rPr>
        <w:t xml:space="preserve"> </w:t>
      </w:r>
    </w:p>
    <w:p w:rsidR="000365A0" w:rsidRPr="00B743D4">
      <w:pPr>
        <w:keepNext/>
        <w:spacing w:line="240" w:lineRule="auto"/>
        <w:rPr>
          <w:rFonts w:ascii="Calibri" w:eastAsia="Inclusive Sans" w:hAnsi="Calibri" w:cs="Calibri"/>
        </w:rPr>
      </w:pPr>
    </w:p>
    <w:p w:rsidR="000365A0" w:rsidRPr="00B743D4">
      <w:pPr>
        <w:keepNext/>
        <w:spacing w:line="240" w:lineRule="auto"/>
        <w:rPr>
          <w:rFonts w:ascii="Calibri" w:eastAsia="Inclusive Sans" w:hAnsi="Calibri" w:cs="Calibri"/>
        </w:rPr>
      </w:pPr>
      <w:r w:rsidRPr="00B743D4">
        <w:rPr>
          <w:rFonts w:ascii="Calibri" w:eastAsia="Inclusive Sans" w:hAnsi="Calibri" w:cs="Calibri"/>
        </w:rPr>
        <w:t>Our latest statutory report, ‘</w:t>
      </w:r>
      <w:r>
        <w:fldChar w:fldCharType="begin"/>
      </w:r>
      <w:r>
        <w:instrText xml:space="preserve"> HYPERLINK "https://socialmobility.independent-commission.uk/publication/state-of-the-nation-2025-the-evolving-story-of-social-mobility-in-the-uk/" </w:instrText>
      </w:r>
      <w:r>
        <w:fldChar w:fldCharType="separate"/>
      </w:r>
      <w:r w:rsidRPr="00B743D4">
        <w:rPr>
          <w:rFonts w:ascii="Calibri" w:eastAsia="Inclusive Sans" w:hAnsi="Calibri" w:cs="Calibri"/>
          <w:i/>
          <w:iCs/>
          <w:color w:val="1155CC"/>
          <w:u w:val="single"/>
        </w:rPr>
        <w:t>State of the Nation 2025: The evolving story of social mobility in the UK</w:t>
      </w:r>
      <w:r>
        <w:fldChar w:fldCharType="end"/>
      </w:r>
      <w:r w:rsidRPr="00B743D4">
        <w:rPr>
          <w:rFonts w:ascii="Calibri" w:eastAsia="Inclusive Sans" w:hAnsi="Calibri" w:cs="Calibri"/>
        </w:rPr>
        <w:t>’</w:t>
      </w:r>
      <w:r>
        <w:rPr>
          <w:rFonts w:ascii="Calibri" w:eastAsia="Inclusive Sans" w:hAnsi="Calibri" w:cs="Calibri"/>
          <w:vertAlign w:val="superscript"/>
        </w:rPr>
        <w:footnoteReference w:id="4"/>
      </w:r>
      <w:r w:rsidRPr="00B743D4">
        <w:rPr>
          <w:rFonts w:ascii="Calibri" w:eastAsia="Inclusive Sans" w:hAnsi="Calibri" w:cs="Calibri"/>
        </w:rPr>
        <w:t>, identifies key trends and issues in social mobility across the UK. Our findings reveal clear patterns of socio-economic outcomes and trends over time, foremost of which is the strong linkage between where you live and opportunity for social mobility, in regions across the UK.</w:t>
      </w:r>
      <w:r w:rsidRPr="00B743D4">
        <w:rPr>
          <w:rFonts w:ascii="Calibri" w:eastAsia="Inclusive Sans" w:hAnsi="Calibri" w:cs="Calibri"/>
        </w:rPr>
        <w:br/>
      </w:r>
    </w:p>
    <w:p w:rsidR="000365A0" w:rsidRPr="00B743D4">
      <w:pPr>
        <w:keepNext/>
        <w:spacing w:line="240" w:lineRule="auto"/>
        <w:rPr>
          <w:rFonts w:ascii="Calibri" w:eastAsia="Inclusive Sans" w:hAnsi="Calibri" w:cs="Calibri"/>
        </w:rPr>
      </w:pPr>
      <w:r w:rsidRPr="00B743D4">
        <w:rPr>
          <w:rFonts w:ascii="Calibri" w:eastAsia="Inclusive Sans" w:hAnsi="Calibri" w:cs="Calibri"/>
          <w:highlight w:val="white"/>
        </w:rPr>
        <w:t>Through</w:t>
      </w:r>
      <w:r w:rsidRPr="00B743D4">
        <w:rPr>
          <w:rFonts w:ascii="Calibri" w:eastAsia="Inclusive Sans" w:hAnsi="Calibri" w:cs="Calibri"/>
        </w:rPr>
        <w:t xml:space="preserve"> our free </w:t>
      </w:r>
      <w:r>
        <w:fldChar w:fldCharType="begin"/>
      </w:r>
      <w:r>
        <w:instrText xml:space="preserve"> HYPERLINK "https://social-mobility.data.gov.uk/" </w:instrText>
      </w:r>
      <w:r>
        <w:fldChar w:fldCharType="separate"/>
      </w:r>
      <w:r w:rsidRPr="00B743D4">
        <w:rPr>
          <w:rFonts w:ascii="Calibri" w:eastAsia="Inclusive Sans" w:hAnsi="Calibri" w:cs="Calibri"/>
          <w:color w:val="1155CC"/>
          <w:u w:val="single"/>
        </w:rPr>
        <w:t>Data Explorer Tool</w:t>
      </w:r>
      <w:r>
        <w:fldChar w:fldCharType="end"/>
      </w:r>
      <w:r w:rsidRPr="00B743D4">
        <w:rPr>
          <w:rFonts w:ascii="Calibri" w:eastAsia="Inclusive Sans" w:hAnsi="Calibri" w:cs="Calibri"/>
        </w:rPr>
        <w:t>, which maps social mobility outcomes and drivers across over 200 geographic areas of the UK, we share our analysis and insights. These provide a comprehensive view of the factors that drive social mobility, enabling anyone with an interest to gain an evidence-based understanding on how opportunities and outcomes can be improved for all.</w:t>
      </w:r>
    </w:p>
    <w:p w:rsidR="000365A0" w:rsidRPr="00B743D4">
      <w:pPr>
        <w:keepNext/>
        <w:spacing w:line="240" w:lineRule="auto"/>
        <w:rPr>
          <w:rFonts w:ascii="Calibri" w:eastAsia="Inclusive Sans" w:hAnsi="Calibri" w:cs="Calibri"/>
        </w:rPr>
      </w:pPr>
      <w:r w:rsidRPr="00B743D4">
        <w:rPr>
          <w:rFonts w:ascii="Calibri" w:eastAsia="Inclusive Sans" w:hAnsi="Calibri" w:cs="Calibri"/>
        </w:rPr>
        <w:br/>
      </w:r>
      <w:r w:rsidRPr="00B743D4">
        <w:rPr>
          <w:rFonts w:ascii="Calibri" w:eastAsia="Play" w:hAnsi="Calibri" w:cs="Calibri"/>
          <w:b/>
          <w:bCs/>
          <w:color w:val="153932"/>
          <w:u w:val="single"/>
        </w:rPr>
        <w:t>Wider Government policy</w:t>
      </w:r>
      <w:r w:rsidRPr="00B743D4">
        <w:rPr>
          <w:rFonts w:ascii="Calibri" w:eastAsia="Play" w:hAnsi="Calibri" w:cs="Calibri"/>
          <w:b/>
          <w:bCs/>
          <w:color w:val="153932"/>
          <w:u w:val="single"/>
        </w:rPr>
        <w:br/>
      </w:r>
      <w:r w:rsidRPr="00B743D4">
        <w:rPr>
          <w:rFonts w:ascii="Calibri" w:eastAsia="Play" w:hAnsi="Calibri" w:cs="Calibri"/>
          <w:b/>
          <w:bCs/>
          <w:color w:val="153932"/>
        </w:rPr>
        <w:br/>
      </w:r>
      <w:r w:rsidRPr="00B743D4">
        <w:rPr>
          <w:rFonts w:ascii="Calibri" w:eastAsia="Inclusive Sans" w:hAnsi="Calibri" w:cs="Calibri"/>
        </w:rPr>
        <w:t xml:space="preserve">The ‘Every Child Achieving and Thriving White Paper’ has a section on 16 to 19 English and </w:t>
      </w:r>
      <w:r w:rsidRPr="00B743D4">
        <w:rPr>
          <w:rFonts w:ascii="Calibri" w:eastAsia="Inclusive Sans" w:hAnsi="Calibri" w:cs="Calibri"/>
        </w:rPr>
        <w:t>maths, and</w:t>
      </w:r>
      <w:r w:rsidRPr="00B743D4">
        <w:rPr>
          <w:rFonts w:ascii="Calibri" w:eastAsia="Inclusive Sans" w:hAnsi="Calibri" w:cs="Calibri"/>
        </w:rPr>
        <w:t xml:space="preserve"> refers to the post-16 Education and Skills White Paper, in which we welcome the commitment to continue to require students to achieve Level 2 English and maths. </w:t>
      </w:r>
    </w:p>
    <w:p w:rsidR="000365A0" w:rsidRPr="00B743D4">
      <w:pPr>
        <w:keepNext/>
        <w:spacing w:line="240" w:lineRule="auto"/>
        <w:rPr>
          <w:rFonts w:ascii="Calibri" w:eastAsia="Inclusive Sans" w:hAnsi="Calibri" w:cs="Calibri"/>
        </w:rPr>
      </w:pPr>
    </w:p>
    <w:p w:rsidR="000365A0" w:rsidRPr="00B743D4">
      <w:pPr>
        <w:keepNext/>
        <w:spacing w:line="240" w:lineRule="auto"/>
        <w:rPr>
          <w:rFonts w:ascii="Calibri" w:eastAsia="Inclusive Sans" w:hAnsi="Calibri" w:cs="Calibri"/>
        </w:rPr>
      </w:pPr>
      <w:r w:rsidRPr="00B743D4">
        <w:rPr>
          <w:rFonts w:ascii="Calibri" w:eastAsia="Inclusive Sans" w:hAnsi="Calibri" w:cs="Calibri"/>
        </w:rPr>
        <w:t>However, as outlined in our recent paper, ‘</w:t>
      </w:r>
      <w:r>
        <w:fldChar w:fldCharType="begin"/>
      </w:r>
      <w:r>
        <w:instrText xml:space="preserve"> HYPERLINK "https://socialmobility.independent-commission.uk/wp-content/uploads/2026/04/15.04.26-Stepping-stone-or-stumbling-block.pdf" </w:instrText>
      </w:r>
      <w:r>
        <w:fldChar w:fldCharType="separate"/>
      </w:r>
      <w:r w:rsidRPr="00B743D4">
        <w:rPr>
          <w:rFonts w:ascii="Calibri" w:eastAsia="Inclusive Sans" w:hAnsi="Calibri" w:cs="Calibri"/>
          <w:i/>
          <w:iCs/>
          <w:color w:val="1155CC"/>
          <w:u w:val="single"/>
        </w:rPr>
        <w:t>Stepping Stone or Stumbling Block’. Rethinking level 2 English and maths pathways</w:t>
      </w:r>
      <w:r>
        <w:fldChar w:fldCharType="end"/>
      </w:r>
      <w:r w:rsidRPr="00B743D4">
        <w:rPr>
          <w:rFonts w:ascii="Calibri" w:eastAsia="Inclusive Sans" w:hAnsi="Calibri" w:cs="Calibri"/>
        </w:rPr>
        <w:t>’</w:t>
      </w:r>
      <w:r>
        <w:rPr>
          <w:rFonts w:ascii="Calibri" w:eastAsia="Inclusive Sans" w:hAnsi="Calibri" w:cs="Calibri"/>
          <w:vertAlign w:val="superscript"/>
        </w:rPr>
        <w:footnoteReference w:id="5"/>
      </w:r>
      <w:r w:rsidRPr="00B743D4">
        <w:rPr>
          <w:rFonts w:ascii="Calibri" w:eastAsia="Inclusive Sans" w:hAnsi="Calibri" w:cs="Calibri"/>
        </w:rPr>
        <w:t xml:space="preserve">, the </w:t>
      </w:r>
      <w:r w:rsidRPr="00B743D4">
        <w:rPr>
          <w:rFonts w:ascii="Calibri" w:eastAsia="Inclusive Sans" w:hAnsi="Calibri" w:cs="Calibri"/>
          <w:color w:val="0B0C0C"/>
          <w:highlight w:val="white"/>
        </w:rPr>
        <w:t xml:space="preserve">new level 1 ‘preparation for GCSE’ qualifications in English and maths, </w:t>
      </w:r>
      <w:r w:rsidRPr="00B743D4">
        <w:rPr>
          <w:rFonts w:ascii="Calibri" w:eastAsia="Inclusive Sans" w:hAnsi="Calibri" w:cs="Calibri"/>
        </w:rPr>
        <w:t xml:space="preserve">instead of keeping the door to level 2 open, could divert students onto a qualification capped at level 1. This is problematic because all learners with prior grades of 1 to 2 will have already passed level 1 at age 16 years. Consequently, the policy effectively forces students to repeat a level they have already achieved. </w:t>
      </w:r>
    </w:p>
    <w:p w:rsidR="000365A0" w:rsidRPr="00B743D4">
      <w:pPr>
        <w:keepNext/>
        <w:spacing w:line="240" w:lineRule="auto"/>
        <w:rPr>
          <w:rFonts w:ascii="Calibri" w:eastAsia="Inclusive Sans" w:hAnsi="Calibri" w:cs="Calibri"/>
        </w:rPr>
      </w:pPr>
    </w:p>
    <w:p w:rsidR="000365A0" w:rsidRPr="00B743D4">
      <w:pPr>
        <w:keepNext/>
        <w:spacing w:line="240" w:lineRule="auto"/>
        <w:rPr>
          <w:rFonts w:ascii="Calibri" w:eastAsia="Inclusive Sans" w:hAnsi="Calibri" w:cs="Calibri"/>
        </w:rPr>
      </w:pPr>
      <w:r w:rsidRPr="00B743D4">
        <w:rPr>
          <w:rFonts w:ascii="Calibri" w:eastAsia="Inclusive Sans" w:hAnsi="Calibri" w:cs="Calibri"/>
        </w:rPr>
        <w:t xml:space="preserve">Furthermore, this could create a two-tier system for post-16 English and maths. Evidence shows that students who find themselves in the lower tier experience a range of negative experiences including lower self-esteem, and feelings of being labelled. As we outline, children from disadvantaged backgrounds are the ones who will be disproportionately impacted by this. </w:t>
      </w:r>
      <w:r w:rsidRPr="00B743D4">
        <w:rPr>
          <w:rFonts w:ascii="Calibri" w:eastAsia="Inclusive Sans" w:hAnsi="Calibri" w:cs="Calibri"/>
        </w:rPr>
        <w:t>For instance, only 44% of children eligible for free-school meals obtained a grade 4 in English and maths in the 2024/25 academic year. This compares with 72% of children not eligible for free-school meals.</w:t>
      </w:r>
    </w:p>
    <w:p w:rsidR="000365A0" w:rsidRPr="00B743D4">
      <w:pPr>
        <w:keepNext/>
        <w:spacing w:line="240" w:lineRule="auto"/>
        <w:rPr>
          <w:rFonts w:ascii="Calibri" w:eastAsia="Inclusive Sans" w:hAnsi="Calibri" w:cs="Calibri"/>
        </w:rPr>
      </w:pPr>
    </w:p>
    <w:p w:rsidR="000365A0" w:rsidRPr="00B743D4">
      <w:pPr>
        <w:widowControl w:val="0"/>
        <w:spacing w:after="160" w:line="240" w:lineRule="auto"/>
        <w:rPr>
          <w:rFonts w:ascii="Calibri" w:eastAsia="Inclusive Sans" w:hAnsi="Calibri" w:cs="Calibri"/>
        </w:rPr>
      </w:pPr>
      <w:r w:rsidRPr="00B743D4">
        <w:rPr>
          <w:rFonts w:ascii="Calibri" w:eastAsia="Inclusive Sans" w:hAnsi="Calibri" w:cs="Calibri"/>
        </w:rPr>
        <w:t xml:space="preserve">What is more, the </w:t>
      </w:r>
      <w:r w:rsidRPr="00B743D4">
        <w:rPr>
          <w:rFonts w:ascii="Calibri" w:eastAsia="Inclusive Sans" w:hAnsi="Calibri" w:cs="Calibri"/>
        </w:rPr>
        <w:t>sector is already suffering from reform fatigue. The Curriculum and Assessment Review marks the sixth overhaul of post-16 skills policy since 2010, confirming the Institute for Fiscal Studies’ (IFS) observation that “few areas of public policy have experienced as much change as skills policy”.</w:t>
      </w:r>
      <w:r>
        <w:rPr>
          <w:rFonts w:ascii="Calibri" w:eastAsia="Inclusive Sans" w:hAnsi="Calibri" w:cs="Calibri"/>
          <w:vertAlign w:val="superscript"/>
        </w:rPr>
        <w:footnoteReference w:id="6"/>
      </w:r>
    </w:p>
    <w:p w:rsidR="000365A0" w:rsidRPr="00B743D4">
      <w:pPr>
        <w:keepNext/>
        <w:shd w:val="clear" w:color="auto" w:fill="FFFFFF"/>
        <w:spacing w:line="240" w:lineRule="auto"/>
        <w:rPr>
          <w:rFonts w:ascii="Calibri" w:eastAsia="Play" w:hAnsi="Calibri" w:cs="Calibri"/>
          <w:b/>
          <w:bCs/>
          <w:color w:val="153932"/>
          <w:u w:val="single"/>
        </w:rPr>
      </w:pPr>
    </w:p>
    <w:p w:rsidR="000365A0" w:rsidRPr="00B743D4">
      <w:pPr>
        <w:keepNext/>
        <w:shd w:val="clear" w:color="auto" w:fill="FFFFFF"/>
        <w:spacing w:line="240" w:lineRule="auto"/>
        <w:rPr>
          <w:rFonts w:ascii="Calibri" w:eastAsia="Play" w:hAnsi="Calibri" w:cs="Calibri"/>
          <w:b/>
          <w:bCs/>
          <w:color w:val="153932"/>
          <w:u w:val="single"/>
        </w:rPr>
      </w:pPr>
      <w:r w:rsidRPr="00B743D4">
        <w:rPr>
          <w:rFonts w:ascii="Calibri" w:eastAsia="Play" w:hAnsi="Calibri" w:cs="Calibri"/>
          <w:b/>
          <w:bCs/>
          <w:color w:val="153932"/>
          <w:u w:val="single"/>
        </w:rPr>
        <w:t>Reducing disadvantaged gaps</w:t>
      </w:r>
    </w:p>
    <w:p w:rsidR="000365A0" w:rsidRPr="00B743D4">
      <w:pPr>
        <w:keepNext/>
        <w:shd w:val="clear" w:color="auto" w:fill="FFFFFF"/>
        <w:spacing w:line="240" w:lineRule="auto"/>
        <w:rPr>
          <w:rFonts w:ascii="Calibri" w:eastAsia="Play" w:hAnsi="Calibri" w:cs="Calibri"/>
          <w:b/>
          <w:bCs/>
          <w:color w:val="153932"/>
          <w:u w:val="single"/>
        </w:rPr>
      </w:pPr>
    </w:p>
    <w:p w:rsidR="000365A0" w:rsidRPr="00B743D4">
      <w:pPr>
        <w:widowControl w:val="0"/>
        <w:spacing w:after="160" w:line="240" w:lineRule="auto"/>
        <w:rPr>
          <w:rFonts w:ascii="Calibri" w:eastAsia="Inclusive Sans" w:hAnsi="Calibri" w:cs="Calibri"/>
        </w:rPr>
      </w:pPr>
      <w:r w:rsidRPr="00B743D4">
        <w:rPr>
          <w:rFonts w:ascii="Calibri" w:eastAsia="Inclusive Sans" w:hAnsi="Calibri" w:cs="Calibri"/>
        </w:rPr>
        <w:t>The Every</w:t>
      </w:r>
      <w:r w:rsidRPr="00B743D4">
        <w:rPr>
          <w:rFonts w:ascii="Calibri" w:eastAsia="Inclusive Sans" w:hAnsi="Calibri" w:cs="Calibri"/>
        </w:rPr>
        <w:t xml:space="preserve"> Child Achieving and Thriving White Paper rightly highlights the persistent disadvantage gap at KS2 and KS4. This also exists at A-Level. While resit rates remain too high, we show that the post-16 English and math resit sector is the only stage of education in England where disadvantaged learners are actively catching up to their peers. This is why we made the case that, rather than risking further regression through unnecessary structural overhaul, policymakers should choose to build on what is demonstrab</w:t>
      </w:r>
      <w:r w:rsidRPr="00B743D4">
        <w:rPr>
          <w:rFonts w:ascii="Calibri" w:eastAsia="Inclusive Sans" w:hAnsi="Calibri" w:cs="Calibri"/>
        </w:rPr>
        <w:t xml:space="preserve">ly working. </w:t>
      </w:r>
    </w:p>
    <w:p w:rsidR="000365A0" w:rsidRPr="00B743D4">
      <w:pPr>
        <w:keepNext/>
        <w:shd w:val="clear" w:color="auto" w:fill="FFFFFF"/>
        <w:spacing w:line="240" w:lineRule="auto"/>
        <w:rPr>
          <w:rFonts w:ascii="Calibri" w:eastAsia="Inclusive Sans" w:hAnsi="Calibri" w:cs="Calibri"/>
        </w:rPr>
      </w:pPr>
      <w:r w:rsidRPr="00B743D4">
        <w:rPr>
          <w:rFonts w:ascii="Calibri" w:eastAsia="Inclusive Sans" w:hAnsi="Calibri" w:cs="Calibri"/>
        </w:rPr>
        <w:t xml:space="preserve">One of the ambitions in </w:t>
      </w:r>
      <w:r w:rsidRPr="00B743D4">
        <w:rPr>
          <w:rFonts w:ascii="Calibri" w:eastAsia="Inclusive Sans" w:hAnsi="Calibri" w:cs="Calibri"/>
        </w:rPr>
        <w:t>The Every</w:t>
      </w:r>
      <w:r w:rsidRPr="00B743D4">
        <w:rPr>
          <w:rFonts w:ascii="Calibri" w:eastAsia="Inclusive Sans" w:hAnsi="Calibri" w:cs="Calibri"/>
        </w:rPr>
        <w:t xml:space="preserve"> Child Achieving and Thriving White Paper is that the disadvantage gap will be halved when this generation finishes secondary school. Providing sufficient, ring-fenced resources for post-16 English and maths will help to achieve this aim.</w:t>
      </w:r>
      <w:r w:rsidRPr="00B743D4">
        <w:rPr>
          <w:rFonts w:ascii="Calibri" w:eastAsia="Inclusive Sans" w:hAnsi="Calibri" w:cs="Calibri"/>
        </w:rPr>
        <w:br/>
      </w:r>
      <w:r w:rsidRPr="00B743D4">
        <w:rPr>
          <w:rFonts w:ascii="Calibri" w:eastAsia="Inclusive Sans" w:hAnsi="Calibri" w:cs="Calibri"/>
        </w:rPr>
        <w:br/>
        <w:t xml:space="preserve">The White Paper outlines </w:t>
      </w:r>
      <w:r w:rsidRPr="00B743D4">
        <w:rPr>
          <w:rFonts w:ascii="Calibri" w:eastAsia="Inclusive Sans" w:hAnsi="Calibri" w:cs="Calibri"/>
        </w:rPr>
        <w:t>plans</w:t>
      </w:r>
      <w:r w:rsidRPr="00B743D4">
        <w:rPr>
          <w:rFonts w:ascii="Calibri" w:eastAsia="Inclusive Sans" w:hAnsi="Calibri" w:cs="Calibri"/>
        </w:rPr>
        <w:t xml:space="preserve"> to establish minimum expectations for home-to-school partnerships. This will include “</w:t>
      </w:r>
      <w:r w:rsidRPr="00B743D4">
        <w:rPr>
          <w:rFonts w:ascii="Calibri" w:eastAsia="Inclusive Sans" w:hAnsi="Calibri" w:cs="Calibri"/>
          <w:i/>
          <w:iCs/>
        </w:rPr>
        <w:t>empowering families to support learning at home by signposting practical guidance, support, and resources</w:t>
      </w:r>
      <w:r w:rsidRPr="00B743D4">
        <w:rPr>
          <w:rFonts w:ascii="Calibri" w:eastAsia="Inclusive Sans" w:hAnsi="Calibri" w:cs="Calibri"/>
        </w:rPr>
        <w:t xml:space="preserve">”. </w:t>
      </w:r>
    </w:p>
    <w:p w:rsidR="000365A0" w:rsidRPr="00B743D4">
      <w:pPr>
        <w:keepNext/>
        <w:shd w:val="clear" w:color="auto" w:fill="FFFFFF"/>
        <w:spacing w:line="240" w:lineRule="auto"/>
        <w:rPr>
          <w:rFonts w:ascii="Calibri" w:eastAsia="Inclusive Sans" w:hAnsi="Calibri" w:cs="Calibri"/>
        </w:rPr>
      </w:pPr>
    </w:p>
    <w:p w:rsidR="000365A0" w:rsidRPr="00B743D4">
      <w:pPr>
        <w:keepNext/>
        <w:shd w:val="clear" w:color="auto" w:fill="FFFFFF"/>
        <w:spacing w:line="240" w:lineRule="auto"/>
        <w:rPr>
          <w:rFonts w:ascii="Calibri" w:eastAsia="Inclusive Sans" w:hAnsi="Calibri" w:cs="Calibri"/>
        </w:rPr>
      </w:pPr>
      <w:r w:rsidRPr="00B743D4">
        <w:rPr>
          <w:rFonts w:ascii="Calibri" w:eastAsia="Inclusive Sans" w:hAnsi="Calibri" w:cs="Calibri"/>
        </w:rPr>
        <w:t>Our recent paper, ‘</w:t>
      </w:r>
      <w:r>
        <w:fldChar w:fldCharType="begin"/>
      </w:r>
      <w:r>
        <w:instrText xml:space="preserve"> HYPERLINK "https://socialmobility.independent-commission.uk/publication/the-role-of-families-in-the-educational-outcomes-of-children-and-young-people/" </w:instrText>
      </w:r>
      <w:r>
        <w:fldChar w:fldCharType="separate"/>
      </w:r>
      <w:r w:rsidRPr="00B743D4">
        <w:rPr>
          <w:rFonts w:ascii="Calibri" w:eastAsia="Inclusive Sans" w:hAnsi="Calibri" w:cs="Calibri"/>
          <w:color w:val="1155CC"/>
          <w:u w:val="single"/>
        </w:rPr>
        <w:t>The Role of Families in the Educational Outcomes of Children and Young People</w:t>
      </w:r>
      <w:r>
        <w:fldChar w:fldCharType="end"/>
      </w:r>
      <w:r w:rsidRPr="00B743D4">
        <w:rPr>
          <w:rFonts w:ascii="Calibri" w:eastAsia="Inclusive Sans" w:hAnsi="Calibri" w:cs="Calibri"/>
        </w:rPr>
        <w:t>’</w:t>
      </w:r>
      <w:r>
        <w:rPr>
          <w:rFonts w:ascii="Calibri" w:eastAsia="Inclusive Sans" w:hAnsi="Calibri" w:cs="Calibri"/>
          <w:vertAlign w:val="superscript"/>
        </w:rPr>
        <w:footnoteReference w:id="7"/>
      </w:r>
      <w:r w:rsidRPr="00B743D4">
        <w:rPr>
          <w:rFonts w:ascii="Calibri" w:eastAsia="Inclusive Sans" w:hAnsi="Calibri" w:cs="Calibri"/>
        </w:rPr>
        <w:t xml:space="preserve"> reported that the home learning environment is positively associated with children’s educational outcomes throughout primary and secondary school, over and above socio-economic circumstances. Encouragingly, our review outlines that there is also evidence that the home learning environment can be positively shaped by policy and practice interventions. For example, early evidence on the impact of access to Sure Start centres highlighted improvements in parenting behaviours and the home learning environment, </w:t>
      </w:r>
      <w:r w:rsidRPr="00B743D4">
        <w:rPr>
          <w:rFonts w:ascii="Calibri" w:eastAsia="Inclusive Sans" w:hAnsi="Calibri" w:cs="Calibri"/>
        </w:rPr>
        <w:t xml:space="preserve">which more recent evidence on the longer-term benefits of access to Sure Start centres </w:t>
      </w:r>
      <w:r w:rsidRPr="00B743D4">
        <w:rPr>
          <w:rFonts w:ascii="Calibri" w:eastAsia="Inclusive Sans" w:hAnsi="Calibri" w:cs="Calibri"/>
        </w:rPr>
        <w:t xml:space="preserve">hypothesised to be one of the key pathways through which the programme has improved subsequent educational attainment. More broadly, meta-analyses of randomised controlled trials have demonstrated that targeted interventions to improve the quality of the home learning environment </w:t>
      </w:r>
      <w:r w:rsidRPr="00B743D4">
        <w:rPr>
          <w:rFonts w:ascii="Calibri" w:eastAsia="Inclusive Sans" w:hAnsi="Calibri" w:cs="Calibri"/>
        </w:rPr>
        <w:t>lead</w:t>
      </w:r>
      <w:r w:rsidRPr="00B743D4">
        <w:rPr>
          <w:rFonts w:ascii="Calibri" w:eastAsia="Inclusive Sans" w:hAnsi="Calibri" w:cs="Calibri"/>
        </w:rPr>
        <w:t xml:space="preserve"> to significantly higher maths and literacy outcomes at ages three to nine. </w:t>
      </w:r>
    </w:p>
    <w:p w:rsidR="000365A0" w:rsidRPr="00B743D4">
      <w:pPr>
        <w:keepNext/>
        <w:shd w:val="clear" w:color="auto" w:fill="FFFFFF"/>
        <w:spacing w:line="240" w:lineRule="auto"/>
        <w:rPr>
          <w:rFonts w:ascii="Calibri" w:eastAsia="Inclusive Sans" w:hAnsi="Calibri" w:cs="Calibri"/>
        </w:rPr>
      </w:pPr>
    </w:p>
    <w:p w:rsidR="000365A0" w:rsidRPr="00B743D4">
      <w:pPr>
        <w:keepNext/>
        <w:shd w:val="clear" w:color="auto" w:fill="FFFFFF"/>
        <w:spacing w:line="240" w:lineRule="auto"/>
        <w:rPr>
          <w:rFonts w:ascii="Calibri" w:hAnsi="Calibri" w:cs="Calibri"/>
          <w:color w:val="222222"/>
        </w:rPr>
      </w:pPr>
      <w:r w:rsidRPr="00B743D4">
        <w:rPr>
          <w:rFonts w:ascii="Calibri" w:eastAsia="Inclusive Sans" w:hAnsi="Calibri" w:cs="Calibri"/>
        </w:rPr>
        <w:t xml:space="preserve">These minimum expectations will also outline the crucial role that the expectations of parents and carers have in supporting their child to flourish at school. Our </w:t>
      </w:r>
      <w:r>
        <w:fldChar w:fldCharType="begin"/>
      </w:r>
      <w:r>
        <w:instrText xml:space="preserve"> HYPERLINK "https://socialmobility.independent-commission.uk/publication/state-of-the-nation-2025-the-evolving-story-of-social-mobility-in-the-uk/" </w:instrText>
      </w:r>
      <w:r>
        <w:fldChar w:fldCharType="separate"/>
      </w:r>
      <w:r w:rsidRPr="00B743D4">
        <w:rPr>
          <w:rFonts w:ascii="Calibri" w:eastAsia="Inclusive Sans" w:hAnsi="Calibri" w:cs="Calibri"/>
          <w:color w:val="1155CC"/>
          <w:u w:val="single"/>
        </w:rPr>
        <w:t>2025 State of the Nation report: ‘The evolving story of social mobility in the UK’</w:t>
      </w:r>
      <w:r>
        <w:fldChar w:fldCharType="end"/>
      </w:r>
      <w:r w:rsidRPr="00B743D4">
        <w:rPr>
          <w:rFonts w:ascii="Calibri" w:eastAsia="Inclusive Sans" w:hAnsi="Calibri" w:cs="Calibri"/>
        </w:rPr>
        <w:t xml:space="preserve"> highlighted that 76% of free-school meal eligible children of a Chinese background achieved a grade 5 or above in English and maths in the 2023/24 academic year.</w:t>
      </w:r>
      <w:r>
        <w:rPr>
          <w:rFonts w:ascii="Calibri" w:eastAsia="Inclusive Sans" w:hAnsi="Calibri" w:cs="Calibri"/>
          <w:vertAlign w:val="superscript"/>
        </w:rPr>
        <w:footnoteReference w:id="8"/>
      </w:r>
      <w:r w:rsidRPr="00B743D4">
        <w:rPr>
          <w:rFonts w:ascii="Calibri" w:eastAsia="Inclusive Sans" w:hAnsi="Calibri" w:cs="Calibri"/>
        </w:rPr>
        <w:t xml:space="preserve"> This means that disadvantaged pupils from Chinese backgrounds outperform the average non-disadvantaged pupils in GCSE English and maths. Our Families Review shows that after prior attainment, parental aspirations and expectations are the single strongest factor mediating differences in GCSE results at age 16 between young people from different socio-economic backgrounds.</w:t>
      </w:r>
      <w:r>
        <w:rPr>
          <w:rFonts w:ascii="Calibri" w:eastAsia="Inclusive Sans" w:hAnsi="Calibri" w:cs="Calibri"/>
          <w:vertAlign w:val="superscript"/>
        </w:rPr>
        <w:footnoteReference w:id="9"/>
      </w:r>
      <w:r w:rsidRPr="00B743D4">
        <w:rPr>
          <w:rFonts w:ascii="Calibri" w:eastAsia="Inclusive Sans" w:hAnsi="Calibri" w:cs="Calibri"/>
        </w:rPr>
        <w:t xml:space="preserve">  It also reports that these measures are among the key reasons that young people from ethnic minority backgrounds have higher educational attainment than young people of White British ethnicity, particularly among those from low socio-economic backgrounds. Therefore, we support attempts to raise parental and carers expectations of their children’s educational </w:t>
      </w:r>
      <w:r w:rsidRPr="00B743D4">
        <w:rPr>
          <w:rFonts w:ascii="Calibri" w:eastAsia="Inclusive Sans" w:hAnsi="Calibri" w:cs="Calibri"/>
        </w:rPr>
        <w:t>attainment.</w:t>
      </w:r>
      <w:r w:rsidRPr="00B743D4">
        <w:rPr>
          <w:rFonts w:ascii="Calibri" w:hAnsi="Calibri" w:cs="Calibri"/>
          <w:color w:val="222222"/>
        </w:rPr>
        <w:br/>
      </w:r>
    </w:p>
    <w:p w:rsidR="000365A0" w:rsidRPr="00B743D4">
      <w:pPr>
        <w:keepNext/>
        <w:shd w:val="clear" w:color="auto" w:fill="FFFFFF"/>
        <w:spacing w:line="240" w:lineRule="auto"/>
        <w:rPr>
          <w:rFonts w:ascii="Calibri" w:eastAsia="Play" w:hAnsi="Calibri" w:cs="Calibri"/>
          <w:b/>
          <w:bCs/>
          <w:color w:val="153932"/>
          <w:u w:val="single"/>
        </w:rPr>
      </w:pPr>
      <w:r w:rsidRPr="00B743D4">
        <w:rPr>
          <w:rFonts w:ascii="Calibri" w:eastAsia="Play" w:hAnsi="Calibri" w:cs="Calibri"/>
          <w:b/>
          <w:bCs/>
          <w:color w:val="153932"/>
          <w:u w:val="single"/>
        </w:rPr>
        <w:t xml:space="preserve">Enrichment, belonging and behaviour </w:t>
      </w:r>
      <w:r w:rsidRPr="00B743D4">
        <w:rPr>
          <w:rFonts w:ascii="Calibri" w:eastAsia="Play" w:hAnsi="Calibri" w:cs="Calibri"/>
          <w:b/>
          <w:bCs/>
          <w:color w:val="153932"/>
          <w:u w:val="single"/>
        </w:rPr>
        <w:br/>
      </w:r>
    </w:p>
    <w:p w:rsidR="000365A0" w:rsidRPr="00B743D4">
      <w:pPr>
        <w:keepNext/>
        <w:shd w:val="clear" w:color="auto" w:fill="FFFFFF"/>
        <w:spacing w:line="240" w:lineRule="auto"/>
        <w:rPr>
          <w:rFonts w:ascii="Calibri" w:eastAsia="Inclusive Sans" w:hAnsi="Calibri" w:cs="Calibri"/>
        </w:rPr>
      </w:pPr>
      <w:r w:rsidRPr="00B743D4">
        <w:rPr>
          <w:rFonts w:ascii="Calibri" w:eastAsia="Inclusive Sans" w:hAnsi="Calibri" w:cs="Calibri"/>
        </w:rPr>
        <w:t>The Every</w:t>
      </w:r>
      <w:r w:rsidRPr="00B743D4">
        <w:rPr>
          <w:rFonts w:ascii="Calibri" w:eastAsia="Inclusive Sans" w:hAnsi="Calibri" w:cs="Calibri"/>
        </w:rPr>
        <w:t xml:space="preserve"> Child Achieving and Thriving White Paper highlights evidence that extracurricular enrichment participation is associated with higher educational achievement and outcomes in adulthood. This is correct and is discussed in our paper referenced above, ‘</w:t>
      </w:r>
      <w:r>
        <w:fldChar w:fldCharType="begin"/>
      </w:r>
      <w:r>
        <w:instrText xml:space="preserve"> HYPERLINK "https://socialmobility.independent-commission.uk/wp-content/uploads/2026/05/The-role-of-families-in-the-educational-outcomes-of-children-and-young-people.docx.pdf" </w:instrText>
      </w:r>
      <w:r>
        <w:fldChar w:fldCharType="separate"/>
      </w:r>
      <w:r w:rsidRPr="00B743D4">
        <w:rPr>
          <w:rFonts w:ascii="Calibri" w:eastAsia="Inclusive Sans" w:hAnsi="Calibri" w:cs="Calibri"/>
          <w:i/>
          <w:iCs/>
          <w:color w:val="1155CC"/>
          <w:u w:val="single"/>
        </w:rPr>
        <w:t>The Role of Families in the Educational Outcomes of Children and Young People</w:t>
      </w:r>
      <w:r>
        <w:fldChar w:fldCharType="end"/>
      </w:r>
      <w:r w:rsidRPr="00B743D4">
        <w:rPr>
          <w:rFonts w:ascii="Calibri" w:eastAsia="Inclusive Sans" w:hAnsi="Calibri" w:cs="Calibri"/>
        </w:rPr>
        <w:t>’.</w:t>
      </w:r>
      <w:r>
        <w:rPr>
          <w:rFonts w:ascii="Calibri" w:eastAsia="Inclusive Sans" w:hAnsi="Calibri" w:cs="Calibri"/>
          <w:vertAlign w:val="superscript"/>
        </w:rPr>
        <w:footnoteReference w:id="10"/>
      </w:r>
      <w:r w:rsidRPr="00B743D4">
        <w:rPr>
          <w:rFonts w:ascii="Calibri" w:eastAsia="Inclusive Sans" w:hAnsi="Calibri" w:cs="Calibri"/>
        </w:rPr>
        <w:t xml:space="preserve"> Evidence  shows that engagement in such activities at age 14 is linked to higher attainment at Key Stages 3 and 4 (ages 14 and 16), and a reduced likelihood of being NEET at age 17, even after controlling for earlier academic performance. There are other longer-term benefits. Secondary school pupils who attend extra-curricular activities show greater odds of progressing to higher education and employment in early adulthood than those who do not. </w:t>
      </w:r>
    </w:p>
    <w:p w:rsidR="000365A0" w:rsidRPr="00B743D4">
      <w:pPr>
        <w:keepNext/>
        <w:shd w:val="clear" w:color="auto" w:fill="FFFFFF"/>
        <w:spacing w:line="240" w:lineRule="auto"/>
        <w:rPr>
          <w:rFonts w:ascii="Calibri" w:eastAsia="Inclusive Sans" w:hAnsi="Calibri" w:cs="Calibri"/>
        </w:rPr>
      </w:pPr>
    </w:p>
    <w:p w:rsidR="000365A0" w:rsidRPr="00B743D4">
      <w:pPr>
        <w:keepNext/>
        <w:shd w:val="clear" w:color="auto" w:fill="FFFFFF"/>
        <w:spacing w:line="240" w:lineRule="auto"/>
        <w:rPr>
          <w:rFonts w:ascii="Calibri" w:eastAsia="Inclusive Sans" w:hAnsi="Calibri" w:cs="Calibri"/>
        </w:rPr>
      </w:pPr>
      <w:r w:rsidRPr="00B743D4">
        <w:rPr>
          <w:rFonts w:ascii="Calibri" w:eastAsia="Inclusive Sans" w:hAnsi="Calibri" w:cs="Calibri"/>
        </w:rPr>
        <w:t>However, our review also highlights that children with SEN, those with lower-income households and those in care are less likely to participate in such activities. The review details that many schools attempt to close the gap in access to extra-curricular activities through pupil premium funding. Unfortunately, these approaches have not been formally evaluated. This gap in participation is supported by previous Social Mobility Commission evidence.</w:t>
      </w:r>
      <w:r>
        <w:rPr>
          <w:rFonts w:ascii="Calibri" w:eastAsia="Inclusive Sans" w:hAnsi="Calibri" w:cs="Calibri"/>
          <w:vertAlign w:val="superscript"/>
        </w:rPr>
        <w:footnoteReference w:id="11"/>
      </w:r>
    </w:p>
    <w:p w:rsidR="000365A0" w:rsidRPr="00B743D4">
      <w:pPr>
        <w:keepNext/>
        <w:shd w:val="clear" w:color="auto" w:fill="FFFFFF"/>
        <w:spacing w:line="240" w:lineRule="auto"/>
        <w:rPr>
          <w:rFonts w:ascii="Calibri" w:eastAsia="Inclusive Sans" w:hAnsi="Calibri" w:cs="Calibri"/>
        </w:rPr>
      </w:pPr>
    </w:p>
    <w:p w:rsidR="000365A0" w:rsidRPr="00B743D4">
      <w:pPr>
        <w:keepNext/>
        <w:spacing w:line="240" w:lineRule="auto"/>
        <w:rPr>
          <w:rFonts w:ascii="Calibri" w:eastAsia="Inclusive Sans" w:hAnsi="Calibri" w:cs="Calibri"/>
        </w:rPr>
      </w:pPr>
      <w:r w:rsidRPr="00B743D4">
        <w:rPr>
          <w:rFonts w:ascii="Calibri" w:eastAsia="Inclusive Sans" w:hAnsi="Calibri" w:cs="Calibri"/>
        </w:rPr>
        <w:br/>
      </w:r>
    </w:p>
    <w:p w:rsidR="000365A0" w:rsidRPr="00B743D4">
      <w:pPr>
        <w:keepNext/>
        <w:shd w:val="clear" w:color="auto" w:fill="FFFFFF"/>
        <w:spacing w:line="240" w:lineRule="auto"/>
        <w:rPr>
          <w:rFonts w:ascii="Calibri" w:eastAsia="Play" w:hAnsi="Calibri" w:cs="Calibri"/>
          <w:b/>
          <w:bCs/>
          <w:color w:val="153932"/>
          <w:u w:val="single"/>
        </w:rPr>
      </w:pPr>
      <w:r w:rsidRPr="00B743D4">
        <w:rPr>
          <w:rFonts w:ascii="Calibri" w:eastAsia="Play" w:hAnsi="Calibri" w:cs="Calibri"/>
          <w:b/>
          <w:bCs/>
          <w:color w:val="153932"/>
          <w:u w:val="single"/>
        </w:rPr>
        <w:t xml:space="preserve">School admissions </w:t>
      </w:r>
    </w:p>
    <w:p w:rsidR="000365A0" w:rsidRPr="00B743D4">
      <w:pPr>
        <w:keepNext/>
        <w:shd w:val="clear" w:color="auto" w:fill="FFFFFF"/>
        <w:spacing w:line="240" w:lineRule="auto"/>
        <w:rPr>
          <w:rFonts w:ascii="Calibri" w:eastAsia="Play" w:hAnsi="Calibri" w:cs="Calibri"/>
          <w:b/>
          <w:bCs/>
          <w:color w:val="153932"/>
          <w:u w:val="single"/>
        </w:rPr>
      </w:pPr>
    </w:p>
    <w:p w:rsidR="000365A0" w:rsidRPr="00B743D4">
      <w:pPr>
        <w:keepNext/>
        <w:shd w:val="clear" w:color="auto" w:fill="FFFFFF"/>
        <w:spacing w:line="240" w:lineRule="auto"/>
        <w:rPr>
          <w:rFonts w:ascii="Calibri" w:eastAsia="Inclusive Sans" w:hAnsi="Calibri" w:cs="Calibri"/>
        </w:rPr>
      </w:pPr>
      <w:r w:rsidRPr="00B743D4">
        <w:rPr>
          <w:rFonts w:ascii="Calibri" w:eastAsia="Inclusive Sans" w:hAnsi="Calibri" w:cs="Calibri"/>
        </w:rPr>
        <w:t>The Every</w:t>
      </w:r>
      <w:r w:rsidRPr="00B743D4">
        <w:rPr>
          <w:rFonts w:ascii="Calibri" w:eastAsia="Inclusive Sans" w:hAnsi="Calibri" w:cs="Calibri"/>
        </w:rPr>
        <w:t xml:space="preserve"> Child Achieving and Thriving White Paper outlines that Government intends to “</w:t>
      </w:r>
      <w:r w:rsidRPr="00B743D4">
        <w:rPr>
          <w:rFonts w:ascii="Calibri" w:eastAsia="Inclusive Sans" w:hAnsi="Calibri" w:cs="Calibri"/>
          <w:i/>
          <w:iCs/>
          <w:color w:val="0B0C0C"/>
          <w:highlight w:val="white"/>
        </w:rPr>
        <w:t>consult on changes to the School Admissions Code to promote fairness for all families, particularly the most disadvantaged and children with additional needs</w:t>
      </w:r>
      <w:r w:rsidRPr="00B743D4">
        <w:rPr>
          <w:rFonts w:ascii="Calibri" w:eastAsia="Inclusive Sans" w:hAnsi="Calibri" w:cs="Calibri"/>
          <w:color w:val="0B0C0C"/>
          <w:highlight w:val="white"/>
        </w:rPr>
        <w:t>”.</w:t>
      </w:r>
      <w:r w:rsidRPr="00B743D4">
        <w:rPr>
          <w:rFonts w:ascii="Calibri" w:eastAsia="Inclusive Sans" w:hAnsi="Calibri" w:cs="Calibri"/>
        </w:rPr>
        <w:t xml:space="preserve"> </w:t>
      </w:r>
      <w:r w:rsidRPr="00B743D4">
        <w:rPr>
          <w:rFonts w:ascii="Calibri" w:eastAsia="Inclusive Sans" w:hAnsi="Calibri" w:cs="Calibri"/>
        </w:rPr>
        <w:br/>
      </w:r>
      <w:r w:rsidRPr="00B743D4">
        <w:rPr>
          <w:rFonts w:ascii="Calibri" w:eastAsia="Inclusive Sans" w:hAnsi="Calibri" w:cs="Calibri"/>
        </w:rPr>
        <w:br/>
        <w:t xml:space="preserve">The Social Mobility Commission will soon publish wide ranging research on low and high social mobility areas which reveals that </w:t>
      </w:r>
      <w:r w:rsidRPr="00B743D4">
        <w:rPr>
          <w:rFonts w:ascii="Calibri" w:eastAsia="Inclusive Sans" w:hAnsi="Calibri" w:cs="Calibri"/>
        </w:rPr>
        <w:t xml:space="preserve">disadvantaged pupils in high mobility areas are more likely to attend </w:t>
      </w:r>
      <w:r w:rsidRPr="00B743D4">
        <w:rPr>
          <w:rFonts w:ascii="Calibri" w:eastAsia="Inclusive Sans" w:hAnsi="Calibri" w:cs="Calibri"/>
        </w:rPr>
        <w:t>high quality</w:t>
      </w:r>
      <w:r w:rsidRPr="00B743D4">
        <w:rPr>
          <w:rFonts w:ascii="Calibri" w:eastAsia="Inclusive Sans" w:hAnsi="Calibri" w:cs="Calibri"/>
        </w:rPr>
        <w:t xml:space="preserve"> schools than those in low mobility areas. Our upcoming research also reveals that there is higher school segregation </w:t>
      </w:r>
      <w:r w:rsidRPr="00B743D4">
        <w:rPr>
          <w:rFonts w:ascii="Calibri" w:eastAsia="Inclusive Sans" w:hAnsi="Calibri" w:cs="Calibri"/>
        </w:rPr>
        <w:t xml:space="preserve">of FSM pupils in low mobility areas, than high mobility areas. School segregation in this context refers to how FSM pupils are distributed across schools in local areas, who they attend school with, and their resulting exposure to the peer networks, high expectations, and educational resources that shape later academic and career success. </w:t>
      </w:r>
      <w:r w:rsidRPr="00B743D4">
        <w:rPr>
          <w:rFonts w:ascii="Calibri" w:eastAsia="Inclusive Sans" w:hAnsi="Calibri" w:cs="Calibri"/>
        </w:rPr>
        <w:br/>
      </w:r>
    </w:p>
    <w:p w:rsidR="000365A0" w:rsidRPr="00B743D4">
      <w:pPr>
        <w:keepNext/>
        <w:shd w:val="clear" w:color="auto" w:fill="FFFFFF"/>
        <w:spacing w:line="240" w:lineRule="auto"/>
        <w:rPr>
          <w:rFonts w:ascii="Calibri" w:eastAsia="Inclusive Sans" w:hAnsi="Calibri" w:cs="Calibri"/>
          <w:b/>
          <w:bCs/>
          <w:u w:val="single"/>
        </w:rPr>
      </w:pPr>
      <w:r w:rsidRPr="00B743D4">
        <w:rPr>
          <w:rFonts w:ascii="Calibri" w:eastAsia="Inclusive Sans" w:hAnsi="Calibri" w:cs="Calibri"/>
        </w:rPr>
        <w:t>This greater school segregation is problematic because friendships outside of people’s social group have positive and important impacts on their social mobility outcomes.</w:t>
      </w:r>
      <w:r>
        <w:rPr>
          <w:rFonts w:ascii="Calibri" w:eastAsia="Inclusive Sans" w:hAnsi="Calibri" w:cs="Calibri"/>
          <w:vertAlign w:val="superscript"/>
        </w:rPr>
        <w:footnoteReference w:id="12"/>
      </w:r>
      <w:r w:rsidRPr="00B743D4">
        <w:rPr>
          <w:rFonts w:ascii="Calibri" w:eastAsia="Inclusive Sans" w:hAnsi="Calibri" w:cs="Calibri"/>
        </w:rPr>
        <w:t xml:space="preserve"> For example, young people from low-income backgrounds who grew up in areas where friendships crossed economic lines go on to earn 38% more as adults than similar young people in areas where social networks were more economically segregated. Having more connections to higher-income groups is also linked to wider benefits, including higher reported levels of happiness and trust and lower feelings of loneliness and social isolation. </w:t>
      </w:r>
    </w:p>
    <w:p w:rsidR="000365A0" w:rsidRPr="00B743D4">
      <w:pPr>
        <w:rPr>
          <w:rFonts w:ascii="Calibri" w:eastAsia="Inclusive Sans" w:hAnsi="Calibri" w:cs="Calibri"/>
        </w:rPr>
      </w:pPr>
    </w:p>
    <w:p w:rsidR="000365A0" w:rsidRPr="00B743D4">
      <w:pPr>
        <w:rPr>
          <w:rFonts w:ascii="Calibri" w:eastAsia="Inclusive Sans" w:hAnsi="Calibri" w:cs="Calibri"/>
          <w:highlight w:val="white"/>
        </w:rPr>
      </w:pPr>
      <w:r w:rsidRPr="00B743D4">
        <w:rPr>
          <w:rFonts w:ascii="Calibri" w:eastAsia="Inclusive Sans" w:hAnsi="Calibri" w:cs="Calibri"/>
          <w:b/>
          <w:bCs/>
          <w:u w:val="single"/>
        </w:rPr>
        <w:t>Childhood Origins of Social Mobility</w:t>
      </w:r>
      <w:r w:rsidRPr="00B743D4">
        <w:rPr>
          <w:rFonts w:ascii="Calibri" w:eastAsia="Inclusive Sans" w:hAnsi="Calibri" w:cs="Calibri"/>
          <w:b/>
          <w:bCs/>
        </w:rPr>
        <w:t xml:space="preserve"> </w:t>
      </w:r>
      <w:r w:rsidRPr="00B743D4">
        <w:rPr>
          <w:rFonts w:ascii="Calibri" w:eastAsia="Inclusive Sans" w:hAnsi="Calibri" w:cs="Calibri"/>
          <w:b/>
          <w:bCs/>
        </w:rPr>
        <w:br/>
      </w:r>
      <w:r w:rsidRPr="00B743D4">
        <w:rPr>
          <w:rFonts w:ascii="Calibri" w:eastAsia="Inclusive Sans" w:hAnsi="Calibri" w:cs="Calibri"/>
          <w:b/>
          <w:bCs/>
        </w:rPr>
        <w:br/>
      </w:r>
      <w:r w:rsidRPr="00B743D4">
        <w:rPr>
          <w:rFonts w:ascii="Calibri" w:eastAsia="Inclusive Sans" w:hAnsi="Calibri" w:cs="Calibri"/>
        </w:rPr>
        <w:t>Our ‘</w:t>
      </w:r>
      <w:r>
        <w:fldChar w:fldCharType="begin"/>
      </w:r>
      <w:r>
        <w:instrText xml:space="preserve"> HYPERLINK "https://socialmobility.independent-commission.uk/social-mobility-commission-launches-childhood-origins-of-social-mobility-report/" </w:instrText>
      </w:r>
      <w:r>
        <w:fldChar w:fldCharType="separate"/>
      </w:r>
      <w:r w:rsidRPr="00B743D4">
        <w:rPr>
          <w:rFonts w:ascii="Calibri" w:eastAsia="Inclusive Sans" w:hAnsi="Calibri" w:cs="Calibri"/>
          <w:color w:val="1155CC"/>
          <w:u w:val="single"/>
        </w:rPr>
        <w:t>Childhood Origins of Social Mobility</w:t>
      </w:r>
      <w:r>
        <w:fldChar w:fldCharType="end"/>
      </w:r>
      <w:r w:rsidRPr="00B743D4">
        <w:rPr>
          <w:rFonts w:ascii="Calibri" w:eastAsia="Inclusive Sans" w:hAnsi="Calibri" w:cs="Calibri"/>
        </w:rPr>
        <w:t>’</w:t>
      </w:r>
      <w:r>
        <w:rPr>
          <w:rFonts w:ascii="Calibri" w:eastAsia="Inclusive Sans" w:hAnsi="Calibri" w:cs="Calibri"/>
          <w:vertAlign w:val="superscript"/>
        </w:rPr>
        <w:footnoteReference w:id="13"/>
      </w:r>
      <w:r w:rsidRPr="00B743D4">
        <w:rPr>
          <w:rFonts w:ascii="Calibri" w:eastAsia="Inclusive Sans" w:hAnsi="Calibri" w:cs="Calibri"/>
        </w:rPr>
        <w:t xml:space="preserve"> report, first published in 2016, and updated in 2024, </w:t>
      </w:r>
      <w:r w:rsidRPr="00B743D4">
        <w:rPr>
          <w:rFonts w:ascii="Calibri" w:eastAsia="Inclusive Sans" w:hAnsi="Calibri" w:cs="Calibri"/>
          <w:highlight w:val="white"/>
        </w:rPr>
        <w:t>explores the factors affecting young people’s life chances across socio-economic groups. It investigates and provides comprehensive analysis of the aspects of children's lives that help or hinder social mobility such as their home and educational environments, the role of parents, tuition, home-learning, and wellbeing.</w:t>
      </w:r>
      <w:r w:rsidRPr="00B743D4">
        <w:rPr>
          <w:rFonts w:ascii="Calibri" w:eastAsia="Inclusive Sans" w:hAnsi="Calibri" w:cs="Calibri"/>
          <w:highlight w:val="white"/>
        </w:rPr>
        <w:br/>
      </w:r>
      <w:r w:rsidRPr="00B743D4">
        <w:rPr>
          <w:rFonts w:ascii="Calibri" w:eastAsia="Inclusive Sans" w:hAnsi="Calibri" w:cs="Calibri"/>
          <w:highlight w:val="white"/>
        </w:rPr>
        <w:br/>
      </w:r>
      <w:r w:rsidRPr="00B743D4">
        <w:rPr>
          <w:rFonts w:ascii="Calibri" w:eastAsia="Inclusive Sans" w:hAnsi="Calibri" w:cs="Calibri"/>
          <w:highlight w:val="white"/>
        </w:rPr>
        <w:t>Much of the report challenges traditionally held assumptions - offering a more nuanced understanding than those of wealthy backgrounds doing well, and those of less wealthy backgrounds not - such as:</w:t>
      </w:r>
    </w:p>
    <w:p w:rsidR="000365A0" w:rsidRPr="00B743D4">
      <w:pPr>
        <w:rPr>
          <w:rFonts w:ascii="Calibri" w:eastAsia="Inclusive Sans" w:hAnsi="Calibri" w:cs="Calibri"/>
          <w:highlight w:val="white"/>
        </w:rPr>
      </w:pPr>
    </w:p>
    <w:p w:rsidR="000365A0" w:rsidRPr="00B743D4">
      <w:pPr>
        <w:numPr>
          <w:ilvl w:val="0"/>
          <w:numId w:val="1"/>
        </w:numPr>
        <w:rPr>
          <w:rFonts w:ascii="Calibri" w:eastAsia="Inclusive Sans" w:hAnsi="Calibri" w:cs="Calibri"/>
          <w:highlight w:val="white"/>
        </w:rPr>
      </w:pPr>
      <w:r w:rsidRPr="00B743D4">
        <w:rPr>
          <w:rFonts w:ascii="Calibri" w:eastAsia="Inclusive Sans" w:hAnsi="Calibri" w:cs="Calibri"/>
          <w:highlight w:val="white"/>
        </w:rPr>
        <w:t>No differences across socio-economic backgrounds in rates of truancy and exclusion from school.</w:t>
      </w:r>
      <w:r w:rsidRPr="00B743D4">
        <w:rPr>
          <w:rFonts w:ascii="Calibri" w:eastAsia="Inclusive Sans" w:hAnsi="Calibri" w:cs="Calibri"/>
          <w:highlight w:val="white"/>
        </w:rPr>
        <w:br/>
      </w:r>
    </w:p>
    <w:p w:rsidR="000365A0" w:rsidRPr="00B743D4">
      <w:pPr>
        <w:numPr>
          <w:ilvl w:val="0"/>
          <w:numId w:val="1"/>
        </w:numPr>
        <w:rPr>
          <w:rFonts w:ascii="Calibri" w:eastAsia="Inclusive Sans" w:hAnsi="Calibri" w:cs="Calibri"/>
          <w:highlight w:val="white"/>
        </w:rPr>
      </w:pPr>
      <w:r w:rsidRPr="00B743D4">
        <w:rPr>
          <w:rFonts w:ascii="Calibri" w:eastAsia="Inclusive Sans" w:hAnsi="Calibri" w:cs="Calibri"/>
          <w:highlight w:val="white"/>
        </w:rPr>
        <w:t>26% of lower-working-class parents help their children with writing every day compared to 21% of parents in the higher-professional class.</w:t>
      </w:r>
      <w:r w:rsidRPr="00B743D4">
        <w:rPr>
          <w:rFonts w:ascii="Calibri" w:eastAsia="Inclusive Sans" w:hAnsi="Calibri" w:cs="Calibri"/>
          <w:highlight w:val="white"/>
        </w:rPr>
        <w:br/>
      </w:r>
    </w:p>
    <w:p w:rsidR="000365A0" w:rsidRPr="00B743D4">
      <w:pPr>
        <w:numPr>
          <w:ilvl w:val="0"/>
          <w:numId w:val="1"/>
        </w:numPr>
        <w:rPr>
          <w:rFonts w:ascii="Calibri" w:eastAsia="Inclusive Sans" w:hAnsi="Calibri" w:cs="Calibri"/>
          <w:highlight w:val="white"/>
        </w:rPr>
      </w:pPr>
      <w:r w:rsidRPr="00B743D4">
        <w:rPr>
          <w:rFonts w:ascii="Calibri" w:eastAsia="Inclusive Sans" w:hAnsi="Calibri" w:cs="Calibri"/>
          <w:highlight w:val="white"/>
        </w:rPr>
        <w:t xml:space="preserve">24% of lower </w:t>
      </w:r>
      <w:r w:rsidRPr="00B743D4">
        <w:rPr>
          <w:rFonts w:ascii="Calibri" w:eastAsia="Inclusive Sans" w:hAnsi="Calibri" w:cs="Calibri"/>
          <w:highlight w:val="white"/>
        </w:rPr>
        <w:t>w</w:t>
      </w:r>
      <w:r w:rsidRPr="00B743D4">
        <w:rPr>
          <w:rFonts w:ascii="Calibri" w:eastAsia="Inclusive Sans" w:hAnsi="Calibri" w:cs="Calibri"/>
        </w:rPr>
        <w:t>orking class</w:t>
      </w:r>
      <w:r w:rsidRPr="00B743D4">
        <w:rPr>
          <w:rFonts w:ascii="Calibri" w:eastAsia="Inclusive Sans" w:hAnsi="Calibri" w:cs="Calibri"/>
        </w:rPr>
        <w:t xml:space="preserve"> parents help their children with maths every day, compared to 21% of higher professional parents.</w:t>
      </w:r>
    </w:p>
    <w:p w:rsidR="000365A0" w:rsidRPr="00B743D4">
      <w:pPr>
        <w:ind w:left="720"/>
        <w:rPr>
          <w:rFonts w:ascii="Calibri" w:eastAsia="Inclusive Sans" w:hAnsi="Calibri" w:cs="Calibri"/>
        </w:rPr>
      </w:pPr>
    </w:p>
    <w:p w:rsidR="000365A0" w:rsidRPr="00B743D4">
      <w:pPr>
        <w:numPr>
          <w:ilvl w:val="0"/>
          <w:numId w:val="1"/>
        </w:numPr>
        <w:rPr>
          <w:rFonts w:ascii="Calibri" w:eastAsia="Inclusive Sans" w:hAnsi="Calibri" w:cs="Calibri"/>
          <w:highlight w:val="white"/>
        </w:rPr>
      </w:pPr>
      <w:r w:rsidRPr="00B743D4">
        <w:rPr>
          <w:rFonts w:ascii="Calibri" w:eastAsia="Inclusive Sans" w:hAnsi="Calibri" w:cs="Calibri"/>
        </w:rPr>
        <w:t>Lower-working-class parents are three times more likely to report issues relating to hyperactivity and inattention among their children, at ages 11 and 17, compared to higher professional parents (3.3 times more likely at age 11 and 3.1 times at age 17).</w:t>
      </w:r>
    </w:p>
    <w:p w:rsidR="000365A0" w:rsidRPr="00B743D4">
      <w:pPr>
        <w:ind w:left="720"/>
        <w:rPr>
          <w:rFonts w:ascii="Calibri" w:eastAsia="Inclusive Sans" w:hAnsi="Calibri" w:cs="Calibri"/>
        </w:rPr>
      </w:pPr>
    </w:p>
    <w:p w:rsidR="000365A0" w:rsidRPr="00B743D4">
      <w:pPr>
        <w:numPr>
          <w:ilvl w:val="0"/>
          <w:numId w:val="1"/>
        </w:numPr>
        <w:rPr>
          <w:rFonts w:ascii="Calibri" w:eastAsia="Inclusive Sans" w:hAnsi="Calibri" w:cs="Calibri"/>
          <w:highlight w:val="white"/>
        </w:rPr>
      </w:pPr>
      <w:r w:rsidRPr="00B743D4">
        <w:rPr>
          <w:rFonts w:ascii="Calibri" w:eastAsia="Inclusive Sans" w:hAnsi="Calibri" w:cs="Calibri"/>
        </w:rPr>
        <w:t xml:space="preserve">However, these differences by socio-economic status are almost non-existent when relying on young people’s own self-reported issues (i.e. when young people aged 17 were asked themselves about their own behaviour and wellbeing instead of their parents reporting on it). </w:t>
      </w:r>
      <w:r w:rsidRPr="00B743D4">
        <w:rPr>
          <w:rFonts w:ascii="Calibri" w:eastAsia="Inclusive Sans" w:hAnsi="Calibri" w:cs="Calibri"/>
          <w:shd w:val="clear" w:color="auto" w:fill="FFF2CC"/>
        </w:rPr>
        <w:br/>
      </w:r>
    </w:p>
    <w:p w:rsidR="000365A0" w:rsidRPr="00B743D4">
      <w:pPr>
        <w:keepNext/>
        <w:widowControl w:val="0"/>
        <w:spacing w:line="240" w:lineRule="auto"/>
        <w:rPr>
          <w:rFonts w:ascii="Calibri" w:eastAsia="Play" w:hAnsi="Calibri" w:cs="Calibri"/>
          <w:b/>
          <w:bCs/>
          <w:color w:val="153932"/>
          <w:u w:val="single"/>
        </w:rPr>
      </w:pPr>
    </w:p>
    <w:p w:rsidR="000365A0" w:rsidRPr="00B743D4">
      <w:pPr>
        <w:keepNext/>
        <w:widowControl w:val="0"/>
        <w:spacing w:line="240" w:lineRule="auto"/>
        <w:rPr>
          <w:rFonts w:ascii="Calibri" w:eastAsia="Inclusive Sans" w:hAnsi="Calibri" w:cs="Calibri"/>
          <w:u w:val="single"/>
        </w:rPr>
      </w:pPr>
      <w:r w:rsidRPr="00B743D4">
        <w:rPr>
          <w:rFonts w:ascii="Calibri" w:eastAsia="Play" w:hAnsi="Calibri" w:cs="Calibri"/>
          <w:b/>
          <w:bCs/>
          <w:color w:val="153932"/>
          <w:u w:val="single"/>
        </w:rPr>
        <w:t>Role of geography: SMC Research &amp; Findings</w:t>
      </w:r>
    </w:p>
    <w:p w:rsidR="000365A0" w:rsidRPr="00B743D4">
      <w:pPr>
        <w:keepNext/>
        <w:widowControl w:val="0"/>
        <w:spacing w:line="240" w:lineRule="auto"/>
        <w:rPr>
          <w:rFonts w:ascii="Calibri" w:eastAsia="Inclusive Sans" w:hAnsi="Calibri" w:cs="Calibri"/>
        </w:rPr>
      </w:pPr>
    </w:p>
    <w:p w:rsidR="000365A0" w:rsidRPr="00B743D4">
      <w:pPr>
        <w:keepNext/>
        <w:spacing w:line="240" w:lineRule="auto"/>
        <w:rPr>
          <w:rFonts w:ascii="Calibri" w:eastAsia="Inclusive Sans" w:hAnsi="Calibri" w:cs="Calibri"/>
        </w:rPr>
      </w:pPr>
      <w:r w:rsidRPr="00B743D4">
        <w:rPr>
          <w:rFonts w:ascii="Calibri" w:eastAsia="Inclusive Sans" w:hAnsi="Calibri" w:cs="Calibri"/>
          <w:highlight w:val="white"/>
        </w:rPr>
        <w:t>Over recent years, the SMC has brought increasing focus on the role of geography in determining life-cha</w:t>
      </w:r>
      <w:r w:rsidRPr="00B743D4">
        <w:rPr>
          <w:rFonts w:ascii="Calibri" w:eastAsia="Inclusive Sans" w:hAnsi="Calibri" w:cs="Calibri"/>
        </w:rPr>
        <w:t xml:space="preserve">nces, socio-economic outcomes and opportunities for social mobility, showing that where you live is one of the most significant determining factors for these at both an individual and community level. </w:t>
      </w:r>
      <w:r w:rsidRPr="00B743D4">
        <w:rPr>
          <w:rFonts w:ascii="Calibri" w:eastAsia="Inclusive Sans" w:hAnsi="Calibri" w:cs="Calibri"/>
        </w:rPr>
        <w:br/>
      </w:r>
      <w:r w:rsidRPr="00B743D4">
        <w:rPr>
          <w:rFonts w:ascii="Calibri" w:eastAsia="Inclusive Sans" w:hAnsi="Calibri" w:cs="Calibri"/>
        </w:rPr>
        <w:br/>
      </w:r>
      <w:r w:rsidRPr="00B743D4">
        <w:rPr>
          <w:rFonts w:ascii="Calibri" w:eastAsia="Inclusive Sans" w:hAnsi="Calibri" w:cs="Calibri"/>
        </w:rPr>
        <w:t xml:space="preserve">In analysis going back to 2000, we find that entrenched disadvantage (regions that score as unfavourable on our Social Mobility Index, showing poor outcomes in education and employment, </w:t>
      </w:r>
      <w:r w:rsidRPr="00B743D4">
        <w:rPr>
          <w:rFonts w:ascii="Calibri" w:eastAsia="Inclusive Sans" w:hAnsi="Calibri" w:cs="Calibri"/>
        </w:rPr>
        <w:t xml:space="preserve">and have done consistently over this period) and ‘decline into disadvantage’ are particularly evident in former mining and industrial areas, and in coastal and rural communities across the UK. </w:t>
      </w:r>
    </w:p>
    <w:p w:rsidR="000365A0" w:rsidRPr="00B743D4">
      <w:pPr>
        <w:keepNext/>
        <w:spacing w:line="240" w:lineRule="auto"/>
        <w:rPr>
          <w:rFonts w:ascii="Calibri" w:eastAsia="Inclusive Sans" w:hAnsi="Calibri" w:cs="Calibri"/>
        </w:rPr>
      </w:pPr>
      <w:r w:rsidRPr="00B743D4">
        <w:rPr>
          <w:rFonts w:ascii="Calibri" w:eastAsia="Inclusive Sans" w:hAnsi="Calibri" w:cs="Calibri"/>
        </w:rPr>
        <w:br/>
      </w:r>
      <w:r w:rsidRPr="00B743D4">
        <w:rPr>
          <w:rFonts w:ascii="Calibri" w:eastAsia="Inclusive Sans" w:hAnsi="Calibri" w:cs="Calibri"/>
        </w:rPr>
        <w:t xml:space="preserve">Advantage is most evident in London and the surrounding ‘commuter belt’. London boroughs dominate among areas of persisting advantage in our composite indices: Conditions of Childhood and Innovation and Growth. </w:t>
      </w:r>
    </w:p>
    <w:p w:rsidR="000365A0" w:rsidRPr="00B743D4">
      <w:pPr>
        <w:keepNext/>
        <w:spacing w:line="240" w:lineRule="auto"/>
        <w:rPr>
          <w:rFonts w:ascii="Calibri" w:eastAsia="Inclusive Sans" w:hAnsi="Calibri" w:cs="Calibri"/>
        </w:rPr>
      </w:pPr>
    </w:p>
    <w:p w:rsidR="000365A0" w:rsidRPr="00B743D4">
      <w:pPr>
        <w:keepNext/>
        <w:spacing w:line="240" w:lineRule="auto"/>
        <w:rPr>
          <w:rFonts w:ascii="Calibri" w:eastAsia="Inclusive Sans" w:hAnsi="Calibri" w:cs="Calibri"/>
          <w:highlight w:val="white"/>
        </w:rPr>
      </w:pPr>
      <w:r w:rsidRPr="00B743D4">
        <w:rPr>
          <w:rFonts w:ascii="Calibri" w:eastAsia="Inclusive Sans" w:hAnsi="Calibri" w:cs="Calibri"/>
          <w:highlight w:val="white"/>
        </w:rPr>
        <w:t xml:space="preserve">Disadvantaged pupils in London consistently achieve the highest educational standards across ages 5, 11, and 16. Meanwhile, disadvantaged children in areas such as the </w:t>
      </w:r>
      <w:r w:rsidRPr="00B743D4">
        <w:rPr>
          <w:rFonts w:ascii="Calibri" w:eastAsia="Inclusive Sans" w:hAnsi="Calibri" w:cs="Calibri"/>
          <w:highlight w:val="white"/>
        </w:rPr>
        <w:t>North West</w:t>
      </w:r>
      <w:r w:rsidRPr="00B743D4">
        <w:rPr>
          <w:rFonts w:ascii="Calibri" w:eastAsia="Inclusive Sans" w:hAnsi="Calibri" w:cs="Calibri"/>
          <w:highlight w:val="white"/>
        </w:rPr>
        <w:t xml:space="preserve">, Yorkshire and the Humber, Cumbria, and the </w:t>
      </w:r>
      <w:r w:rsidRPr="00B743D4">
        <w:rPr>
          <w:rFonts w:ascii="Calibri" w:eastAsia="Inclusive Sans" w:hAnsi="Calibri" w:cs="Calibri"/>
          <w:highlight w:val="white"/>
        </w:rPr>
        <w:t>South West</w:t>
      </w:r>
      <w:r w:rsidRPr="00B743D4">
        <w:rPr>
          <w:rFonts w:ascii="Calibri" w:eastAsia="Inclusive Sans" w:hAnsi="Calibri" w:cs="Calibri"/>
          <w:highlight w:val="white"/>
        </w:rPr>
        <w:t xml:space="preserve"> are often among the least likely to meet these expected educational standards.</w:t>
      </w:r>
    </w:p>
    <w:p w:rsidR="000365A0" w:rsidRPr="00B743D4">
      <w:pPr>
        <w:keepNext/>
        <w:spacing w:line="240" w:lineRule="auto"/>
        <w:rPr>
          <w:rFonts w:ascii="Calibri" w:eastAsia="Inclusive Sans" w:hAnsi="Calibri" w:cs="Calibri"/>
        </w:rPr>
      </w:pPr>
      <w:r w:rsidRPr="00B743D4">
        <w:rPr>
          <w:rFonts w:ascii="Calibri" w:eastAsia="Inclusive Sans" w:hAnsi="Calibri" w:cs="Calibri"/>
        </w:rPr>
        <w:br/>
      </w:r>
      <w:r w:rsidRPr="00B743D4">
        <w:rPr>
          <w:rFonts w:ascii="Calibri" w:eastAsia="Inclusive Sans" w:hAnsi="Calibri" w:cs="Calibri"/>
        </w:rPr>
        <w:t xml:space="preserve">Areas with some of the lowest scores on the Conditions of Childhood Index consistently manifest some of the highest current NEET rates for </w:t>
      </w:r>
      <w:r w:rsidRPr="00B743D4">
        <w:rPr>
          <w:rFonts w:ascii="Calibri" w:eastAsia="Inclusive Sans" w:hAnsi="Calibri" w:cs="Calibri"/>
        </w:rPr>
        <w:t>16-17 year olds</w:t>
      </w:r>
      <w:r w:rsidRPr="00B743D4">
        <w:rPr>
          <w:rFonts w:ascii="Calibri" w:eastAsia="Inclusive Sans" w:hAnsi="Calibri" w:cs="Calibri"/>
        </w:rPr>
        <w:t xml:space="preserve">. For example, Derby currently reports the highest rate of NEETs in this age group at 7.6%, while Stockton-on-Tees, identified as an area of entrenched disadvantage, has the third highest at 7.2%. </w:t>
      </w:r>
      <w:r w:rsidRPr="00B743D4">
        <w:rPr>
          <w:rFonts w:ascii="Calibri" w:eastAsia="Inclusive Sans" w:hAnsi="Calibri" w:cs="Calibri"/>
        </w:rPr>
        <w:br/>
      </w:r>
    </w:p>
    <w:p w:rsidR="000365A0" w:rsidRPr="00B743D4">
      <w:pPr>
        <w:keepNext/>
        <w:spacing w:line="240" w:lineRule="auto"/>
        <w:rPr>
          <w:rFonts w:ascii="Calibri" w:eastAsia="Inclusive Sans" w:hAnsi="Calibri" w:cs="Calibri"/>
        </w:rPr>
      </w:pPr>
      <w:r w:rsidRPr="00B743D4">
        <w:rPr>
          <w:rFonts w:ascii="Calibri" w:eastAsia="Play" w:hAnsi="Calibri" w:cs="Calibri"/>
          <w:b/>
          <w:bCs/>
          <w:color w:val="153932"/>
          <w:u w:val="single"/>
        </w:rPr>
        <w:t>NEETs and Welfare</w:t>
      </w:r>
    </w:p>
    <w:p w:rsidR="000365A0" w:rsidRPr="00B743D4">
      <w:pPr>
        <w:rPr>
          <w:rFonts w:ascii="Calibri" w:hAnsi="Calibri" w:cs="Calibri"/>
        </w:rPr>
      </w:pPr>
      <w:r w:rsidRPr="00B743D4">
        <w:rPr>
          <w:rFonts w:ascii="Calibri" w:eastAsia="Inclusive Sans" w:hAnsi="Calibri" w:cs="Calibri"/>
        </w:rPr>
        <w:br/>
      </w:r>
      <w:r w:rsidRPr="00B743D4">
        <w:rPr>
          <w:rFonts w:ascii="Calibri" w:eastAsia="Inclusive Sans" w:hAnsi="Calibri" w:cs="Calibri"/>
        </w:rPr>
        <w:t>The SMC has commissioned research to explore and understand the interface between household composition and characteristics and the circumstances of place, in relation to socio-economic outcomes and opportunities for social mobility</w:t>
      </w:r>
      <w:r w:rsidRPr="00B743D4">
        <w:rPr>
          <w:rFonts w:ascii="Calibri" w:hAnsi="Calibri" w:cs="Calibri"/>
        </w:rPr>
        <w:t>.</w:t>
      </w:r>
    </w:p>
    <w:p w:rsidR="000365A0" w:rsidRPr="00B743D4">
      <w:pPr>
        <w:rPr>
          <w:rFonts w:ascii="Calibri" w:hAnsi="Calibri" w:cs="Calibri"/>
        </w:rPr>
      </w:pPr>
    </w:p>
    <w:p w:rsidR="000365A0" w:rsidRPr="00B743D4">
      <w:pPr>
        <w:rPr>
          <w:rFonts w:ascii="Calibri" w:eastAsia="Inclusive Sans" w:hAnsi="Calibri" w:cs="Calibri"/>
        </w:rPr>
      </w:pPr>
      <w:r w:rsidRPr="00B743D4">
        <w:rPr>
          <w:rFonts w:ascii="Calibri" w:eastAsia="Inclusive Sans" w:hAnsi="Calibri" w:cs="Calibri"/>
        </w:rPr>
        <w:t>To support Government’s ambition to reduce levels of young people NEET (those not in education, employment or training), the SMC is also undertaking new qualitative research focused on the lived experiences of NEET young people in Blackpool. This will provide</w:t>
      </w:r>
      <w:r w:rsidRPr="00B743D4">
        <w:rPr>
          <w:rFonts w:ascii="Calibri" w:eastAsia="Inclusive Sans" w:hAnsi="Calibri" w:cs="Calibri"/>
        </w:rPr>
        <w:t xml:space="preserve"> a deeper understanding of how combined factors such as poor health and lack of local labour market opportunities affect young people in this position. A fuller and more detailed explanation of our existing analysis and recommended approaches to supporting young people NEET is outlined in </w:t>
      </w:r>
      <w:r>
        <w:fldChar w:fldCharType="begin"/>
      </w:r>
      <w:r>
        <w:instrText xml:space="preserve"> HYPERLINK "https://committees.parliament.uk/writtenevidence/162650/pdf/" </w:instrText>
      </w:r>
      <w:r>
        <w:fldChar w:fldCharType="separate"/>
      </w:r>
      <w:r w:rsidRPr="00B743D4">
        <w:rPr>
          <w:rFonts w:ascii="Calibri" w:eastAsia="Inclusive Sans" w:hAnsi="Calibri" w:cs="Calibri"/>
          <w:color w:val="1155CC"/>
          <w:u w:val="single"/>
        </w:rPr>
        <w:t>our recent submission</w:t>
      </w:r>
      <w:r>
        <w:fldChar w:fldCharType="end"/>
      </w:r>
      <w:r>
        <w:rPr>
          <w:rFonts w:ascii="Calibri" w:eastAsia="Inclusive Sans" w:hAnsi="Calibri" w:cs="Calibri"/>
          <w:vertAlign w:val="superscript"/>
        </w:rPr>
        <w:footnoteReference w:id="14"/>
      </w:r>
      <w:r w:rsidRPr="00B743D4">
        <w:rPr>
          <w:rFonts w:ascii="Calibri" w:eastAsia="Inclusive Sans" w:hAnsi="Calibri" w:cs="Calibri"/>
        </w:rPr>
        <w:t xml:space="preserve"> to the Work and Pensions Select Committee’s inquiry on Youth employment, education and training.</w:t>
      </w:r>
      <w:r w:rsidRPr="00B743D4">
        <w:rPr>
          <w:rFonts w:ascii="Calibri" w:eastAsia="Inclusive Sans" w:hAnsi="Calibri" w:cs="Calibri"/>
        </w:rPr>
        <w:br/>
      </w:r>
      <w:r w:rsidRPr="00B743D4">
        <w:rPr>
          <w:rFonts w:ascii="Calibri" w:eastAsia="Inclusive Sans" w:hAnsi="Calibri" w:cs="Calibri"/>
        </w:rPr>
        <w:br/>
      </w:r>
      <w:r w:rsidRPr="00B743D4">
        <w:rPr>
          <w:rFonts w:ascii="Calibri" w:eastAsia="Inclusive Sans" w:hAnsi="Calibri" w:cs="Calibri"/>
        </w:rPr>
        <w:t>Separately, we are undertaking research to explore long-term welfare dependency, including the prevalence, core demographics and structural factors associated with those in this position, in order to answer the question: ‘</w:t>
      </w:r>
      <w:r w:rsidRPr="00B743D4">
        <w:rPr>
          <w:rFonts w:ascii="Calibri" w:eastAsia="Inclusive Sans" w:hAnsi="Calibri" w:cs="Calibri"/>
          <w:i/>
          <w:iCs/>
        </w:rPr>
        <w:t>Who are the long-term welfare recipients and what prevents them from progressing socially and economically?</w:t>
      </w:r>
      <w:r w:rsidRPr="00B743D4">
        <w:rPr>
          <w:rFonts w:ascii="Calibri" w:eastAsia="Inclusive Sans" w:hAnsi="Calibri" w:cs="Calibri"/>
        </w:rPr>
        <w:t xml:space="preserve">’. </w:t>
      </w:r>
      <w:r w:rsidRPr="00B743D4">
        <w:rPr>
          <w:rFonts w:ascii="Calibri" w:eastAsia="Inclusive Sans" w:hAnsi="Calibri" w:cs="Calibri"/>
        </w:rPr>
        <w:t>We will be using a longitudinal analysis and qualitative systems-mapping research with policy makers and practitioners to explore the individual and systemic drivers for welfare dependency and inform our recommendations for addressing long term dependency.</w:t>
      </w:r>
      <w:r w:rsidRPr="00B743D4">
        <w:rPr>
          <w:rFonts w:ascii="Calibri" w:eastAsia="Inclusive Sans" w:hAnsi="Calibri" w:cs="Calibri"/>
        </w:rPr>
        <w:br/>
      </w:r>
      <w:r w:rsidRPr="00B743D4">
        <w:rPr>
          <w:rFonts w:ascii="Calibri" w:eastAsia="Inclusive Sans" w:hAnsi="Calibri" w:cs="Calibri"/>
        </w:rPr>
        <w:br/>
        <w:t>We will be very glad to share the findings of our research with the Committees, once it has been published.</w:t>
      </w:r>
      <w:r w:rsidRPr="00B743D4">
        <w:rPr>
          <w:rFonts w:ascii="Calibri" w:eastAsia="Inclusive Sans" w:hAnsi="Calibri" w:cs="Calibri"/>
        </w:rPr>
        <w:br/>
      </w:r>
    </w:p>
    <w:p w:rsidR="00B743D4" w:rsidRPr="00B743D4">
      <w:pPr>
        <w:rPr>
          <w:rFonts w:ascii="Calibri" w:eastAsia="Inclusive Sans" w:hAnsi="Calibri" w:cs="Calibri"/>
        </w:rPr>
      </w:pPr>
    </w:p>
    <w:p w:rsidR="00B743D4" w:rsidRPr="00B743D4">
      <w:pPr>
        <w:rPr>
          <w:rFonts w:ascii="Calibri" w:eastAsia="Inclusive Sans" w:hAnsi="Calibri" w:cs="Calibri"/>
          <w:i/>
          <w:iCs/>
        </w:rPr>
      </w:pPr>
      <w:r w:rsidRPr="00B743D4">
        <w:rPr>
          <w:rFonts w:ascii="Calibri" w:eastAsia="Inclusive Sans" w:hAnsi="Calibri" w:cs="Calibri"/>
          <w:i/>
          <w:iCs/>
        </w:rPr>
        <w:t>September 2026</w:t>
      </w:r>
    </w:p>
    <w:sectPr>
      <w:footerReference w:type="default" r:id="rId6"/>
      <w:pgSz w:w="11909" w:h="16834"/>
      <w:pgMar w:top="1440" w:right="1440" w:bottom="1440" w:left="1440"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93FEB1-B30E-47E1-9843-8C9AD67463BE}"/>
    <w:embedBold r:id="rId2" w:fontKey="{F30F9A68-B7CA-4125-9B5E-2BF0887A27FB}"/>
    <w:embedItalic r:id="rId3" w:fontKey="{66D28D40-EBBA-42E7-BB30-50E8CD35DE9E}"/>
  </w:font>
  <w:font w:name="Inclusive Sans SemiBold">
    <w:charset w:val="00"/>
    <w:family w:val="auto"/>
    <w:pitch w:val="default"/>
    <w:embedBold r:id="rId4" w:fontKey="{BD40B2CB-D347-472D-9312-B2178EEF1149}"/>
  </w:font>
  <w:font w:name="Inclusive Sans">
    <w:charset w:val="00"/>
    <w:family w:val="auto"/>
    <w:pitch w:val="default"/>
    <w:embedRegular r:id="rId5" w:fontKey="{6579AA5E-6A33-4AE1-97ED-793612EE54F9}"/>
    <w:embedBold r:id="rId6" w:fontKey="{A7A78CC6-8B64-4C23-A005-7213263181D1}"/>
    <w:embedItalic r:id="rId7" w:fontKey="{30B18985-982F-4883-9712-FB4144588F8F}"/>
  </w:font>
  <w:font w:name="Play">
    <w:charset w:val="00"/>
    <w:family w:val="auto"/>
    <w:pitch w:val="default"/>
    <w:embedRegular r:id="rId8" w:fontKey="{5D5C7C47-DA3A-4684-8D39-CB008C265F69}"/>
    <w:embedBold r:id="rId9" w:fontKey="{CF826266-23FE-4689-AF3D-A2101177206A}"/>
  </w:font>
  <w:font w:name="Cambria">
    <w:panose1 w:val="02040503050406030204"/>
    <w:charset w:val="00"/>
    <w:family w:val="roman"/>
    <w:pitch w:val="variable"/>
    <w:sig w:usb0="E00006FF" w:usb1="420024FF" w:usb2="02000000" w:usb3="00000000" w:csb0="0000019F" w:csb1="00000000"/>
    <w:embedRegular r:id="rId10" w:fontKey="{19F7FC26-63A6-43BA-8E14-B78EBF6808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65A0">
    <w:pPr>
      <w:jc w:val="right"/>
    </w:pPr>
    <w:r>
      <w:fldChar w:fldCharType="begin"/>
    </w:r>
    <w:r>
      <w:instrText>PAGE</w:instrText>
    </w:r>
    <w:r>
      <w:fldChar w:fldCharType="separate"/>
    </w:r>
    <w:r w:rsidR="00B743D4">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54ED">
      <w:pPr>
        <w:spacing w:line="240" w:lineRule="auto"/>
      </w:pPr>
      <w:r>
        <w:separator/>
      </w:r>
    </w:p>
  </w:footnote>
  <w:footnote w:type="continuationSeparator" w:id="1">
    <w:p w:rsidR="00A754ED">
      <w:pPr>
        <w:spacing w:line="240" w:lineRule="auto"/>
      </w:pPr>
      <w:r>
        <w:continuationSeparator/>
      </w:r>
    </w:p>
  </w:footnote>
  <w:footnote w:id="2">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"https://socialmobility.independent-commission.uk/publication/innovation-investment-and-inclusion-a-framework-for-regional-renewal/" </w:instrText>
      </w:r>
      <w:r>
        <w:fldChar w:fldCharType="separate"/>
      </w:r>
      <w:r>
        <w:rPr>
          <w:i/>
          <w:iCs/>
          <w:color w:val="1155CC"/>
          <w:sz w:val="20"/>
          <w:szCs w:val="20"/>
          <w:u w:val="single"/>
        </w:rPr>
        <w:t>Innovation, investment and inclusion: a framework for regional renewal</w:t>
      </w:r>
      <w:r>
        <w:fldChar w:fldCharType="end"/>
      </w:r>
      <w:r>
        <w:rPr>
          <w:sz w:val="20"/>
          <w:szCs w:val="20"/>
        </w:rPr>
        <w:t>’(</w:t>
      </w:r>
      <w:r>
        <w:rPr>
          <w:sz w:val="20"/>
          <w:szCs w:val="20"/>
        </w:rPr>
        <w:t>2025)</w:t>
      </w:r>
      <w:r>
        <w:rPr>
          <w:sz w:val="20"/>
          <w:szCs w:val="20"/>
        </w:rPr>
        <w:br/>
      </w:r>
    </w:p>
  </w:footnote>
  <w:footnote w:id="3">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"https://socialmobility.independent-commission.uk/publication/regional-insights-creating-fairer-chances-across-the-regions/" </w:instrText>
      </w:r>
      <w:r>
        <w:fldChar w:fldCharType="separate"/>
      </w:r>
      <w:r>
        <w:rPr>
          <w:i/>
          <w:iCs/>
          <w:color w:val="1155CC"/>
          <w:sz w:val="20"/>
          <w:szCs w:val="20"/>
          <w:u w:val="single"/>
        </w:rPr>
        <w:t>Regional Insights: Creating Fairer Chances across the regions</w:t>
      </w:r>
      <w:r>
        <w:fldChar w:fldCharType="end"/>
      </w:r>
      <w:r>
        <w:rPr>
          <w:i/>
          <w:iCs/>
          <w:sz w:val="20"/>
          <w:szCs w:val="20"/>
        </w:rPr>
        <w:t xml:space="preserve">’ </w:t>
      </w:r>
      <w:r>
        <w:rPr>
          <w:sz w:val="20"/>
          <w:szCs w:val="20"/>
        </w:rPr>
        <w:t xml:space="preserve"> (</w:t>
      </w:r>
      <w:r>
        <w:rPr>
          <w:sz w:val="20"/>
          <w:szCs w:val="20"/>
        </w:rPr>
        <w:t>2025)</w:t>
      </w:r>
    </w:p>
  </w:footnote>
  <w:footnote w:id="4">
    <w:p w:rsidR="000365A0">
      <w:pPr>
        <w:spacing w:line="240" w:lineRule="auto"/>
        <w:rPr>
          <w:sz w:val="20"/>
          <w:szCs w:val="20"/>
        </w:rPr>
      </w:pPr>
      <w:r>
        <w:rPr>
          <w:vertAlign w:val="superscript"/>
        </w:rPr>
        <w:footnoteRef/>
      </w:r>
      <w:r>
        <w:rPr>
          <w:sz w:val="20"/>
          <w:szCs w:val="20"/>
        </w:rPr>
        <w:t xml:space="preserve"> Social Mobility Commission, </w:t>
      </w:r>
      <w:r>
        <w:rPr>
          <w:i/>
          <w:iCs/>
          <w:sz w:val="20"/>
          <w:szCs w:val="20"/>
        </w:rPr>
        <w:t>State of the Nation</w:t>
      </w:r>
      <w:r>
        <w:rPr>
          <w:sz w:val="20"/>
          <w:szCs w:val="20"/>
        </w:rPr>
        <w:t xml:space="preserve"> (2025): </w:t>
      </w:r>
      <w:r>
        <w:fldChar w:fldCharType="begin"/>
      </w:r>
      <w:r>
        <w:instrText xml:space="preserve"> HYPERLINK "https://assets.publishing.service.gov.uk/media/69316dce4bedc0e762304080/11745_Social_Mobility_Commission_State_of_the_Nation_2025_V17_FINAL-19-04.pdf" </w:instrText>
      </w:r>
      <w:r>
        <w:fldChar w:fldCharType="separate"/>
      </w:r>
      <w:r>
        <w:rPr>
          <w:color w:val="1155CC"/>
          <w:sz w:val="20"/>
          <w:szCs w:val="20"/>
          <w:u w:val="single"/>
        </w:rPr>
        <w:t>https://assets.publishing.service.gov.uk/media/69316dce4bedc0e762304080/11745_Social_Mobility_Commission_State_of_the_Nation_2025_V17_FINAL-19-04.pdf</w:t>
      </w:r>
      <w:r>
        <w:fldChar w:fldCharType="end"/>
      </w:r>
    </w:p>
  </w:footnote>
  <w:footnote w:id="5">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"https://socialmobility.independent-commission.uk/wp-content/uploads/2026/04/15.04.26-Stepping-stone-or-stumbling-block.pdf" </w:instrText>
      </w:r>
      <w:r>
        <w:fldChar w:fldCharType="separate"/>
      </w:r>
      <w:r>
        <w:rPr>
          <w:color w:val="1155CC"/>
          <w:sz w:val="20"/>
          <w:szCs w:val="20"/>
          <w:u w:val="single"/>
        </w:rPr>
        <w:t>Stepping Stone or Stumbling Block. Rethinking level 2 English and maths pathways</w:t>
      </w:r>
      <w:r>
        <w:fldChar w:fldCharType="end"/>
      </w:r>
      <w:r>
        <w:rPr>
          <w:sz w:val="20"/>
          <w:szCs w:val="20"/>
        </w:rPr>
        <w:t>’ (2026)</w:t>
      </w:r>
    </w:p>
  </w:footnote>
  <w:footnote w:id="6">
    <w:p w:rsidR="000365A0">
      <w:pPr>
        <w:spacing w:line="240" w:lineRule="auto"/>
        <w:rPr>
          <w:sz w:val="20"/>
          <w:szCs w:val="20"/>
        </w:rPr>
      </w:pPr>
      <w:r>
        <w:rPr>
          <w:vertAlign w:val="superscript"/>
        </w:rPr>
        <w:footnoteRef/>
      </w:r>
      <w:r>
        <w:rPr>
          <w:sz w:val="20"/>
          <w:szCs w:val="20"/>
        </w:rPr>
        <w:t xml:space="preserve"> </w:t>
      </w:r>
      <w:r>
        <w:rPr>
          <w:rFonts w:ascii="Play" w:eastAsia="Play" w:hAnsi="Play" w:cs="Play"/>
          <w:color w:val="1A1918"/>
          <w:sz w:val="20"/>
          <w:szCs w:val="20"/>
        </w:rPr>
        <w:t xml:space="preserve">The Institute for Fiscal </w:t>
      </w:r>
      <w:r>
        <w:rPr>
          <w:rFonts w:ascii="Play" w:eastAsia="Play" w:hAnsi="Play" w:cs="Play"/>
          <w:color w:val="1A1918"/>
          <w:sz w:val="20"/>
          <w:szCs w:val="20"/>
        </w:rPr>
        <w:t>Studies,‘</w:t>
      </w:r>
      <w:r>
        <w:fldChar w:fldCharType="begin"/>
      </w:r>
      <w:r>
        <w:instrText xml:space="preserve"> HYPERLINK "https://ifs.org.uk/publications/funding-finance-and-reform-analysis-post-16-education-and-skills-white-paper" </w:instrText>
      </w:r>
      <w:r>
        <w:fldChar w:fldCharType="separate"/>
      </w:r>
      <w:r>
        <w:rPr>
          <w:rFonts w:ascii="Play" w:eastAsia="Play" w:hAnsi="Play" w:cs="Play"/>
          <w:color w:val="1155CC"/>
          <w:sz w:val="20"/>
          <w:szCs w:val="20"/>
          <w:u w:val="single"/>
        </w:rPr>
        <w:t>Funding, finance and reform: an analysis of the post-16 education and skills white paper</w:t>
      </w:r>
      <w:r>
        <w:fldChar w:fldCharType="end"/>
      </w:r>
      <w:r>
        <w:rPr>
          <w:rFonts w:ascii="Play" w:eastAsia="Play" w:hAnsi="Play" w:cs="Play"/>
          <w:color w:val="1A1918"/>
          <w:sz w:val="20"/>
          <w:szCs w:val="20"/>
        </w:rPr>
        <w:t xml:space="preserve">’, 2025. Published on IFS.ORG.UK. </w:t>
      </w:r>
    </w:p>
  </w:footnote>
  <w:footnote w:id="7">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"https://socialmobility.independent-commission.uk/wp-content/uploads/2026/05/The-role-of-families-in-the-educational-outcomes-of-children-and-young-people.docx.pdf" </w:instrText>
      </w:r>
      <w:r>
        <w:fldChar w:fldCharType="separate"/>
      </w:r>
      <w:r>
        <w:rPr>
          <w:color w:val="1155CC"/>
          <w:sz w:val="20"/>
          <w:szCs w:val="20"/>
          <w:u w:val="single"/>
        </w:rPr>
        <w:t>The role of families in the educational outcomes of children and young people</w:t>
      </w:r>
      <w:r>
        <w:fldChar w:fldCharType="end"/>
      </w:r>
      <w:r>
        <w:rPr>
          <w:sz w:val="20"/>
          <w:szCs w:val="20"/>
        </w:rPr>
        <w:t>’ (2026)</w:t>
      </w:r>
    </w:p>
  </w:footnote>
  <w:footnote w:id="8">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"http://socialmobility.independent-commission.uk/wp-content/uploads/2026/01/Social-Mobility-Commission-State-of-the-Nation_2025.pdf" </w:instrText>
      </w:r>
      <w:r>
        <w:fldChar w:fldCharType="separate"/>
      </w:r>
      <w:r>
        <w:rPr>
          <w:color w:val="1155CC"/>
          <w:sz w:val="20"/>
          <w:szCs w:val="20"/>
          <w:u w:val="single"/>
        </w:rPr>
        <w:t>State of the Nation 2025 - The evolving story of social mobility in the UK</w:t>
      </w:r>
      <w:r>
        <w:fldChar w:fldCharType="end"/>
      </w:r>
      <w:r>
        <w:rPr>
          <w:sz w:val="20"/>
          <w:szCs w:val="20"/>
        </w:rPr>
        <w:t>’ (2025)</w:t>
      </w:r>
    </w:p>
  </w:footnote>
  <w:footnote w:id="9">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"https://socialmobility.independent-commission.uk/wp-content/uploads/2026/05/The-role-of-families-in-the-educational-outcomes-of-children-and-young-people.docx.pdf" </w:instrText>
      </w:r>
      <w:r>
        <w:fldChar w:fldCharType="separate"/>
      </w:r>
      <w:r>
        <w:rPr>
          <w:color w:val="1155CC"/>
          <w:sz w:val="20"/>
          <w:szCs w:val="20"/>
          <w:u w:val="single"/>
        </w:rPr>
        <w:t>The role of families in the educational outcomes of children and young people</w:t>
      </w:r>
      <w:r>
        <w:fldChar w:fldCharType="end"/>
      </w:r>
      <w:r>
        <w:rPr>
          <w:sz w:val="20"/>
          <w:szCs w:val="20"/>
        </w:rPr>
        <w:t>’ (2026)</w:t>
      </w:r>
    </w:p>
  </w:footnote>
  <w:footnote w:id="10">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"https://socialmobility.independent-commission.uk/wp-content/uploads/2026/05/The-role-of-families-in-the-educational-outcomes-of-children-and-young-people.docx.pdf" </w:instrText>
      </w:r>
      <w:r>
        <w:fldChar w:fldCharType="separate"/>
      </w:r>
      <w:r>
        <w:rPr>
          <w:color w:val="1155CC"/>
          <w:sz w:val="20"/>
          <w:szCs w:val="20"/>
          <w:u w:val="single"/>
        </w:rPr>
        <w:t>The role of families in the educational outcomes of children and young people</w:t>
      </w:r>
      <w:r>
        <w:fldChar w:fldCharType="end"/>
      </w:r>
      <w:r>
        <w:rPr>
          <w:sz w:val="20"/>
          <w:szCs w:val="20"/>
        </w:rPr>
        <w:t>’ (2026)</w:t>
      </w:r>
    </w:p>
  </w:footnote>
  <w:footnote w:id="11">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"https://assets.publishing.service.gov.uk/media/5d307b8de5274a14e9f6bc20/An_Unequal_Playing_Field_report.pdf" </w:instrText>
      </w:r>
      <w:r>
        <w:fldChar w:fldCharType="separate"/>
      </w:r>
      <w:r>
        <w:rPr>
          <w:color w:val="1155CC"/>
          <w:sz w:val="20"/>
          <w:szCs w:val="20"/>
          <w:u w:val="single"/>
        </w:rPr>
        <w:t>An Unequal Playing Field: Extra-Curricular Activities, Soft Skills and Social Mobility</w:t>
      </w:r>
      <w:r>
        <w:fldChar w:fldCharType="end"/>
      </w:r>
      <w:r>
        <w:rPr>
          <w:sz w:val="20"/>
          <w:szCs w:val="20"/>
        </w:rPr>
        <w:t>’ (2019)</w:t>
      </w:r>
    </w:p>
  </w:footnote>
  <w:footnote w:id="12">
    <w:p w:rsidR="000365A0">
      <w:pPr>
        <w:spacing w:line="240" w:lineRule="auto"/>
        <w:rPr>
          <w:sz w:val="20"/>
          <w:szCs w:val="20"/>
        </w:rPr>
      </w:pPr>
      <w:r>
        <w:rPr>
          <w:vertAlign w:val="superscript"/>
        </w:rPr>
        <w:footnoteRef/>
      </w:r>
      <w:r>
        <w:rPr>
          <w:sz w:val="20"/>
          <w:szCs w:val="20"/>
        </w:rPr>
        <w:t xml:space="preserve"> Social Mobility Commission. ‘</w:t>
      </w:r>
      <w:r>
        <w:fldChar w:fldCharType="begin"/>
      </w:r>
      <w:r>
        <w:instrText xml:space="preserve"> HYPERLINK "https://socialmobility.independent-commission.uk/wp-content/uploads/2026/05/The-role-of-families-in-the-educational-outcomes-of-children-and-young-people.docx.pdf" </w:instrText>
      </w:r>
      <w:r>
        <w:fldChar w:fldCharType="separate"/>
      </w:r>
      <w:r>
        <w:rPr>
          <w:color w:val="1155CC"/>
          <w:sz w:val="20"/>
          <w:szCs w:val="20"/>
          <w:u w:val="single"/>
        </w:rPr>
        <w:t>The role of families in the educational outcomes of children and young people</w:t>
      </w:r>
      <w:r>
        <w:fldChar w:fldCharType="end"/>
      </w:r>
      <w:r>
        <w:rPr>
          <w:sz w:val="20"/>
          <w:szCs w:val="20"/>
        </w:rPr>
        <w:t>’ (2026)</w:t>
      </w:r>
    </w:p>
  </w:footnote>
  <w:footnote w:id="13">
    <w:p w:rsidR="000365A0">
      <w:pPr>
        <w:spacing w:line="240" w:lineRule="auto"/>
        <w:rPr>
          <w:sz w:val="20"/>
          <w:szCs w:val="20"/>
        </w:rPr>
      </w:pPr>
      <w:r>
        <w:rPr>
          <w:vertAlign w:val="superscript"/>
        </w:rPr>
        <w:footnoteRef/>
      </w:r>
      <w:r>
        <w:rPr>
          <w:sz w:val="20"/>
          <w:szCs w:val="20"/>
        </w:rPr>
        <w:t xml:space="preserve"> Social Mobility Commission, ‘</w:t>
      </w:r>
      <w:r>
        <w:rPr>
          <w:i/>
          <w:iCs/>
          <w:sz w:val="20"/>
          <w:szCs w:val="20"/>
        </w:rPr>
        <w:t>Childhood Origins of Social Mobility: Revised and Updated</w:t>
      </w:r>
      <w:r>
        <w:rPr>
          <w:sz w:val="20"/>
          <w:szCs w:val="20"/>
        </w:rPr>
        <w:t xml:space="preserve">’ (2024), </w:t>
      </w:r>
      <w:r>
        <w:fldChar w:fldCharType="begin"/>
      </w:r>
      <w:r>
        <w:instrText xml:space="preserve"> HYPERLINK "https://socialmobility.independent-commission.uk/wp-content/uploads/2024/10/Childhood-Origins-of-Social-Mobility.pdf" </w:instrText>
      </w:r>
      <w:r>
        <w:fldChar w:fldCharType="separate"/>
      </w:r>
      <w:r>
        <w:rPr>
          <w:color w:val="1155CC"/>
          <w:sz w:val="20"/>
          <w:szCs w:val="20"/>
          <w:u w:val="single"/>
        </w:rPr>
        <w:t>https://socialmobility.independent-commission.uk/wp-content/uploads/2024/10/Childhood-Origins-of-Social-Mobility.pdf</w:t>
      </w:r>
      <w:r>
        <w:fldChar w:fldCharType="end"/>
      </w:r>
    </w:p>
    <w:p w:rsidR="000365A0">
      <w:pPr>
        <w:spacing w:line="240" w:lineRule="auto"/>
        <w:rPr>
          <w:sz w:val="20"/>
          <w:szCs w:val="20"/>
        </w:rPr>
      </w:pPr>
    </w:p>
    <w:p w:rsidR="000365A0">
      <w:pPr>
        <w:spacing w:line="240" w:lineRule="auto"/>
        <w:rPr>
          <w:sz w:val="20"/>
          <w:szCs w:val="20"/>
        </w:rPr>
      </w:pPr>
    </w:p>
  </w:footnote>
  <w:footnote w:id="14">
    <w:p w:rsidR="000365A0">
      <w:pPr>
        <w:spacing w:line="240" w:lineRule="auto"/>
        <w:rPr>
          <w:sz w:val="20"/>
          <w:szCs w:val="20"/>
        </w:rPr>
      </w:pPr>
      <w:r>
        <w:rPr>
          <w:vertAlign w:val="superscript"/>
        </w:rPr>
        <w:footnoteRef/>
      </w:r>
      <w:r>
        <w:rPr>
          <w:sz w:val="20"/>
          <w:szCs w:val="20"/>
        </w:rPr>
        <w:t xml:space="preserve"> Written evidence submitted by the Social Mobility Commission (YEET0152) to the Work and Pensions Commons Select Committee inquiry on ‘Youth employment, education and training’ (published by the Committee, 16th March 2026</w:t>
      </w:r>
      <w:r>
        <w:rPr>
          <w:sz w:val="20"/>
          <w:szCs w:val="20"/>
        </w:rPr>
        <w:t>) :</w:t>
      </w:r>
      <w:r>
        <w:rPr>
          <w:sz w:val="20"/>
          <w:szCs w:val="20"/>
        </w:rPr>
        <w:t xml:space="preserve"> </w:t>
      </w:r>
      <w:r>
        <w:fldChar w:fldCharType="begin"/>
      </w:r>
      <w:r>
        <w:instrText xml:space="preserve"> HYPERLINK "https://committees.parliament.uk/writtenevidence/162650/pdf/" </w:instrText>
      </w:r>
      <w:r>
        <w:fldChar w:fldCharType="separate"/>
      </w:r>
      <w:r>
        <w:rPr>
          <w:color w:val="1155CC"/>
          <w:sz w:val="20"/>
          <w:szCs w:val="20"/>
          <w:u w:val="single"/>
        </w:rPr>
        <w:t>https://committees.parliament.uk/writtenevidence/162650/pdf/</w:t>
      </w:r>
      <w:r>
        <w:fldChar w:fldCharType="end"/>
      </w:r>
    </w:p>
    <w:p w:rsidR="000365A0">
      <w:pPr>
        <w:spacing w:line="240" w:lineRule="auto"/>
        <w:rPr>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paragraph" w:styleId="Header">
    <w:name w:val="header"/>
    <w:basedOn w:val="Normal"/>
    <w:link w:val="HeaderChar"/>
    <w:uiPriority w:val="99"/>
    <w:unhideWhenUsed/>
    <w:rsid w:val="00B743D4"/>
    <w:pPr>
      <w:tabs>
        <w:tab w:val="center" w:pos="4513"/>
        <w:tab w:val="right" w:pos="9026"/>
      </w:tabs>
      <w:spacing w:line="240" w:lineRule="auto"/>
    </w:pPr>
  </w:style>
  <w:style w:type="character" w:customStyle="1" w:styleId="HeaderChar">
    <w:name w:val="Header Char"/>
    <w:basedOn w:val="DefaultParagraphFont"/>
    <w:link w:val="Header"/>
    <w:uiPriority w:val="99"/>
    <w:rsid w:val="00B743D4"/>
  </w:style>
  <w:style w:type="paragraph" w:styleId="Footer">
    <w:name w:val="footer"/>
    <w:basedOn w:val="Normal"/>
    <w:link w:val="FooterChar"/>
    <w:uiPriority w:val="99"/>
    <w:unhideWhenUsed/>
    <w:rsid w:val="00B743D4"/>
    <w:pPr>
      <w:tabs>
        <w:tab w:val="center" w:pos="4513"/>
        <w:tab w:val="right" w:pos="9026"/>
      </w:tabs>
      <w:spacing w:line="240" w:lineRule="auto"/>
    </w:pPr>
  </w:style>
  <w:style w:type="character" w:customStyle="1" w:styleId="FooterChar">
    <w:name w:val="Footer Char"/>
    <w:basedOn w:val="DefaultParagraphFont"/>
    <w:link w:val="Footer"/>
    <w:uiPriority w:val="99"/>
    <w:rsid w:val="00B74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ECA0132</dc:title>
  <cp:revision>0</cp:revision>
</cp:coreProperties>
</file>