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2E7F" w:rsidRPr="00F46367" w:rsidP="00F46367">
      <w:pPr>
        <w:spacing w:before="120" w:after="120" w:line="264" w:lineRule="auto"/>
        <w:jc w:val="center"/>
        <w:rPr>
          <w:rFonts w:ascii="Calibri" w:hAnsi="Calibri" w:cs="Calibri"/>
          <w:b/>
          <w:bCs/>
          <w:color w:val="000000" w:themeColor="text1"/>
          <w:sz w:val="22"/>
          <w:szCs w:val="22"/>
        </w:rPr>
      </w:pPr>
      <w:r w:rsidRPr="00F46367">
        <w:rPr>
          <w:rFonts w:ascii="Calibri" w:hAnsi="Calibri" w:cs="Calibri"/>
          <w:b/>
          <w:bCs/>
          <w:color w:val="000000" w:themeColor="text1"/>
          <w:sz w:val="22"/>
          <w:szCs w:val="22"/>
        </w:rPr>
        <w:t>Written evidence by</w:t>
      </w:r>
      <w:r w:rsidRPr="00F46367" w:rsidR="00F46367">
        <w:rPr>
          <w:rFonts w:ascii="Calibri" w:hAnsi="Calibri" w:cs="Calibri"/>
          <w:b/>
          <w:bCs/>
          <w:color w:val="000000" w:themeColor="text1"/>
          <w:sz w:val="22"/>
          <w:szCs w:val="22"/>
        </w:rPr>
        <w:t xml:space="preserve"> </w:t>
      </w:r>
      <w:r w:rsidRPr="00F46367" w:rsidR="00F46367">
        <w:rPr>
          <w:rFonts w:ascii="Calibri" w:hAnsi="Calibri" w:cs="Calibri"/>
          <w:b/>
          <w:bCs/>
          <w:color w:val="000000" w:themeColor="text1"/>
          <w:sz w:val="22"/>
          <w:szCs w:val="22"/>
        </w:rPr>
        <w:t>Fischer Family Trust (FFT)</w:t>
      </w:r>
      <w:r w:rsidRPr="00F46367" w:rsidR="00F46367">
        <w:rPr>
          <w:rFonts w:ascii="Calibri" w:hAnsi="Calibri" w:cs="Calibri"/>
          <w:b/>
          <w:bCs/>
          <w:color w:val="000000" w:themeColor="text1"/>
          <w:sz w:val="22"/>
          <w:szCs w:val="22"/>
        </w:rPr>
        <w:t xml:space="preserve"> (</w:t>
      </w:r>
      <w:r w:rsidRPr="00F46367" w:rsidR="00F46367">
        <w:rPr>
          <w:rFonts w:ascii="Calibri" w:hAnsi="Calibri" w:cs="Calibri"/>
          <w:b/>
          <w:bCs/>
          <w:color w:val="000000" w:themeColor="text1"/>
          <w:sz w:val="22"/>
          <w:szCs w:val="22"/>
        </w:rPr>
        <w:t>ECA0130</w:t>
      </w:r>
      <w:r w:rsidRPr="00F46367" w:rsidR="00F46367">
        <w:rPr>
          <w:rFonts w:ascii="Calibri" w:hAnsi="Calibri" w:cs="Calibri"/>
          <w:b/>
          <w:bCs/>
          <w:color w:val="000000" w:themeColor="text1"/>
          <w:sz w:val="22"/>
          <w:szCs w:val="22"/>
        </w:rPr>
        <w:t>)</w:t>
      </w:r>
    </w:p>
    <w:p w:rsidR="00F46367" w:rsidRPr="00F46367" w:rsidP="00F46367">
      <w:pPr>
        <w:spacing w:before="120" w:after="120" w:line="264" w:lineRule="auto"/>
        <w:rPr>
          <w:rFonts w:ascii="Calibri" w:hAnsi="Calibri" w:cs="Calibri"/>
          <w:b/>
          <w:bCs/>
          <w:color w:val="000000" w:themeColor="text1"/>
          <w:sz w:val="22"/>
          <w:szCs w:val="22"/>
        </w:rPr>
      </w:pPr>
      <w:r w:rsidRPr="00F46367">
        <w:rPr>
          <w:rFonts w:ascii="Calibri" w:hAnsi="Calibri" w:cs="Calibri"/>
          <w:b/>
          <w:bCs/>
          <w:color w:val="000000" w:themeColor="text1"/>
          <w:sz w:val="22"/>
          <w:szCs w:val="22"/>
        </w:rPr>
        <w:t>Education Committee</w:t>
      </w:r>
    </w:p>
    <w:p w:rsidR="00F46367" w:rsidRPr="00F46367" w:rsidP="00F46367">
      <w:pPr>
        <w:spacing w:before="120" w:after="120" w:line="264" w:lineRule="auto"/>
        <w:rPr>
          <w:rFonts w:ascii="Calibri" w:hAnsi="Calibri" w:cs="Calibri"/>
          <w:b/>
          <w:bCs/>
          <w:color w:val="000000" w:themeColor="text1"/>
          <w:sz w:val="22"/>
          <w:szCs w:val="22"/>
        </w:rPr>
      </w:pPr>
      <w:r w:rsidRPr="00F46367">
        <w:rPr>
          <w:rFonts w:ascii="Calibri" w:eastAsia="Aptos" w:hAnsi="Calibri" w:cs="Calibri"/>
          <w:b/>
          <w:bCs/>
          <w:sz w:val="22"/>
          <w:szCs w:val="22"/>
        </w:rPr>
        <w:t>Every Child Achieving and Thriving’ White Paper</w:t>
      </w:r>
    </w:p>
    <w:p w:rsidR="00C22E7F" w:rsidRPr="00F46367" w:rsidP="004101FF">
      <w:pPr>
        <w:spacing w:before="120" w:after="120" w:line="264" w:lineRule="auto"/>
        <w:rPr>
          <w:rFonts w:ascii="Calibri" w:hAnsi="Calibri" w:cs="Calibri"/>
          <w:color w:val="000000" w:themeColor="text1"/>
          <w:sz w:val="22"/>
          <w:szCs w:val="22"/>
        </w:rPr>
      </w:pPr>
    </w:p>
    <w:p w:rsidR="00C22E7F" w:rsidRPr="00F46367" w:rsidP="00292E93">
      <w:pPr>
        <w:pStyle w:val="Heading1"/>
        <w:rPr>
          <w:rFonts w:ascii="Calibri" w:hAnsi="Calibri" w:cs="Calibri"/>
          <w:sz w:val="22"/>
          <w:szCs w:val="22"/>
        </w:rPr>
      </w:pPr>
      <w:r w:rsidRPr="00F46367">
        <w:rPr>
          <w:rFonts w:ascii="Calibri" w:hAnsi="Calibri" w:cs="Calibri"/>
          <w:sz w:val="22"/>
          <w:szCs w:val="22"/>
        </w:rPr>
        <w:t>Introduction</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The Fischer Family Trust (FFT) is a non-profit organisation working with 12,000 schools and 300 academy trusts in the UK.</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We analyse education assessment data for all schools in England using national-scale </w:t>
      </w:r>
      <w:r w:rsidRPr="00F46367">
        <w:rPr>
          <w:rFonts w:ascii="Calibri" w:hAnsi="Calibri" w:cs="Calibri"/>
          <w:color w:val="000000" w:themeColor="text1"/>
          <w:sz w:val="22"/>
          <w:szCs w:val="22"/>
        </w:rPr>
        <w:t xml:space="preserve">education </w:t>
      </w:r>
      <w:r w:rsidRPr="00F46367">
        <w:rPr>
          <w:rFonts w:ascii="Calibri" w:hAnsi="Calibri" w:cs="Calibri"/>
          <w:color w:val="000000" w:themeColor="text1"/>
          <w:sz w:val="22"/>
          <w:szCs w:val="22"/>
        </w:rPr>
        <w:t>datasets</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with data collected directly from schools or provided by the Department for Education </w:t>
      </w:r>
      <w:r w:rsidRPr="00F46367">
        <w:rPr>
          <w:rFonts w:ascii="Calibri" w:hAnsi="Calibri" w:cs="Calibri"/>
          <w:color w:val="000000" w:themeColor="text1"/>
          <w:sz w:val="22"/>
          <w:szCs w:val="22"/>
        </w:rPr>
        <w:t xml:space="preserve">(DfE) </w:t>
      </w:r>
      <w:r w:rsidRPr="00F46367">
        <w:rPr>
          <w:rFonts w:ascii="Calibri" w:hAnsi="Calibri" w:cs="Calibri"/>
          <w:color w:val="000000" w:themeColor="text1"/>
          <w:sz w:val="22"/>
          <w:szCs w:val="22"/>
        </w:rPr>
        <w:t xml:space="preserve">for the purpose of supporting schools.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School</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xml:space="preserve"> and academy trusts use FFT Aspire (education data analytics platform) to analyse and benchmark school performance, attainment and value-added achievement</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using a </w:t>
      </w:r>
      <w:r w:rsidRPr="00F46367">
        <w:rPr>
          <w:rFonts w:ascii="Calibri" w:hAnsi="Calibri" w:cs="Calibri"/>
          <w:color w:val="000000" w:themeColor="text1"/>
          <w:sz w:val="22"/>
          <w:szCs w:val="22"/>
        </w:rPr>
        <w:t xml:space="preserve">wide </w:t>
      </w:r>
      <w:r w:rsidRPr="00F46367">
        <w:rPr>
          <w:rFonts w:ascii="Calibri" w:hAnsi="Calibri" w:cs="Calibri"/>
          <w:color w:val="000000" w:themeColor="text1"/>
          <w:sz w:val="22"/>
          <w:szCs w:val="22"/>
        </w:rPr>
        <w:t xml:space="preserve">range of school performance </w:t>
      </w:r>
      <w:r w:rsidRPr="00F46367">
        <w:rPr>
          <w:rFonts w:ascii="Calibri" w:hAnsi="Calibri" w:cs="Calibri"/>
          <w:color w:val="000000" w:themeColor="text1"/>
          <w:sz w:val="22"/>
          <w:szCs w:val="22"/>
        </w:rPr>
        <w:t xml:space="preserve">and </w:t>
      </w:r>
      <w:r w:rsidRPr="00F46367">
        <w:rPr>
          <w:rFonts w:ascii="Calibri" w:hAnsi="Calibri" w:cs="Calibri"/>
          <w:color w:val="000000" w:themeColor="text1"/>
          <w:sz w:val="22"/>
          <w:szCs w:val="22"/>
        </w:rPr>
        <w:t xml:space="preserve">accountability measures.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FFT’s reading programmes are used by schools to teach phonics (</w:t>
      </w:r>
      <w:r w:rsidRPr="00F46367">
        <w:rPr>
          <w:rFonts w:ascii="Calibri" w:hAnsi="Calibri" w:cs="Calibri"/>
          <w:color w:val="000000" w:themeColor="text1"/>
          <w:sz w:val="22"/>
          <w:szCs w:val="22"/>
        </w:rPr>
        <w:t>DfE</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validated</w:t>
      </w:r>
      <w:r w:rsidRPr="00F46367">
        <w:rPr>
          <w:rFonts w:ascii="Calibri" w:hAnsi="Calibri" w:cs="Calibri"/>
          <w:color w:val="000000" w:themeColor="text1"/>
          <w:sz w:val="22"/>
          <w:szCs w:val="22"/>
        </w:rPr>
        <w:t xml:space="preserve"> phonics programme), deliver reading catchup support (Tutoring with Lightning Squad and Reciprocal Reading) and </w:t>
      </w:r>
      <w:r w:rsidRPr="00F46367">
        <w:rPr>
          <w:rFonts w:ascii="Calibri" w:hAnsi="Calibri" w:cs="Calibri"/>
          <w:color w:val="000000" w:themeColor="text1"/>
          <w:sz w:val="22"/>
          <w:szCs w:val="22"/>
        </w:rPr>
        <w:t>assess</w:t>
      </w:r>
      <w:r w:rsidRPr="00F46367">
        <w:rPr>
          <w:rFonts w:ascii="Calibri" w:hAnsi="Calibri" w:cs="Calibri"/>
          <w:color w:val="000000" w:themeColor="text1"/>
          <w:sz w:val="22"/>
          <w:szCs w:val="22"/>
        </w:rPr>
        <w:t xml:space="preserve"> reading </w:t>
      </w:r>
      <w:r w:rsidRPr="00F46367">
        <w:rPr>
          <w:rFonts w:ascii="Calibri" w:hAnsi="Calibri" w:cs="Calibri"/>
          <w:color w:val="000000" w:themeColor="text1"/>
          <w:sz w:val="22"/>
          <w:szCs w:val="22"/>
        </w:rPr>
        <w:t>skill</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(FFT Reading Assessment Programme)</w:t>
      </w:r>
      <w:r w:rsidRPr="00F46367">
        <w:rPr>
          <w:rFonts w:ascii="Calibri" w:hAnsi="Calibri" w:cs="Calibri"/>
          <w:color w:val="000000" w:themeColor="text1"/>
          <w:sz w:val="22"/>
          <w:szCs w:val="22"/>
        </w:rPr>
        <w:t>.</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FFT Education Datalab</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is our independent </w:t>
      </w:r>
      <w:r w:rsidRPr="00F46367">
        <w:rPr>
          <w:rFonts w:ascii="Calibri" w:hAnsi="Calibri" w:cs="Calibri"/>
          <w:color w:val="000000" w:themeColor="text1"/>
          <w:sz w:val="22"/>
          <w:szCs w:val="22"/>
        </w:rPr>
        <w:t>research team</w:t>
      </w:r>
      <w:r w:rsidRPr="00F46367">
        <w:rPr>
          <w:rFonts w:ascii="Calibri" w:hAnsi="Calibri" w:cs="Calibri"/>
          <w:color w:val="000000" w:themeColor="text1"/>
          <w:sz w:val="22"/>
          <w:szCs w:val="22"/>
        </w:rPr>
        <w:t>. W</w:t>
      </w:r>
      <w:r w:rsidRPr="00F46367">
        <w:rPr>
          <w:rFonts w:ascii="Calibri" w:hAnsi="Calibri" w:cs="Calibri"/>
          <w:color w:val="000000" w:themeColor="text1"/>
          <w:sz w:val="22"/>
          <w:szCs w:val="22"/>
        </w:rPr>
        <w:t xml:space="preserve">e </w:t>
      </w:r>
      <w:r w:rsidRPr="00F46367">
        <w:rPr>
          <w:rFonts w:ascii="Calibri" w:hAnsi="Calibri" w:cs="Calibri"/>
          <w:color w:val="000000" w:themeColor="text1"/>
          <w:sz w:val="22"/>
          <w:szCs w:val="22"/>
        </w:rPr>
        <w:t>provid</w:t>
      </w:r>
      <w:r w:rsidRPr="00F46367">
        <w:rPr>
          <w:rFonts w:ascii="Calibri" w:hAnsi="Calibri" w:cs="Calibri"/>
          <w:color w:val="000000" w:themeColor="text1"/>
          <w:sz w:val="22"/>
          <w:szCs w:val="22"/>
        </w:rPr>
        <w:t>e</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cutting-edge research on education policy and practice, publishing over 50 research blogs each year alongside education data reports and evaluations commissioned</w:t>
      </w:r>
      <w:r w:rsidRPr="00F46367">
        <w:rPr>
          <w:rFonts w:ascii="Calibri" w:hAnsi="Calibri" w:cs="Calibri"/>
          <w:color w:val="000000" w:themeColor="text1"/>
          <w:sz w:val="22"/>
          <w:szCs w:val="22"/>
        </w:rPr>
        <w:t xml:space="preserve"> by</w:t>
      </w:r>
      <w:r w:rsidRPr="00F46367">
        <w:rPr>
          <w:rFonts w:ascii="Calibri" w:hAnsi="Calibri" w:cs="Calibri"/>
          <w:color w:val="000000" w:themeColor="text1"/>
          <w:sz w:val="22"/>
          <w:szCs w:val="22"/>
        </w:rPr>
        <w:t xml:space="preserve"> external partners.</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This submission focuses on the following areas of the Committee’s Terms of Reference for the inquiry:</w:t>
      </w:r>
    </w:p>
    <w:p w:rsidR="00C22E7F" w:rsidRPr="00F46367" w:rsidP="004101FF">
      <w:pPr>
        <w:pStyle w:val="ListParagraph"/>
        <w:numPr>
          <w:ilvl w:val="0"/>
          <w:numId w:val="15"/>
        </w:numPr>
        <w:spacing w:before="120" w:after="120" w:line="264" w:lineRule="auto"/>
        <w:rPr>
          <w:rFonts w:ascii="Calibri" w:hAnsi="Calibri" w:cs="Calibri"/>
          <w:sz w:val="22"/>
          <w:szCs w:val="22"/>
        </w:rPr>
      </w:pPr>
      <w:r w:rsidRPr="00F46367">
        <w:rPr>
          <w:rFonts w:ascii="Calibri" w:hAnsi="Calibri" w:cs="Calibri"/>
          <w:sz w:val="22"/>
          <w:szCs w:val="22"/>
        </w:rPr>
        <w:t>The Government’s ambition to raise attainment, including reducing the disadvantage gap</w:t>
      </w:r>
    </w:p>
    <w:p w:rsidR="00C22E7F" w:rsidRPr="00F46367" w:rsidP="004101FF">
      <w:pPr>
        <w:pStyle w:val="ListParagraph"/>
        <w:numPr>
          <w:ilvl w:val="0"/>
          <w:numId w:val="15"/>
        </w:numPr>
        <w:spacing w:before="120" w:after="120" w:line="264" w:lineRule="auto"/>
        <w:rPr>
          <w:rFonts w:ascii="Calibri" w:hAnsi="Calibri" w:cs="Calibri"/>
          <w:sz w:val="22"/>
          <w:szCs w:val="22"/>
        </w:rPr>
      </w:pPr>
      <w:r w:rsidRPr="00F46367">
        <w:rPr>
          <w:rFonts w:ascii="Calibri" w:hAnsi="Calibri" w:cs="Calibri"/>
          <w:sz w:val="22"/>
          <w:szCs w:val="22"/>
        </w:rPr>
        <w:t>T</w:t>
      </w:r>
      <w:r w:rsidRPr="00F46367">
        <w:rPr>
          <w:rFonts w:ascii="Calibri" w:hAnsi="Calibri" w:cs="Calibri"/>
          <w:sz w:val="22"/>
          <w:szCs w:val="22"/>
        </w:rPr>
        <w:t>he proposed reforms to accountability measures, including Progress 8, Attainment 8, and new measures for low and high attainers</w:t>
      </w:r>
    </w:p>
    <w:p w:rsidR="00C22E7F" w:rsidRPr="00F46367" w:rsidP="004101FF">
      <w:pPr>
        <w:pStyle w:val="ListParagraph"/>
        <w:numPr>
          <w:ilvl w:val="0"/>
          <w:numId w:val="15"/>
        </w:numPr>
        <w:spacing w:before="120" w:after="120" w:line="264" w:lineRule="auto"/>
        <w:rPr>
          <w:rFonts w:ascii="Calibri" w:hAnsi="Calibri" w:cs="Calibri"/>
          <w:sz w:val="22"/>
          <w:szCs w:val="22"/>
        </w:rPr>
      </w:pPr>
      <w:r w:rsidRPr="00F46367">
        <w:rPr>
          <w:rFonts w:ascii="Calibri" w:hAnsi="Calibri" w:cs="Calibri"/>
          <w:sz w:val="22"/>
          <w:szCs w:val="22"/>
        </w:rPr>
        <w:t>Improving attendance: the Government’s target to reduce overall absence and increase total days attended</w:t>
      </w:r>
    </w:p>
    <w:p w:rsidR="00C22E7F" w:rsidRPr="00F46367" w:rsidP="004101FF">
      <w:pPr>
        <w:pStyle w:val="ListParagraph"/>
        <w:numPr>
          <w:ilvl w:val="0"/>
          <w:numId w:val="15"/>
        </w:numPr>
        <w:spacing w:before="120" w:after="120" w:line="264" w:lineRule="auto"/>
        <w:rPr>
          <w:rFonts w:ascii="Calibri" w:hAnsi="Calibri" w:cs="Calibri"/>
          <w:sz w:val="22"/>
          <w:szCs w:val="22"/>
        </w:rPr>
      </w:pPr>
      <w:r w:rsidRPr="00F46367">
        <w:rPr>
          <w:rFonts w:ascii="Calibri" w:hAnsi="Calibri" w:cs="Calibri"/>
          <w:sz w:val="22"/>
          <w:szCs w:val="22"/>
        </w:rPr>
        <w:t>Reducing the disadvantage gap</w:t>
      </w:r>
      <w:r w:rsidRPr="00F46367">
        <w:rPr>
          <w:rFonts w:ascii="Calibri" w:hAnsi="Calibri" w:cs="Calibri"/>
          <w:sz w:val="22"/>
          <w:szCs w:val="22"/>
        </w:rPr>
        <w:t>:</w:t>
      </w:r>
      <w:r w:rsidRPr="00F46367">
        <w:rPr>
          <w:rFonts w:ascii="Calibri" w:hAnsi="Calibri" w:cs="Calibri"/>
          <w:sz w:val="22"/>
          <w:szCs w:val="22"/>
        </w:rPr>
        <w:t xml:space="preserve"> </w:t>
      </w:r>
      <w:r w:rsidRPr="00F46367">
        <w:rPr>
          <w:rFonts w:ascii="Calibri" w:hAnsi="Calibri" w:cs="Calibri"/>
          <w:sz w:val="22"/>
          <w:szCs w:val="22"/>
        </w:rPr>
        <w:t>the proposed reforms to disadvantage funding</w:t>
      </w:r>
    </w:p>
    <w:p w:rsidR="00C22E7F" w:rsidRPr="00F46367" w:rsidP="00674845">
      <w:pPr>
        <w:spacing w:before="120" w:after="120" w:line="264" w:lineRule="auto"/>
        <w:rPr>
          <w:rFonts w:ascii="Calibri" w:hAnsi="Calibri" w:cs="Calibri"/>
          <w:sz w:val="22"/>
          <w:szCs w:val="22"/>
        </w:rPr>
      </w:pPr>
      <w:r w:rsidRPr="00F46367">
        <w:rPr>
          <w:rFonts w:ascii="Calibri" w:hAnsi="Calibri" w:cs="Calibri"/>
          <w:sz w:val="22"/>
          <w:szCs w:val="22"/>
        </w:rPr>
        <w:t>We summarise our key findings and recommendations below:</w:t>
      </w:r>
    </w:p>
    <w:p w:rsidR="00C22E7F" w:rsidRPr="00F46367" w:rsidP="00170E7B">
      <w:pPr>
        <w:pStyle w:val="ListParagraph"/>
        <w:numPr>
          <w:ilvl w:val="0"/>
          <w:numId w:val="17"/>
        </w:numPr>
        <w:spacing w:before="120" w:after="120" w:line="264" w:lineRule="auto"/>
        <w:rPr>
          <w:rFonts w:ascii="Calibri" w:hAnsi="Calibri" w:cs="Calibri"/>
          <w:sz w:val="22"/>
          <w:szCs w:val="22"/>
        </w:rPr>
      </w:pPr>
      <w:r w:rsidRPr="00F46367">
        <w:rPr>
          <w:rFonts w:ascii="Calibri" w:hAnsi="Calibri" w:cs="Calibri"/>
          <w:sz w:val="22"/>
          <w:szCs w:val="22"/>
        </w:rPr>
        <w:t>The amount by which it is possible to raise attainment overall at Key Stage 4 may be limited by the current approach to setting grade boundaries</w:t>
      </w:r>
      <w:r w:rsidRPr="00F46367">
        <w:rPr>
          <w:rFonts w:ascii="Calibri" w:hAnsi="Calibri" w:cs="Calibri"/>
          <w:sz w:val="22"/>
          <w:szCs w:val="22"/>
        </w:rPr>
        <w:t>, which should therefore be scrutinised</w:t>
      </w:r>
      <w:r w:rsidRPr="00F46367">
        <w:rPr>
          <w:rFonts w:ascii="Calibri" w:hAnsi="Calibri" w:cs="Calibri"/>
          <w:sz w:val="22"/>
          <w:szCs w:val="22"/>
        </w:rPr>
        <w:t>.</w:t>
      </w:r>
      <w:r w:rsidRPr="00F46367">
        <w:rPr>
          <w:rFonts w:ascii="Calibri" w:hAnsi="Calibri" w:cs="Calibri"/>
          <w:sz w:val="22"/>
          <w:szCs w:val="22"/>
        </w:rPr>
        <w:t xml:space="preserve"> </w:t>
      </w:r>
      <w:r w:rsidRPr="00F46367">
        <w:rPr>
          <w:rFonts w:ascii="Calibri" w:hAnsi="Calibri" w:cs="Calibri"/>
          <w:sz w:val="22"/>
          <w:szCs w:val="22"/>
        </w:rPr>
        <w:t>R</w:t>
      </w:r>
      <w:r w:rsidRPr="00F46367">
        <w:rPr>
          <w:rFonts w:ascii="Calibri" w:hAnsi="Calibri" w:cs="Calibri"/>
          <w:sz w:val="22"/>
          <w:szCs w:val="22"/>
        </w:rPr>
        <w:t>aising attainment overall is a necessary condition for the disadvantage gap to be halved.</w:t>
      </w:r>
    </w:p>
    <w:p w:rsidR="00C22E7F" w:rsidRPr="00F46367" w:rsidP="00170E7B">
      <w:pPr>
        <w:pStyle w:val="ListParagraph"/>
        <w:numPr>
          <w:ilvl w:val="0"/>
          <w:numId w:val="17"/>
        </w:numPr>
        <w:spacing w:before="120" w:after="120" w:line="264" w:lineRule="auto"/>
        <w:rPr>
          <w:rFonts w:ascii="Calibri" w:hAnsi="Calibri" w:cs="Calibri"/>
          <w:sz w:val="22"/>
          <w:szCs w:val="22"/>
        </w:rPr>
      </w:pPr>
      <w:r w:rsidRPr="00F46367">
        <w:rPr>
          <w:rFonts w:ascii="Calibri" w:hAnsi="Calibri" w:cs="Calibri"/>
          <w:sz w:val="22"/>
          <w:szCs w:val="22"/>
        </w:rPr>
        <w:t xml:space="preserve">Halving the disadvantage gap will additionally require interventions before secondary school, and a focus on the lowest attainers, including those who leave school with very few or no qualifications.  </w:t>
      </w:r>
    </w:p>
    <w:p w:rsidR="00C22E7F" w:rsidRPr="00F46367" w:rsidP="00170E7B">
      <w:pPr>
        <w:pStyle w:val="ListParagraph"/>
        <w:numPr>
          <w:ilvl w:val="0"/>
          <w:numId w:val="17"/>
        </w:numPr>
        <w:spacing w:before="120" w:after="120" w:line="264" w:lineRule="auto"/>
        <w:rPr>
          <w:rFonts w:ascii="Calibri" w:hAnsi="Calibri" w:cs="Calibri"/>
          <w:sz w:val="22"/>
          <w:szCs w:val="22"/>
        </w:rPr>
      </w:pPr>
      <w:r w:rsidRPr="00F46367">
        <w:rPr>
          <w:rFonts w:ascii="Calibri" w:hAnsi="Calibri" w:cs="Calibri"/>
          <w:sz w:val="22"/>
          <w:szCs w:val="22"/>
        </w:rPr>
        <w:t xml:space="preserve">Reforms to Attainment 8 and Progress 8 have driven curriculum change </w:t>
      </w:r>
      <w:r w:rsidRPr="00F46367">
        <w:rPr>
          <w:rFonts w:ascii="Calibri" w:hAnsi="Calibri" w:cs="Calibri"/>
          <w:sz w:val="22"/>
          <w:szCs w:val="22"/>
        </w:rPr>
        <w:t>before, and</w:t>
      </w:r>
      <w:r w:rsidRPr="00F46367">
        <w:rPr>
          <w:rFonts w:ascii="Calibri" w:hAnsi="Calibri" w:cs="Calibri"/>
          <w:sz w:val="22"/>
          <w:szCs w:val="22"/>
        </w:rPr>
        <w:t xml:space="preserve"> would be</w:t>
      </w:r>
      <w:r w:rsidRPr="00F46367">
        <w:rPr>
          <w:rFonts w:ascii="Calibri" w:hAnsi="Calibri" w:cs="Calibri"/>
          <w:sz w:val="22"/>
          <w:szCs w:val="22"/>
        </w:rPr>
        <w:t xml:space="preserve"> likely to </w:t>
      </w:r>
      <w:r w:rsidRPr="00F46367">
        <w:rPr>
          <w:rFonts w:ascii="Calibri" w:hAnsi="Calibri" w:cs="Calibri"/>
          <w:sz w:val="22"/>
          <w:szCs w:val="22"/>
        </w:rPr>
        <w:t>do so again</w:t>
      </w:r>
      <w:r w:rsidRPr="00F46367">
        <w:rPr>
          <w:rFonts w:ascii="Calibri" w:hAnsi="Calibri" w:cs="Calibri"/>
          <w:sz w:val="22"/>
          <w:szCs w:val="22"/>
        </w:rPr>
        <w:t>.</w:t>
      </w:r>
      <w:r w:rsidRPr="00F46367">
        <w:rPr>
          <w:rFonts w:ascii="Calibri" w:hAnsi="Calibri" w:cs="Calibri"/>
          <w:sz w:val="22"/>
          <w:szCs w:val="22"/>
        </w:rPr>
        <w:t xml:space="preserve"> </w:t>
      </w:r>
      <w:r w:rsidRPr="00F46367">
        <w:rPr>
          <w:rFonts w:ascii="Calibri" w:hAnsi="Calibri" w:cs="Calibri"/>
          <w:sz w:val="22"/>
          <w:szCs w:val="22"/>
        </w:rPr>
        <w:t>Under the current proposals, w</w:t>
      </w:r>
      <w:r w:rsidRPr="00F46367">
        <w:rPr>
          <w:rFonts w:ascii="Calibri" w:hAnsi="Calibri" w:cs="Calibri"/>
          <w:sz w:val="22"/>
          <w:szCs w:val="22"/>
        </w:rPr>
        <w:t xml:space="preserve">e expect entries to creative subjects </w:t>
      </w:r>
      <w:r w:rsidRPr="00F46367">
        <w:rPr>
          <w:rFonts w:ascii="Calibri" w:hAnsi="Calibri" w:cs="Calibri"/>
          <w:sz w:val="22"/>
          <w:szCs w:val="22"/>
        </w:rPr>
        <w:t>in particular to</w:t>
      </w:r>
      <w:r w:rsidRPr="00F46367">
        <w:rPr>
          <w:rFonts w:ascii="Calibri" w:hAnsi="Calibri" w:cs="Calibri"/>
          <w:sz w:val="22"/>
          <w:szCs w:val="22"/>
        </w:rPr>
        <w:t xml:space="preserve"> increase.</w:t>
      </w:r>
    </w:p>
    <w:p w:rsidR="00C22E7F" w:rsidRPr="00F46367" w:rsidP="00170E7B">
      <w:pPr>
        <w:pStyle w:val="ListParagraph"/>
        <w:numPr>
          <w:ilvl w:val="0"/>
          <w:numId w:val="17"/>
        </w:numPr>
        <w:spacing w:before="120" w:after="120" w:line="264" w:lineRule="auto"/>
        <w:rPr>
          <w:rFonts w:ascii="Calibri" w:hAnsi="Calibri" w:cs="Calibri"/>
          <w:sz w:val="22"/>
          <w:szCs w:val="22"/>
        </w:rPr>
      </w:pPr>
      <w:r w:rsidRPr="00F46367">
        <w:rPr>
          <w:rFonts w:ascii="Calibri" w:hAnsi="Calibri" w:cs="Calibri"/>
          <w:sz w:val="22"/>
          <w:szCs w:val="22"/>
        </w:rPr>
        <w:t xml:space="preserve">The proposed “best-fit” progress model for low attainers is unlikely to achieve its aims, which would be better served by </w:t>
      </w:r>
      <w:r w:rsidRPr="00F46367">
        <w:rPr>
          <w:rFonts w:ascii="Calibri" w:hAnsi="Calibri" w:cs="Calibri"/>
          <w:sz w:val="22"/>
          <w:szCs w:val="22"/>
        </w:rPr>
        <w:t>introducing</w:t>
      </w:r>
      <w:r w:rsidRPr="00F46367">
        <w:rPr>
          <w:rFonts w:ascii="Calibri" w:hAnsi="Calibri" w:cs="Calibri"/>
          <w:sz w:val="22"/>
          <w:szCs w:val="22"/>
        </w:rPr>
        <w:t xml:space="preserve"> </w:t>
      </w:r>
      <w:r w:rsidRPr="00F46367">
        <w:rPr>
          <w:rFonts w:ascii="Calibri" w:eastAsia="Times New Roman" w:hAnsi="Calibri" w:cs="Calibri"/>
          <w:color w:val="000000" w:themeColor="text1"/>
          <w:sz w:val="22"/>
          <w:szCs w:val="22"/>
          <w:lang w:eastAsia="en-GB"/>
        </w:rPr>
        <w:t>contextualised value-added scores, and/or reviewing the qualifications which are included in school performance tables.</w:t>
      </w:r>
      <w:r w:rsidRPr="00F46367">
        <w:rPr>
          <w:rFonts w:ascii="Calibri" w:hAnsi="Calibri" w:cs="Calibri"/>
          <w:sz w:val="22"/>
          <w:szCs w:val="22"/>
        </w:rPr>
        <w:t xml:space="preserve">  </w:t>
      </w:r>
    </w:p>
    <w:p w:rsidR="00C22E7F" w:rsidRPr="00F46367" w:rsidP="00170E7B">
      <w:pPr>
        <w:pStyle w:val="ListParagraph"/>
        <w:numPr>
          <w:ilvl w:val="0"/>
          <w:numId w:val="17"/>
        </w:numPr>
        <w:spacing w:before="120" w:after="120" w:line="264" w:lineRule="auto"/>
        <w:rPr>
          <w:rFonts w:ascii="Calibri" w:hAnsi="Calibri" w:cs="Calibri"/>
          <w:sz w:val="22"/>
          <w:szCs w:val="22"/>
        </w:rPr>
      </w:pPr>
      <w:r w:rsidRPr="00F46367">
        <w:rPr>
          <w:rFonts w:ascii="Calibri" w:hAnsi="Calibri" w:cs="Calibri"/>
          <w:sz w:val="22"/>
          <w:szCs w:val="22"/>
        </w:rPr>
        <w:t xml:space="preserve">The absence target in its current form </w:t>
      </w:r>
      <w:r w:rsidRPr="00F46367">
        <w:rPr>
          <w:rFonts w:ascii="Calibri" w:hAnsi="Calibri" w:cs="Calibri"/>
          <w:sz w:val="22"/>
          <w:szCs w:val="22"/>
        </w:rPr>
        <w:t>may not</w:t>
      </w:r>
      <w:r w:rsidRPr="00F46367">
        <w:rPr>
          <w:rFonts w:ascii="Calibri" w:hAnsi="Calibri" w:cs="Calibri"/>
          <w:sz w:val="22"/>
          <w:szCs w:val="22"/>
        </w:rPr>
        <w:t xml:space="preserve"> communicate the level of challenge adequately.</w:t>
      </w:r>
      <w:r w:rsidRPr="00F46367">
        <w:rPr>
          <w:rFonts w:ascii="Calibri" w:hAnsi="Calibri" w:cs="Calibri"/>
          <w:sz w:val="22"/>
          <w:szCs w:val="22"/>
        </w:rPr>
        <w:t xml:space="preserve"> Complementary targets for reducing persistent and severe persistent absence could be considered.</w:t>
      </w:r>
    </w:p>
    <w:p w:rsidR="00C22E7F" w:rsidRPr="00F46367" w:rsidP="009B27F4">
      <w:pPr>
        <w:pStyle w:val="ListParagraph"/>
        <w:numPr>
          <w:ilvl w:val="0"/>
          <w:numId w:val="17"/>
        </w:numPr>
        <w:spacing w:before="120" w:after="120" w:line="264" w:lineRule="auto"/>
        <w:rPr>
          <w:rFonts w:ascii="Calibri" w:hAnsi="Calibri" w:cs="Calibri"/>
          <w:b/>
          <w:bCs/>
          <w:sz w:val="22"/>
          <w:szCs w:val="22"/>
        </w:rPr>
      </w:pPr>
      <w:r w:rsidRPr="00F46367">
        <w:rPr>
          <w:rFonts w:ascii="Calibri" w:hAnsi="Calibri" w:cs="Calibri"/>
          <w:sz w:val="22"/>
          <w:szCs w:val="22"/>
        </w:rPr>
        <w:t xml:space="preserve">The inclusion of “severity of disadvantage” in disadvantage funding is long overdue, and we support the proposed reforms to disadvantage funding on that basis. </w:t>
      </w:r>
      <w:r w:rsidRPr="00F46367">
        <w:rPr>
          <w:rFonts w:ascii="Calibri" w:hAnsi="Calibri" w:cs="Calibri"/>
          <w:sz w:val="22"/>
          <w:szCs w:val="22"/>
        </w:rPr>
        <w:br w:type="page"/>
      </w:r>
    </w:p>
    <w:p w:rsidR="00C22E7F" w:rsidRPr="00F46367" w:rsidP="00292E93">
      <w:pPr>
        <w:pStyle w:val="Heading1"/>
        <w:rPr>
          <w:rFonts w:ascii="Calibri" w:hAnsi="Calibri" w:cs="Calibri"/>
          <w:sz w:val="22"/>
          <w:szCs w:val="22"/>
        </w:rPr>
      </w:pPr>
      <w:r w:rsidRPr="00F46367">
        <w:rPr>
          <w:rFonts w:ascii="Calibri" w:hAnsi="Calibri" w:cs="Calibri"/>
          <w:sz w:val="22"/>
          <w:szCs w:val="22"/>
        </w:rPr>
        <w:t xml:space="preserve">1. </w:t>
      </w:r>
      <w:r w:rsidRPr="00F46367">
        <w:rPr>
          <w:rFonts w:ascii="Calibri" w:hAnsi="Calibri" w:cs="Calibri"/>
          <w:sz w:val="22"/>
          <w:szCs w:val="22"/>
        </w:rPr>
        <w:t>Raising attainment: t</w:t>
      </w:r>
      <w:r w:rsidRPr="00F46367">
        <w:rPr>
          <w:rFonts w:ascii="Calibri" w:hAnsi="Calibri" w:cs="Calibri"/>
          <w:sz w:val="22"/>
          <w:szCs w:val="22"/>
        </w:rPr>
        <w:t>he Government’s ambition to raise attainment, including reducing the disadvantage gap</w:t>
      </w:r>
    </w:p>
    <w:p w:rsidR="00C22E7F" w:rsidRPr="00F46367" w:rsidP="004101FF">
      <w:pPr>
        <w:pStyle w:val="Heading2"/>
        <w:spacing w:before="120" w:after="120" w:line="264" w:lineRule="auto"/>
        <w:rPr>
          <w:rFonts w:ascii="Calibri" w:hAnsi="Calibri" w:cs="Calibri"/>
        </w:rPr>
      </w:pPr>
      <w:r w:rsidRPr="00F46367">
        <w:rPr>
          <w:rFonts w:ascii="Calibri" w:hAnsi="Calibri" w:cs="Calibri"/>
        </w:rPr>
        <w:t>Raising attainment overall</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In assessing the Government’s ambition to raise attainment overall, we recommend that the </w:t>
      </w:r>
      <w:r w:rsidRPr="00F46367">
        <w:rPr>
          <w:rFonts w:ascii="Calibri" w:hAnsi="Calibri" w:cs="Calibri"/>
          <w:color w:val="000000" w:themeColor="text1"/>
          <w:sz w:val="22"/>
          <w:szCs w:val="22"/>
        </w:rPr>
        <w:t>i</w:t>
      </w:r>
      <w:r w:rsidRPr="00F46367">
        <w:rPr>
          <w:rFonts w:ascii="Calibri" w:hAnsi="Calibri" w:cs="Calibri"/>
          <w:color w:val="000000" w:themeColor="text1"/>
          <w:sz w:val="22"/>
          <w:szCs w:val="22"/>
        </w:rPr>
        <w:t>nquiry first scrutinises the extent to which this is possible given Ofqual’s current approach to setting grade boundaries</w:t>
      </w:r>
      <w:r>
        <w:rPr>
          <w:rStyle w:val="FootnoteReference"/>
          <w:rFonts w:ascii="Calibri" w:hAnsi="Calibri" w:cs="Calibri"/>
          <w:color w:val="000000" w:themeColor="text1"/>
          <w:sz w:val="22"/>
          <w:szCs w:val="22"/>
        </w:rPr>
        <w:footnoteReference w:id="2"/>
      </w:r>
      <w:r w:rsidRPr="00F46367">
        <w:rPr>
          <w:rFonts w:ascii="Calibri" w:hAnsi="Calibri" w:cs="Calibri"/>
          <w:color w:val="000000" w:themeColor="text1"/>
          <w:sz w:val="22"/>
          <w:szCs w:val="22"/>
        </w:rPr>
        <w:t xml:space="preserve">.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The process, known as “comparable outcomes”</w:t>
      </w:r>
      <w:r>
        <w:rPr>
          <w:rStyle w:val="FootnoteReference"/>
          <w:rFonts w:ascii="Calibri" w:hAnsi="Calibri" w:cs="Calibri"/>
          <w:color w:val="000000" w:themeColor="text1"/>
          <w:sz w:val="22"/>
          <w:szCs w:val="22"/>
        </w:rPr>
        <w:footnoteReference w:id="3"/>
      </w:r>
      <w:r w:rsidRPr="00F46367">
        <w:rPr>
          <w:rFonts w:ascii="Calibri" w:hAnsi="Calibri" w:cs="Calibri"/>
          <w:color w:val="000000" w:themeColor="text1"/>
          <w:sz w:val="22"/>
          <w:szCs w:val="22"/>
        </w:rPr>
        <w:t>, ensures that, “if the national cohort for a subject is similar (in terms of [prior attainment]) to last year, then results should also be similar at a national level in that subject.” Any increases in results must reflect a “genuine change” in the performance of the cohort. The National Reference Test (NRT)</w:t>
      </w:r>
      <w:r>
        <w:rPr>
          <w:rStyle w:val="FootnoteReference"/>
          <w:rFonts w:ascii="Calibri" w:hAnsi="Calibri" w:cs="Calibri"/>
          <w:color w:val="000000" w:themeColor="text1"/>
          <w:sz w:val="22"/>
          <w:szCs w:val="22"/>
        </w:rPr>
        <w:footnoteReference w:id="4"/>
      </w:r>
      <w:r w:rsidRPr="00F46367">
        <w:rPr>
          <w:rFonts w:ascii="Calibri" w:hAnsi="Calibri" w:cs="Calibri"/>
          <w:color w:val="000000" w:themeColor="text1"/>
          <w:sz w:val="22"/>
          <w:szCs w:val="22"/>
        </w:rPr>
        <w:t>, taken by a sample of Year 11 pupils every year, is one of the mechanisms by which such changes can, in principle, be detected. However, since the NRT’s inception in 2017, Ofqual has declined to use its results to raise or lower grade boundaries, even when statistically significant changes have been detected. For example, in the 2025 edition there was a statistically significant drop in performance at the grade 4/5 borderline in English language</w:t>
      </w:r>
      <w:r>
        <w:rPr>
          <w:rStyle w:val="FootnoteReference"/>
          <w:rFonts w:ascii="Calibri" w:hAnsi="Calibri" w:cs="Calibri"/>
          <w:color w:val="000000" w:themeColor="text1"/>
          <w:sz w:val="22"/>
          <w:szCs w:val="22"/>
        </w:rPr>
        <w:footnoteReference w:id="5"/>
      </w:r>
      <w:r w:rsidRPr="00F46367">
        <w:rPr>
          <w:rFonts w:ascii="Calibri" w:hAnsi="Calibri" w:cs="Calibri"/>
          <w:color w:val="000000" w:themeColor="text1"/>
          <w:sz w:val="22"/>
          <w:szCs w:val="22"/>
        </w:rPr>
        <w:t>, yet Ofqual “decided not to require an adjustment” to grade boundaries “following application of [their] established principles to support [their] judgments”.</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In our analysis of the White Paper’s ambitions to raise attainment</w:t>
      </w:r>
      <w:bookmarkStart w:id="0" w:name="_Ref233978740"/>
      <w:r>
        <w:rPr>
          <w:rStyle w:val="FootnoteReference"/>
          <w:rFonts w:ascii="Calibri" w:hAnsi="Calibri" w:cs="Calibri"/>
          <w:color w:val="000000" w:themeColor="text1"/>
          <w:sz w:val="22"/>
          <w:szCs w:val="22"/>
        </w:rPr>
        <w:footnoteReference w:id="6"/>
      </w:r>
      <w:bookmarkEnd w:id="0"/>
      <w:r w:rsidRPr="00F46367">
        <w:rPr>
          <w:rFonts w:ascii="Calibri" w:hAnsi="Calibri" w:cs="Calibri"/>
          <w:color w:val="000000" w:themeColor="text1"/>
          <w:sz w:val="22"/>
          <w:szCs w:val="22"/>
        </w:rPr>
        <w:t>, we find that the overall increase in Attainment 8 targeted is of a similar size to the increase seen between 2019 and 2021, when teacher assessed grades were used instead of exams, and grading was consequently much more lenient</w:t>
      </w:r>
      <w:r>
        <w:rPr>
          <w:rStyle w:val="FootnoteReference"/>
          <w:rFonts w:ascii="Calibri" w:hAnsi="Calibri" w:cs="Calibri"/>
          <w:color w:val="000000" w:themeColor="text1"/>
          <w:sz w:val="22"/>
          <w:szCs w:val="22"/>
        </w:rPr>
        <w:footnoteReference w:id="7"/>
      </w:r>
      <w:r w:rsidRPr="00F46367">
        <w:rPr>
          <w:rFonts w:ascii="Calibri" w:hAnsi="Calibri" w:cs="Calibri"/>
          <w:color w:val="000000" w:themeColor="text1"/>
          <w:sz w:val="22"/>
          <w:szCs w:val="22"/>
        </w:rPr>
        <w:t xml:space="preserve">. We therefore conclude that clarity is needed as to whether Ofqual would allow grades to increase to such a degree and, if so, by what mechanism.          </w:t>
      </w:r>
    </w:p>
    <w:p w:rsidR="00C22E7F" w:rsidRPr="00F46367" w:rsidP="004101FF">
      <w:pPr>
        <w:pStyle w:val="Heading2"/>
        <w:spacing w:before="120" w:after="120" w:line="264" w:lineRule="auto"/>
        <w:rPr>
          <w:rFonts w:ascii="Calibri" w:hAnsi="Calibri" w:cs="Calibri"/>
        </w:rPr>
      </w:pPr>
      <w:r w:rsidRPr="00F46367">
        <w:rPr>
          <w:rFonts w:ascii="Calibri" w:hAnsi="Calibri" w:cs="Calibri"/>
        </w:rPr>
        <w:t>Halving the Key Stage 4 disadvantage gap</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We believe that the above is also central to the Government’s aim to halve the disadvantage gap. Without an overall rise in attainment, any increase among disadvantaged pupils would necessarily result in a reduction among non-disadvantaged pupils. This is neither desirable nor realistic.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Under a scenario where attainment does increase overall, our analysis</w:t>
      </w:r>
      <w:r w:rsidRPr="00F46367">
        <w:rPr>
          <w:rFonts w:ascii="Calibri" w:hAnsi="Calibri" w:cs="Calibri"/>
          <w:color w:val="000000" w:themeColor="text1"/>
          <w:sz w:val="22"/>
          <w:szCs w:val="22"/>
        </w:rPr>
        <w:fldChar w:fldCharType="begin"/>
      </w:r>
      <w:r w:rsidRPr="00F46367">
        <w:rPr>
          <w:rFonts w:ascii="Calibri" w:hAnsi="Calibri" w:cs="Calibri"/>
          <w:color w:val="000000" w:themeColor="text1"/>
          <w:sz w:val="22"/>
          <w:szCs w:val="22"/>
        </w:rPr>
        <w:instrText xml:space="preserve"> NOTEREF _Ref233978740 \f \h </w:instrText>
      </w:r>
      <w:r w:rsidRPr="00F46367">
        <w:rPr>
          <w:rFonts w:ascii="Calibri" w:hAnsi="Calibri" w:cs="Calibri"/>
          <w:color w:val="000000" w:themeColor="text1"/>
          <w:sz w:val="22"/>
          <w:szCs w:val="22"/>
        </w:rPr>
        <w:instrText xml:space="preserve"> \* MERGEFORMAT </w:instrText>
      </w:r>
      <w:r w:rsidRPr="00F46367">
        <w:rPr>
          <w:rFonts w:ascii="Calibri" w:hAnsi="Calibri" w:cs="Calibri"/>
          <w:color w:val="000000" w:themeColor="text1"/>
          <w:sz w:val="22"/>
          <w:szCs w:val="22"/>
        </w:rPr>
        <w:fldChar w:fldCharType="separate"/>
      </w:r>
      <w:r w:rsidRPr="00F46367">
        <w:rPr>
          <w:rStyle w:val="FootnoteReference"/>
          <w:rFonts w:ascii="Calibri" w:hAnsi="Calibri" w:cs="Calibri"/>
          <w:color w:val="000000" w:themeColor="text1"/>
          <w:sz w:val="22"/>
          <w:szCs w:val="22"/>
        </w:rPr>
        <w:t>5</w:t>
      </w:r>
      <w:r w:rsidRPr="00F46367">
        <w:rPr>
          <w:rFonts w:ascii="Calibri" w:hAnsi="Calibri" w:cs="Calibri"/>
          <w:color w:val="000000" w:themeColor="text1"/>
          <w:sz w:val="22"/>
          <w:szCs w:val="22"/>
        </w:rPr>
        <w:fldChar w:fldCharType="end"/>
      </w:r>
      <w:r w:rsidRPr="00F46367">
        <w:rPr>
          <w:rFonts w:ascii="Calibri" w:hAnsi="Calibri" w:cs="Calibri"/>
          <w:color w:val="000000" w:themeColor="text1"/>
          <w:sz w:val="22"/>
          <w:szCs w:val="22"/>
        </w:rPr>
        <w:t xml:space="preserve"> shows that halving the disadvantage gap would require disadvantaged pupils’ attainment to increase </w:t>
      </w:r>
      <w:r w:rsidRPr="00F46367">
        <w:rPr>
          <w:rFonts w:ascii="Calibri" w:hAnsi="Calibri" w:cs="Calibri"/>
          <w:i/>
          <w:iCs/>
          <w:color w:val="000000" w:themeColor="text1"/>
          <w:sz w:val="22"/>
          <w:szCs w:val="22"/>
        </w:rPr>
        <w:t>beyond</w:t>
      </w:r>
      <w:r w:rsidRPr="00F46367">
        <w:rPr>
          <w:rFonts w:ascii="Calibri" w:hAnsi="Calibri" w:cs="Calibri"/>
          <w:color w:val="000000" w:themeColor="text1"/>
          <w:sz w:val="22"/>
          <w:szCs w:val="22"/>
        </w:rPr>
        <w:t xml:space="preserve"> levels seen in 2021. This would require all disadvantaged students to make considerable gains</w:t>
      </w:r>
      <w:r w:rsidRPr="00F46367">
        <w:rPr>
          <w:rFonts w:ascii="Calibri" w:hAnsi="Calibri" w:cs="Calibri"/>
          <w:color w:val="000000" w:themeColor="text1"/>
          <w:sz w:val="22"/>
          <w:szCs w:val="22"/>
        </w:rPr>
        <w:t>, b</w:t>
      </w:r>
      <w:r w:rsidRPr="00F46367">
        <w:rPr>
          <w:rFonts w:ascii="Calibri" w:hAnsi="Calibri" w:cs="Calibri"/>
          <w:color w:val="000000" w:themeColor="text1"/>
          <w:sz w:val="22"/>
          <w:szCs w:val="22"/>
        </w:rPr>
        <w:t>ut the biggest gains are likely to be needed among those with the lowest levels of attainment. This includes reducing the numbers of disadvantaged pupils leaving school with no, or very few, qualifications. Overcoming the diverse and complex barriers faced by this group would therefore need to be a priority.</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We also direct the </w:t>
      </w:r>
      <w:r w:rsidRPr="00F46367">
        <w:rPr>
          <w:rFonts w:ascii="Calibri" w:hAnsi="Calibri" w:cs="Calibri"/>
          <w:color w:val="000000" w:themeColor="text1"/>
          <w:sz w:val="22"/>
          <w:szCs w:val="22"/>
        </w:rPr>
        <w:t>C</w:t>
      </w:r>
      <w:r w:rsidRPr="00F46367">
        <w:rPr>
          <w:rFonts w:ascii="Calibri" w:hAnsi="Calibri" w:cs="Calibri"/>
          <w:color w:val="000000" w:themeColor="text1"/>
          <w:sz w:val="22"/>
          <w:szCs w:val="22"/>
        </w:rPr>
        <w:t>ommittee’s attention to the body of research</w:t>
      </w:r>
      <w:r>
        <w:rPr>
          <w:rStyle w:val="FootnoteReference"/>
          <w:rFonts w:ascii="Calibri" w:hAnsi="Calibri" w:cs="Calibri"/>
          <w:color w:val="000000" w:themeColor="text1"/>
          <w:sz w:val="22"/>
          <w:szCs w:val="22"/>
        </w:rPr>
        <w:footnoteReference w:id="8"/>
      </w:r>
      <w:r w:rsidRPr="00F46367">
        <w:rPr>
          <w:rFonts w:ascii="Calibri" w:hAnsi="Calibri" w:cs="Calibri"/>
          <w:color w:val="000000" w:themeColor="text1"/>
          <w:sz w:val="22"/>
          <w:szCs w:val="22"/>
        </w:rPr>
        <w:t xml:space="preserve"> showing that the disadvantage gap narrows slightly during primary education before widening in secondary (and much of it is present before schooling starts). Action to reduce the Key Stage 4 disadvantage gap therefore requires making improvements before Key Stage 4. We welcome the recommendation of the Inquiry into white </w:t>
      </w:r>
      <w:r w:rsidRPr="00F46367">
        <w:rPr>
          <w:rFonts w:ascii="Calibri" w:hAnsi="Calibri" w:cs="Calibri"/>
          <w:color w:val="000000" w:themeColor="text1"/>
          <w:sz w:val="22"/>
          <w:szCs w:val="22"/>
        </w:rPr>
        <w:t>working class</w:t>
      </w:r>
      <w:r w:rsidRPr="00F46367">
        <w:rPr>
          <w:rFonts w:ascii="Calibri" w:hAnsi="Calibri" w:cs="Calibri"/>
          <w:color w:val="000000" w:themeColor="text1"/>
          <w:sz w:val="22"/>
          <w:szCs w:val="22"/>
        </w:rPr>
        <w:t xml:space="preserve"> educational outcomes to make reading fluency a national priority in primary school</w:t>
      </w:r>
      <w:r>
        <w:rPr>
          <w:rStyle w:val="FootnoteReference"/>
          <w:rFonts w:ascii="Calibri" w:hAnsi="Calibri" w:cs="Calibri"/>
          <w:color w:val="000000" w:themeColor="text1"/>
          <w:sz w:val="22"/>
          <w:szCs w:val="22"/>
        </w:rPr>
        <w:footnoteReference w:id="9"/>
      </w:r>
      <w:r w:rsidRPr="00F46367">
        <w:rPr>
          <w:rFonts w:ascii="Calibri" w:hAnsi="Calibri" w:cs="Calibri"/>
          <w:color w:val="000000" w:themeColor="text1"/>
          <w:sz w:val="22"/>
          <w:szCs w:val="22"/>
        </w:rPr>
        <w:t>.</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The change in approach to measuring the Key Stage 4 disadvantage gap,</w:t>
      </w:r>
      <w:r w:rsidRPr="00F46367">
        <w:rPr>
          <w:rFonts w:ascii="Calibri" w:hAnsi="Calibri" w:cs="Calibri"/>
          <w:color w:val="000000" w:themeColor="text1"/>
          <w:sz w:val="22"/>
          <w:szCs w:val="22"/>
        </w:rPr>
        <w:t xml:space="preserve"> basing the calculation on Attainment 8, a broad measure of attainment across multiple subjects, rather than the current method based solely on </w:t>
      </w:r>
      <w:r w:rsidRPr="00F46367">
        <w:rPr>
          <w:rFonts w:ascii="Calibri" w:hAnsi="Calibri" w:cs="Calibri"/>
          <w:color w:val="000000" w:themeColor="text1"/>
          <w:sz w:val="22"/>
          <w:szCs w:val="22"/>
        </w:rPr>
        <w:t>GCSE English and maths is welcome. However, we note several issues with the measurement of the gap that have not been addressed in the White Paper.</w:t>
      </w:r>
    </w:p>
    <w:p w:rsidR="00C22E7F" w:rsidRPr="00F46367" w:rsidP="004101FF">
      <w:pPr>
        <w:spacing w:before="120" w:after="120" w:line="264" w:lineRule="auto"/>
        <w:rPr>
          <w:rFonts w:ascii="Calibri" w:hAnsi="Calibri" w:cs="Calibri"/>
          <w:color w:val="000000" w:themeColor="text1"/>
          <w:sz w:val="22"/>
          <w:szCs w:val="22"/>
          <w:shd w:val="clear" w:color="auto" w:fill="FFFFFF"/>
        </w:rPr>
      </w:pPr>
      <w:r w:rsidRPr="00F46367">
        <w:rPr>
          <w:rFonts w:ascii="Calibri" w:hAnsi="Calibri" w:cs="Calibri"/>
          <w:color w:val="000000" w:themeColor="text1"/>
          <w:sz w:val="22"/>
          <w:szCs w:val="22"/>
        </w:rPr>
        <w:t xml:space="preserve">Firstly, the composition of the disadvantaged group has been changing over time </w:t>
      </w:r>
      <w:r w:rsidRPr="00F46367">
        <w:rPr>
          <w:rFonts w:ascii="Calibri" w:hAnsi="Calibri" w:cs="Calibri"/>
          <w:color w:val="000000" w:themeColor="text1"/>
          <w:sz w:val="22"/>
          <w:szCs w:val="22"/>
        </w:rPr>
        <w:t>as a result of</w:t>
      </w:r>
      <w:r w:rsidRPr="00F46367">
        <w:rPr>
          <w:rFonts w:ascii="Calibri" w:hAnsi="Calibri" w:cs="Calibri"/>
          <w:color w:val="000000" w:themeColor="text1"/>
          <w:sz w:val="22"/>
          <w:szCs w:val="22"/>
        </w:rPr>
        <w:t xml:space="preserve"> changes to state benefits and will continue to change</w:t>
      </w:r>
      <w:r>
        <w:rPr>
          <w:rStyle w:val="FootnoteReference"/>
          <w:rFonts w:ascii="Calibri" w:hAnsi="Calibri" w:cs="Calibri"/>
          <w:color w:val="000000" w:themeColor="text1"/>
          <w:sz w:val="22"/>
          <w:szCs w:val="22"/>
        </w:rPr>
        <w:footnoteReference w:id="10"/>
      </w:r>
      <w:r w:rsidRPr="00F46367">
        <w:rPr>
          <w:rFonts w:ascii="Calibri" w:hAnsi="Calibri" w:cs="Calibri"/>
          <w:color w:val="000000" w:themeColor="text1"/>
          <w:sz w:val="22"/>
          <w:szCs w:val="22"/>
        </w:rPr>
        <w:t>. While officially</w:t>
      </w:r>
      <w:r w:rsidRPr="00F46367">
        <w:rPr>
          <w:rFonts w:ascii="Calibri" w:hAnsi="Calibri" w:cs="Calibri"/>
          <w:color w:val="000000" w:themeColor="text1"/>
          <w:sz w:val="22"/>
          <w:szCs w:val="22"/>
          <w:shd w:val="clear" w:color="auto" w:fill="FFFFFF"/>
        </w:rPr>
        <w:t xml:space="preserve"> “disadvantage” is defined as having been eligible for free school meals (</w:t>
      </w:r>
      <w:r w:rsidRPr="00F46367">
        <w:rPr>
          <w:rFonts w:ascii="Calibri" w:hAnsi="Calibri" w:cs="Calibri"/>
          <w:color w:val="000000" w:themeColor="text1"/>
          <w:sz w:val="22"/>
          <w:szCs w:val="22"/>
        </w:rPr>
        <w:t>FSM)</w:t>
      </w:r>
      <w:r w:rsidRPr="00F46367">
        <w:rPr>
          <w:rFonts w:ascii="Calibri" w:hAnsi="Calibri" w:cs="Calibri"/>
          <w:color w:val="000000" w:themeColor="text1"/>
          <w:sz w:val="22"/>
          <w:szCs w:val="22"/>
          <w:shd w:val="clear" w:color="auto" w:fill="FFFFFF"/>
        </w:rPr>
        <w:t> in the past six years (or looked after by a local authority, including previously looked after children), due to t</w:t>
      </w:r>
      <w:r w:rsidRPr="00F46367">
        <w:rPr>
          <w:rFonts w:ascii="Calibri" w:hAnsi="Calibri" w:cs="Calibri"/>
          <w:color w:val="000000" w:themeColor="text1"/>
          <w:sz w:val="22"/>
          <w:szCs w:val="22"/>
        </w:rPr>
        <w:t>ransitional protections</w:t>
      </w:r>
      <w:r>
        <w:rPr>
          <w:rStyle w:val="FootnoteReference"/>
          <w:rFonts w:ascii="Calibri" w:hAnsi="Calibri" w:cs="Calibri"/>
          <w:color w:val="000000" w:themeColor="text1"/>
          <w:sz w:val="22"/>
          <w:szCs w:val="22"/>
        </w:rPr>
        <w:footnoteReference w:id="11"/>
      </w:r>
      <w:r w:rsidRPr="00F46367">
        <w:rPr>
          <w:rFonts w:ascii="Calibri" w:hAnsi="Calibri" w:cs="Calibri"/>
          <w:color w:val="000000" w:themeColor="text1"/>
          <w:sz w:val="22"/>
          <w:szCs w:val="22"/>
        </w:rPr>
        <w:t xml:space="preserve"> associated with the rollout of Universal Credit</w:t>
      </w:r>
      <w:r w:rsidRPr="00F46367">
        <w:rPr>
          <w:rFonts w:ascii="Calibri" w:hAnsi="Calibri" w:cs="Calibri"/>
          <w:color w:val="000000" w:themeColor="text1"/>
          <w:sz w:val="22"/>
          <w:szCs w:val="22"/>
          <w:shd w:val="clear" w:color="auto" w:fill="FFFFFF"/>
        </w:rPr>
        <w:t xml:space="preserve">, </w:t>
      </w:r>
      <w:r w:rsidRPr="00F46367">
        <w:rPr>
          <w:rFonts w:ascii="Calibri" w:hAnsi="Calibri" w:cs="Calibri"/>
          <w:color w:val="000000" w:themeColor="text1"/>
          <w:sz w:val="22"/>
          <w:szCs w:val="22"/>
        </w:rPr>
        <w:t>at the end of the 2025/26 academic year, the disadvantaged group will actually be based on pupils eligible for FSM in the past eight years</w:t>
      </w:r>
      <w:r>
        <w:rPr>
          <w:rStyle w:val="FootnoteReference"/>
          <w:rFonts w:ascii="Calibri" w:hAnsi="Calibri" w:cs="Calibri"/>
          <w:color w:val="000000" w:themeColor="text1"/>
          <w:sz w:val="22"/>
          <w:szCs w:val="22"/>
        </w:rPr>
        <w:footnoteReference w:id="12"/>
      </w:r>
      <w:r w:rsidRPr="00F46367">
        <w:rPr>
          <w:rFonts w:ascii="Calibri" w:hAnsi="Calibri" w:cs="Calibri"/>
          <w:color w:val="000000" w:themeColor="text1"/>
          <w:sz w:val="22"/>
          <w:szCs w:val="22"/>
        </w:rPr>
        <w:t>. It will also include pupils whose eligibility began both before and after the introduction of a £7,400 household income threshold.</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Secondly, the methodology for calculating the Attainment 8 measure will change over time</w:t>
      </w:r>
      <w:r>
        <w:rPr>
          <w:rStyle w:val="FootnoteReference"/>
          <w:rFonts w:ascii="Calibri" w:hAnsi="Calibri" w:cs="Calibri"/>
          <w:color w:val="000000" w:themeColor="text1"/>
          <w:sz w:val="22"/>
          <w:szCs w:val="22"/>
        </w:rPr>
        <w:footnoteReference w:id="13"/>
      </w:r>
      <w:r w:rsidRPr="00F46367">
        <w:rPr>
          <w:rFonts w:ascii="Calibri" w:hAnsi="Calibri" w:cs="Calibri"/>
          <w:color w:val="000000" w:themeColor="text1"/>
          <w:sz w:val="22"/>
          <w:szCs w:val="22"/>
        </w:rPr>
        <w:t xml:space="preserve">, which we return to below.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Put together, this means we do not have a reliable baseline measure of the Key Stage 4 disadvantage gap. However, we welcome the White Paper’s pledge to “establish a reference group of leading educational research organisations to monitor progress and keep targets consistent as the system evolves.”</w:t>
      </w:r>
    </w:p>
    <w:p w:rsidR="00C22E7F" w:rsidRPr="00F46367" w:rsidP="00292E93">
      <w:pPr>
        <w:pStyle w:val="Heading1"/>
        <w:rPr>
          <w:rFonts w:ascii="Calibri" w:hAnsi="Calibri" w:cs="Calibri"/>
          <w:sz w:val="22"/>
          <w:szCs w:val="22"/>
        </w:rPr>
      </w:pPr>
    </w:p>
    <w:p w:rsidR="00C22E7F" w:rsidRPr="00F46367" w:rsidP="00292E93">
      <w:pPr>
        <w:pStyle w:val="Heading1"/>
        <w:rPr>
          <w:rFonts w:ascii="Calibri" w:hAnsi="Calibri" w:cs="Calibri"/>
          <w:sz w:val="22"/>
          <w:szCs w:val="22"/>
        </w:rPr>
      </w:pPr>
      <w:r w:rsidRPr="00F46367">
        <w:rPr>
          <w:rFonts w:ascii="Calibri" w:hAnsi="Calibri" w:cs="Calibri"/>
          <w:sz w:val="22"/>
          <w:szCs w:val="22"/>
        </w:rPr>
        <w:t xml:space="preserve">2. </w:t>
      </w:r>
      <w:r w:rsidRPr="00F46367">
        <w:rPr>
          <w:rFonts w:ascii="Calibri" w:hAnsi="Calibri" w:cs="Calibri"/>
          <w:sz w:val="22"/>
          <w:szCs w:val="22"/>
        </w:rPr>
        <w:t>Raising attainment: t</w:t>
      </w:r>
      <w:r w:rsidRPr="00F46367">
        <w:rPr>
          <w:rFonts w:ascii="Calibri" w:hAnsi="Calibri" w:cs="Calibri"/>
          <w:sz w:val="22"/>
          <w:szCs w:val="22"/>
        </w:rPr>
        <w:t>he proposed reforms to accountability measures, including Progress 8, Attainment 8, and new measures for low and high attainers</w:t>
      </w:r>
    </w:p>
    <w:p w:rsidR="00C22E7F" w:rsidRPr="00F46367" w:rsidP="004101FF">
      <w:pPr>
        <w:pStyle w:val="Heading2"/>
        <w:spacing w:before="120" w:after="120" w:line="264" w:lineRule="auto"/>
        <w:rPr>
          <w:rFonts w:ascii="Calibri" w:hAnsi="Calibri" w:cs="Calibri"/>
        </w:rPr>
      </w:pPr>
      <w:r w:rsidRPr="00F46367">
        <w:rPr>
          <w:rFonts w:ascii="Calibri" w:hAnsi="Calibri" w:cs="Calibri"/>
        </w:rPr>
        <w:t>Proposed changes to Attainment 8 and Progress 8</w:t>
      </w:r>
      <w:r w:rsidRPr="00F46367">
        <w:rPr>
          <w:rFonts w:ascii="Calibri" w:hAnsi="Calibri" w:cs="Calibri"/>
        </w:rPr>
        <w:t xml:space="preserve"> accountability measures</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The changes to Attainment 8 and Progress 8 proposed in the White Paper are designed </w:t>
      </w:r>
      <w:r w:rsidRPr="00F46367">
        <w:rPr>
          <w:rFonts w:ascii="Calibri" w:hAnsi="Calibri" w:cs="Calibri"/>
          <w:color w:val="000000" w:themeColor="text1"/>
          <w:sz w:val="22"/>
          <w:szCs w:val="22"/>
        </w:rPr>
        <w:t>to</w:t>
      </w:r>
      <w:r w:rsidRPr="00F46367">
        <w:rPr>
          <w:rFonts w:ascii="Calibri" w:hAnsi="Calibri" w:cs="Calibri"/>
          <w:color w:val="000000" w:themeColor="text1"/>
          <w:sz w:val="22"/>
          <w:szCs w:val="22"/>
        </w:rPr>
        <w:t xml:space="preserve"> encourage breadth in the subjects taken by pupils at Key Stage 4. Specifically, while</w:t>
      </w:r>
      <w:r w:rsidRPr="00F46367">
        <w:rPr>
          <w:rFonts w:ascii="Calibri" w:hAnsi="Calibri" w:cs="Calibri"/>
          <w:color w:val="000000" w:themeColor="text1"/>
          <w:sz w:val="22"/>
          <w:szCs w:val="22"/>
        </w:rPr>
        <w:t xml:space="preserve"> the current measure</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xml:space="preserve"> incentivise</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take-up of subjects that contribute to the English Baccalaureate (EBacc), the proposed measure</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xml:space="preserve"> will additionally incentivise take-up of creative subjects.   </w:t>
      </w:r>
      <w:r w:rsidRPr="00F46367">
        <w:rPr>
          <w:rFonts w:ascii="Calibri" w:hAnsi="Calibri" w:cs="Calibri"/>
          <w:color w:val="000000" w:themeColor="text1"/>
          <w:sz w:val="22"/>
          <w:szCs w:val="22"/>
        </w:rPr>
        <w:t xml:space="preserve">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In a recent blog</w:t>
      </w:r>
      <w:r>
        <w:rPr>
          <w:rStyle w:val="FootnoteReference"/>
          <w:rFonts w:ascii="Calibri" w:hAnsi="Calibri" w:cs="Calibri"/>
          <w:color w:val="000000" w:themeColor="text1"/>
          <w:sz w:val="22"/>
          <w:szCs w:val="22"/>
        </w:rPr>
        <w:footnoteReference w:id="14"/>
      </w:r>
      <w:r w:rsidRPr="00F46367">
        <w:rPr>
          <w:rFonts w:ascii="Calibri" w:hAnsi="Calibri" w:cs="Calibri"/>
          <w:color w:val="000000" w:themeColor="text1"/>
          <w:sz w:val="22"/>
          <w:szCs w:val="22"/>
        </w:rPr>
        <w:t>, we set out some analysis of the likely impact of the proposed changes</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We find that in 2024 around 68% of pupils</w:t>
      </w:r>
      <w:r w:rsidRPr="00F46367">
        <w:rPr>
          <w:rFonts w:ascii="Calibri" w:hAnsi="Calibri" w:cs="Calibri"/>
          <w:color w:val="000000" w:themeColor="text1"/>
          <w:sz w:val="22"/>
          <w:szCs w:val="22"/>
        </w:rPr>
        <w:t xml:space="preserve"> took a suite of subjects that “filled the slots” of (i.e. were compatible with)</w:t>
      </w:r>
      <w:r w:rsidRPr="00F46367">
        <w:rPr>
          <w:rFonts w:ascii="Calibri" w:hAnsi="Calibri" w:cs="Calibri"/>
          <w:color w:val="000000" w:themeColor="text1"/>
          <w:sz w:val="22"/>
          <w:szCs w:val="22"/>
        </w:rPr>
        <w:t xml:space="preserve"> the new Attainment 8 measure, </w:t>
      </w:r>
      <w:r w:rsidRPr="00F46367">
        <w:rPr>
          <w:rFonts w:ascii="Calibri" w:hAnsi="Calibri" w:cs="Calibri"/>
          <w:color w:val="000000" w:themeColor="text1"/>
          <w:sz w:val="22"/>
          <w:szCs w:val="22"/>
        </w:rPr>
        <w:t xml:space="preserve">compared with </w:t>
      </w:r>
      <w:r w:rsidRPr="00F46367">
        <w:rPr>
          <w:rFonts w:ascii="Calibri" w:hAnsi="Calibri" w:cs="Calibri"/>
          <w:color w:val="000000" w:themeColor="text1"/>
          <w:sz w:val="22"/>
          <w:szCs w:val="22"/>
        </w:rPr>
        <w:t xml:space="preserve">85% </w:t>
      </w:r>
      <w:r w:rsidRPr="00F46367">
        <w:rPr>
          <w:rFonts w:ascii="Calibri" w:hAnsi="Calibri" w:cs="Calibri"/>
          <w:color w:val="000000" w:themeColor="text1"/>
          <w:sz w:val="22"/>
          <w:szCs w:val="22"/>
        </w:rPr>
        <w:t>that filled the slots of</w:t>
      </w:r>
      <w:r w:rsidRPr="00F46367">
        <w:rPr>
          <w:rFonts w:ascii="Calibri" w:hAnsi="Calibri" w:cs="Calibri"/>
          <w:color w:val="000000" w:themeColor="text1"/>
          <w:sz w:val="22"/>
          <w:szCs w:val="22"/>
        </w:rPr>
        <w:t xml:space="preserve"> the prevailing version.</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When </w:t>
      </w:r>
      <w:r w:rsidRPr="00F46367">
        <w:rPr>
          <w:rFonts w:ascii="Calibri" w:hAnsi="Calibri" w:cs="Calibri"/>
          <w:color w:val="000000" w:themeColor="text1"/>
          <w:sz w:val="22"/>
          <w:szCs w:val="22"/>
        </w:rPr>
        <w:t xml:space="preserve">Attainment 8 and </w:t>
      </w:r>
      <w:r w:rsidRPr="00F46367">
        <w:rPr>
          <w:rFonts w:ascii="Calibri" w:hAnsi="Calibri" w:cs="Calibri"/>
          <w:color w:val="000000" w:themeColor="text1"/>
          <w:sz w:val="22"/>
          <w:szCs w:val="22"/>
        </w:rPr>
        <w:t>Progress 8 w</w:t>
      </w:r>
      <w:r w:rsidRPr="00F46367">
        <w:rPr>
          <w:rFonts w:ascii="Calibri" w:hAnsi="Calibri" w:cs="Calibri"/>
          <w:color w:val="000000" w:themeColor="text1"/>
          <w:sz w:val="22"/>
          <w:szCs w:val="22"/>
        </w:rPr>
        <w:t>ere</w:t>
      </w:r>
      <w:r w:rsidRPr="00F46367">
        <w:rPr>
          <w:rFonts w:ascii="Calibri" w:hAnsi="Calibri" w:cs="Calibri"/>
          <w:color w:val="000000" w:themeColor="text1"/>
          <w:sz w:val="22"/>
          <w:szCs w:val="22"/>
        </w:rPr>
        <w:t xml:space="preserve"> introduced</w:t>
      </w:r>
      <w:r w:rsidRPr="00F46367">
        <w:rPr>
          <w:rFonts w:ascii="Calibri" w:hAnsi="Calibri" w:cs="Calibri"/>
          <w:color w:val="000000" w:themeColor="text1"/>
          <w:sz w:val="22"/>
          <w:szCs w:val="22"/>
        </w:rPr>
        <w:t xml:space="preserve"> as headline accountability measure</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xml:space="preserve"> in 2015/16</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following a pilot the previous year</w:t>
      </w:r>
      <w:r w:rsidRPr="00F46367">
        <w:rPr>
          <w:rFonts w:ascii="Calibri" w:hAnsi="Calibri" w:cs="Calibri"/>
          <w:color w:val="000000" w:themeColor="text1"/>
          <w:sz w:val="22"/>
          <w:szCs w:val="22"/>
        </w:rPr>
        <w:t>, schools changed the</w:t>
      </w:r>
      <w:r w:rsidRPr="00F46367">
        <w:rPr>
          <w:rFonts w:ascii="Calibri" w:hAnsi="Calibri" w:cs="Calibri"/>
          <w:color w:val="000000" w:themeColor="text1"/>
          <w:sz w:val="22"/>
          <w:szCs w:val="22"/>
        </w:rPr>
        <w:t>ir pupils’ subjects</w:t>
      </w:r>
      <w:r w:rsidRPr="00F46367">
        <w:rPr>
          <w:rFonts w:ascii="Calibri" w:hAnsi="Calibri" w:cs="Calibri"/>
          <w:color w:val="000000" w:themeColor="text1"/>
          <w:sz w:val="22"/>
          <w:szCs w:val="22"/>
        </w:rPr>
        <w:t xml:space="preserve"> substantially </w:t>
      </w:r>
      <w:r w:rsidRPr="00F46367">
        <w:rPr>
          <w:rFonts w:ascii="Calibri" w:hAnsi="Calibri" w:cs="Calibri"/>
          <w:color w:val="000000" w:themeColor="text1"/>
          <w:sz w:val="22"/>
          <w:szCs w:val="22"/>
        </w:rPr>
        <w:t>in order to</w:t>
      </w:r>
      <w:r w:rsidRPr="00F46367">
        <w:rPr>
          <w:rFonts w:ascii="Calibri" w:hAnsi="Calibri" w:cs="Calibri"/>
          <w:color w:val="000000" w:themeColor="text1"/>
          <w:sz w:val="22"/>
          <w:szCs w:val="22"/>
        </w:rPr>
        <w:t xml:space="preserve"> fill the slots of </w:t>
      </w:r>
      <w:r w:rsidRPr="00F46367">
        <w:rPr>
          <w:rFonts w:ascii="Calibri" w:hAnsi="Calibri" w:cs="Calibri"/>
          <w:color w:val="000000" w:themeColor="text1"/>
          <w:sz w:val="22"/>
          <w:szCs w:val="22"/>
        </w:rPr>
        <w:t>the new measure</w:t>
      </w:r>
      <w:r w:rsidRPr="00F46367">
        <w:rPr>
          <w:rFonts w:ascii="Calibri" w:hAnsi="Calibri" w:cs="Calibri"/>
          <w:color w:val="000000" w:themeColor="text1"/>
          <w:sz w:val="22"/>
          <w:szCs w:val="22"/>
        </w:rPr>
        <w:t>s</w:t>
      </w:r>
      <w:r w:rsidRPr="00F46367">
        <w:rPr>
          <w:rFonts w:ascii="Calibri" w:hAnsi="Calibri" w:cs="Calibri"/>
          <w:color w:val="000000" w:themeColor="text1"/>
          <w:sz w:val="22"/>
          <w:szCs w:val="22"/>
        </w:rPr>
        <w:t>. For example, the percentage of pupils entered for GCSEs in 2 science subjects increased from 76% in 2014/15 to 89% in 2015/16 and then to 96% by 2017/18</w:t>
      </w:r>
      <w:r>
        <w:rPr>
          <w:rStyle w:val="FootnoteReference"/>
          <w:rFonts w:ascii="Calibri" w:hAnsi="Calibri" w:cs="Calibri"/>
          <w:color w:val="000000" w:themeColor="text1"/>
          <w:sz w:val="22"/>
          <w:szCs w:val="22"/>
        </w:rPr>
        <w:footnoteReference w:id="15"/>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We conclude, therefore, </w:t>
      </w:r>
      <w:r w:rsidRPr="00F46367">
        <w:rPr>
          <w:rFonts w:ascii="Calibri" w:hAnsi="Calibri" w:cs="Calibri"/>
          <w:color w:val="000000" w:themeColor="text1"/>
          <w:sz w:val="22"/>
          <w:szCs w:val="22"/>
        </w:rPr>
        <w:t xml:space="preserve">that as long as Attainment 8 and Progress 8 remain prominent headline accountability measures, </w:t>
      </w:r>
      <w:r w:rsidRPr="00F46367">
        <w:rPr>
          <w:rFonts w:ascii="Calibri" w:hAnsi="Calibri" w:cs="Calibri"/>
          <w:color w:val="000000" w:themeColor="text1"/>
          <w:sz w:val="22"/>
          <w:szCs w:val="22"/>
        </w:rPr>
        <w:t>it is highly likely that qualification entry patterns will change</w:t>
      </w:r>
      <w:r w:rsidRPr="00F46367">
        <w:rPr>
          <w:rFonts w:ascii="Calibri" w:hAnsi="Calibri" w:cs="Calibri"/>
          <w:color w:val="000000" w:themeColor="text1"/>
          <w:sz w:val="22"/>
          <w:szCs w:val="22"/>
        </w:rPr>
        <w:t xml:space="preserve"> in response to the proposed changes</w:t>
      </w:r>
      <w:r w:rsidRPr="00F46367">
        <w:rPr>
          <w:rFonts w:ascii="Calibri" w:hAnsi="Calibri" w:cs="Calibri"/>
          <w:color w:val="000000" w:themeColor="text1"/>
          <w:sz w:val="22"/>
          <w:szCs w:val="22"/>
        </w:rPr>
        <w:t>.</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Most of this will be driven by the two new “breadth” slots. The </w:t>
      </w:r>
      <w:r w:rsidRPr="00F46367">
        <w:rPr>
          <w:rFonts w:ascii="Calibri" w:hAnsi="Calibri" w:cs="Calibri"/>
          <w:color w:val="000000" w:themeColor="text1"/>
          <w:sz w:val="22"/>
          <w:szCs w:val="22"/>
        </w:rPr>
        <w:t>DfE</w:t>
      </w:r>
      <w:r w:rsidRPr="00F46367">
        <w:rPr>
          <w:rFonts w:ascii="Calibri" w:hAnsi="Calibri" w:cs="Calibri"/>
          <w:color w:val="000000" w:themeColor="text1"/>
          <w:sz w:val="22"/>
          <w:szCs w:val="22"/>
        </w:rPr>
        <w:t xml:space="preserve"> proposal is that these can be filled by subjects from the following groups: humanities, creative subjects and languages, with a maximum of one subject counting per group.</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Given that most pupils already enter a humanities subject, we </w:t>
      </w:r>
      <w:r w:rsidRPr="00F46367">
        <w:rPr>
          <w:rFonts w:ascii="Calibri" w:hAnsi="Calibri" w:cs="Calibri"/>
          <w:color w:val="000000" w:themeColor="text1"/>
          <w:sz w:val="22"/>
          <w:szCs w:val="22"/>
        </w:rPr>
        <w:t>might expect</w:t>
      </w:r>
      <w:r w:rsidRPr="00F46367">
        <w:rPr>
          <w:rFonts w:ascii="Calibri" w:hAnsi="Calibri" w:cs="Calibri"/>
          <w:color w:val="000000" w:themeColor="text1"/>
          <w:sz w:val="22"/>
          <w:szCs w:val="22"/>
        </w:rPr>
        <w:t xml:space="preserve"> to see </w:t>
      </w:r>
      <w:r w:rsidRPr="00F46367">
        <w:rPr>
          <w:rFonts w:ascii="Calibri" w:hAnsi="Calibri" w:cs="Calibri"/>
          <w:color w:val="000000" w:themeColor="text1"/>
          <w:sz w:val="22"/>
          <w:szCs w:val="22"/>
        </w:rPr>
        <w:t xml:space="preserve">increased entries in creative subjects and languages. </w:t>
      </w:r>
      <w:r w:rsidRPr="00F46367">
        <w:rPr>
          <w:rFonts w:ascii="Calibri" w:hAnsi="Calibri" w:cs="Calibri"/>
          <w:color w:val="000000" w:themeColor="text1"/>
          <w:sz w:val="22"/>
          <w:szCs w:val="22"/>
        </w:rPr>
        <w:t>However, because languages are so harshly graded</w:t>
      </w:r>
      <w:r>
        <w:rPr>
          <w:rStyle w:val="FootnoteReference"/>
          <w:rFonts w:ascii="Calibri" w:hAnsi="Calibri" w:cs="Calibri"/>
          <w:color w:val="000000" w:themeColor="text1"/>
          <w:sz w:val="22"/>
          <w:szCs w:val="22"/>
        </w:rPr>
        <w:footnoteReference w:id="16"/>
      </w:r>
      <w:r w:rsidRPr="00F46367">
        <w:rPr>
          <w:rFonts w:ascii="Calibri" w:hAnsi="Calibri" w:cs="Calibri"/>
          <w:color w:val="000000" w:themeColor="text1"/>
          <w:sz w:val="22"/>
          <w:szCs w:val="22"/>
        </w:rPr>
        <w:t>, and because of difficulties in recruiting language teachers</w:t>
      </w:r>
      <w:r>
        <w:rPr>
          <w:rStyle w:val="FootnoteReference"/>
          <w:rFonts w:ascii="Calibri" w:hAnsi="Calibri" w:cs="Calibri"/>
          <w:color w:val="000000" w:themeColor="text1"/>
          <w:sz w:val="22"/>
          <w:szCs w:val="22"/>
        </w:rPr>
        <w:footnoteReference w:id="17"/>
      </w:r>
      <w:r w:rsidRPr="00F46367">
        <w:rPr>
          <w:rFonts w:ascii="Calibri" w:hAnsi="Calibri" w:cs="Calibri"/>
          <w:color w:val="000000" w:themeColor="text1"/>
          <w:sz w:val="22"/>
          <w:szCs w:val="22"/>
        </w:rPr>
        <w:t>, w</w:t>
      </w:r>
      <w:r w:rsidRPr="00F46367">
        <w:rPr>
          <w:rFonts w:ascii="Calibri" w:hAnsi="Calibri" w:cs="Calibri"/>
          <w:color w:val="000000" w:themeColor="text1"/>
          <w:sz w:val="22"/>
          <w:szCs w:val="22"/>
        </w:rPr>
        <w:t>e expect the increase to be greater in creative subjects.</w:t>
      </w:r>
      <w:r w:rsidRPr="00F46367">
        <w:rPr>
          <w:rFonts w:ascii="Calibri" w:hAnsi="Calibri" w:cs="Calibri"/>
          <w:color w:val="000000" w:themeColor="text1"/>
          <w:sz w:val="22"/>
          <w:szCs w:val="22"/>
        </w:rPr>
        <w:t xml:space="preserve"> Such increases are </w:t>
      </w:r>
      <w:r w:rsidRPr="00F46367">
        <w:rPr>
          <w:rFonts w:ascii="Calibri" w:hAnsi="Calibri" w:cs="Calibri"/>
          <w:color w:val="000000" w:themeColor="text1"/>
          <w:sz w:val="22"/>
          <w:szCs w:val="22"/>
        </w:rPr>
        <w:t>likely to come at the expense of some of the EBacc subjects, particularly where pupils are taking 3 or more science qualifications or 2 or more humanities qualifications.</w:t>
      </w:r>
    </w:p>
    <w:p w:rsidR="00C22E7F" w:rsidRPr="00F46367" w:rsidP="004101FF">
      <w:pPr>
        <w:spacing w:before="120" w:after="120" w:line="264" w:lineRule="auto"/>
        <w:rPr>
          <w:rFonts w:ascii="Calibri" w:hAnsi="Calibri" w:cs="Calibri"/>
          <w:color w:val="000000" w:themeColor="text1"/>
          <w:spacing w:val="-5"/>
          <w:sz w:val="22"/>
          <w:szCs w:val="22"/>
        </w:rPr>
      </w:pPr>
      <w:r w:rsidRPr="00F46367">
        <w:rPr>
          <w:rFonts w:ascii="Calibri" w:hAnsi="Calibri" w:cs="Calibri"/>
          <w:color w:val="000000" w:themeColor="text1"/>
          <w:spacing w:val="-5"/>
          <w:sz w:val="22"/>
          <w:szCs w:val="22"/>
        </w:rPr>
        <w:t xml:space="preserve">An alternative option being considered by </w:t>
      </w:r>
      <w:r w:rsidRPr="00F46367">
        <w:rPr>
          <w:rFonts w:ascii="Calibri" w:hAnsi="Calibri" w:cs="Calibri"/>
          <w:color w:val="000000" w:themeColor="text1"/>
          <w:spacing w:val="-5"/>
          <w:sz w:val="22"/>
          <w:szCs w:val="22"/>
        </w:rPr>
        <w:t>DfE</w:t>
      </w:r>
      <w:r w:rsidRPr="00F46367">
        <w:rPr>
          <w:rFonts w:ascii="Calibri" w:hAnsi="Calibri" w:cs="Calibri"/>
          <w:color w:val="000000" w:themeColor="text1"/>
          <w:spacing w:val="-5"/>
          <w:sz w:val="22"/>
          <w:szCs w:val="22"/>
        </w:rPr>
        <w:t xml:space="preserve"> is a variation (known as “variation 4”) of the methodology in which science can be added to the breadth slots along with creative subjects, humanities and languages. Our analysis shows that more pupils would fill all their slots under v</w:t>
      </w:r>
      <w:r w:rsidRPr="00F46367">
        <w:rPr>
          <w:rFonts w:ascii="Calibri" w:hAnsi="Calibri" w:cs="Calibri"/>
          <w:color w:val="000000" w:themeColor="text1"/>
          <w:spacing w:val="-5"/>
          <w:sz w:val="22"/>
          <w:szCs w:val="22"/>
        </w:rPr>
        <w:t>ariation 4 based on current entry patterns. Therefore, if the aim is to broaden the curriculum, then variation 4 dilutes that aim.</w:t>
      </w:r>
    </w:p>
    <w:p w:rsidR="00C22E7F" w:rsidRPr="00F46367" w:rsidP="004101FF">
      <w:pPr>
        <w:spacing w:before="120" w:after="120" w:line="264" w:lineRule="auto"/>
        <w:rPr>
          <w:rFonts w:ascii="Calibri" w:hAnsi="Calibri" w:cs="Calibri"/>
          <w:color w:val="000000" w:themeColor="text1"/>
          <w:spacing w:val="-5"/>
          <w:sz w:val="22"/>
          <w:szCs w:val="22"/>
        </w:rPr>
      </w:pPr>
      <w:r w:rsidRPr="00F46367">
        <w:rPr>
          <w:rFonts w:ascii="Calibri" w:hAnsi="Calibri" w:cs="Calibri"/>
          <w:color w:val="000000" w:themeColor="text1"/>
          <w:sz w:val="22"/>
          <w:szCs w:val="22"/>
        </w:rPr>
        <w:t>We also calculate</w:t>
      </w:r>
      <w:r w:rsidRPr="00F46367">
        <w:rPr>
          <w:rFonts w:ascii="Calibri" w:hAnsi="Calibri" w:cs="Calibri"/>
          <w:color w:val="000000" w:themeColor="text1"/>
          <w:sz w:val="22"/>
          <w:szCs w:val="22"/>
        </w:rPr>
        <w:t xml:space="preserve"> retrospectively</w:t>
      </w:r>
      <w:r w:rsidRPr="00F46367">
        <w:rPr>
          <w:rFonts w:ascii="Calibri" w:hAnsi="Calibri" w:cs="Calibri"/>
          <w:color w:val="000000" w:themeColor="text1"/>
          <w:sz w:val="22"/>
          <w:szCs w:val="22"/>
        </w:rPr>
        <w:t xml:space="preserve"> schools’ Progress 8 scores using the proposed</w:t>
      </w:r>
      <w:r w:rsidRPr="00F46367">
        <w:rPr>
          <w:rFonts w:ascii="Calibri" w:hAnsi="Calibri" w:cs="Calibri"/>
          <w:color w:val="000000" w:themeColor="text1"/>
          <w:sz w:val="22"/>
          <w:szCs w:val="22"/>
        </w:rPr>
        <w:t xml:space="preserve"> methodology (ignoring variation 4)</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for pupils who completed Key Stage 4 in</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2023/24, </w:t>
      </w:r>
      <w:r w:rsidRPr="00F46367">
        <w:rPr>
          <w:rFonts w:ascii="Calibri" w:hAnsi="Calibri" w:cs="Calibri"/>
          <w:color w:val="000000" w:themeColor="text1"/>
          <w:sz w:val="22"/>
          <w:szCs w:val="22"/>
        </w:rPr>
        <w:t>and</w:t>
      </w:r>
      <w:r w:rsidRPr="00F46367">
        <w:rPr>
          <w:rFonts w:ascii="Calibri" w:hAnsi="Calibri" w:cs="Calibri"/>
          <w:color w:val="000000" w:themeColor="text1"/>
          <w:sz w:val="22"/>
          <w:szCs w:val="22"/>
        </w:rPr>
        <w:t xml:space="preserve"> find that </w:t>
      </w:r>
      <w:r w:rsidRPr="00F46367">
        <w:rPr>
          <w:rFonts w:ascii="Calibri" w:hAnsi="Calibri" w:cs="Calibri"/>
          <w:color w:val="000000" w:themeColor="text1"/>
          <w:sz w:val="22"/>
          <w:szCs w:val="22"/>
        </w:rPr>
        <w:t>it would have made very little difference to most schools’ scores. In a separate analysis</w:t>
      </w:r>
      <w:r>
        <w:rPr>
          <w:rStyle w:val="FootnoteReference"/>
          <w:rFonts w:ascii="Calibri" w:hAnsi="Calibri" w:cs="Calibri"/>
          <w:color w:val="000000" w:themeColor="text1"/>
          <w:sz w:val="22"/>
          <w:szCs w:val="22"/>
        </w:rPr>
        <w:footnoteReference w:id="18"/>
      </w:r>
      <w:r w:rsidRPr="00F46367">
        <w:rPr>
          <w:rFonts w:ascii="Calibri" w:hAnsi="Calibri" w:cs="Calibri"/>
          <w:color w:val="000000" w:themeColor="text1"/>
          <w:sz w:val="22"/>
          <w:szCs w:val="22"/>
        </w:rPr>
        <w:t xml:space="preserve">, we find that </w:t>
      </w:r>
      <w:r w:rsidRPr="00F46367">
        <w:rPr>
          <w:rFonts w:ascii="Calibri" w:hAnsi="Calibri" w:cs="Calibri"/>
          <w:color w:val="000000" w:themeColor="text1"/>
          <w:spacing w:val="-5"/>
          <w:sz w:val="22"/>
          <w:szCs w:val="22"/>
        </w:rPr>
        <w:t>3,019 schools (92%) would have achieved a Progress 8 score under the new methodology within 0.1 points of their existing score.</w:t>
      </w:r>
      <w:r w:rsidRPr="00F46367">
        <w:rPr>
          <w:rFonts w:ascii="Calibri" w:hAnsi="Calibri" w:cs="Calibri"/>
          <w:color w:val="000000" w:themeColor="text1"/>
          <w:spacing w:val="-5"/>
          <w:sz w:val="22"/>
          <w:szCs w:val="22"/>
        </w:rPr>
        <w:t xml:space="preserve"> </w:t>
      </w:r>
      <w:r w:rsidRPr="00F46367">
        <w:rPr>
          <w:rFonts w:ascii="Calibri" w:hAnsi="Calibri" w:cs="Calibri"/>
          <w:color w:val="000000" w:themeColor="text1"/>
          <w:spacing w:val="-5"/>
          <w:sz w:val="22"/>
          <w:szCs w:val="22"/>
        </w:rPr>
        <w:t>By contrast, 35 schools changed by more than 0.2. Specifically, their score under the new methodology would have been 0.2 points lower. These tend to be schools with curricula not well-aligned with the proposed new methodology including 22 studio schools and university technical colleges.</w:t>
      </w:r>
    </w:p>
    <w:p w:rsidR="00C22E7F" w:rsidRPr="00F46367" w:rsidP="004101FF">
      <w:pPr>
        <w:pStyle w:val="Heading2"/>
        <w:spacing w:before="120" w:after="120" w:line="264" w:lineRule="auto"/>
        <w:rPr>
          <w:rFonts w:ascii="Calibri" w:hAnsi="Calibri" w:cs="Calibri"/>
        </w:rPr>
      </w:pPr>
      <w:r w:rsidRPr="00F46367">
        <w:rPr>
          <w:rFonts w:ascii="Calibri" w:hAnsi="Calibri" w:cs="Calibri"/>
        </w:rPr>
        <w:t xml:space="preserve">New measures </w:t>
      </w:r>
      <w:r w:rsidRPr="00F46367">
        <w:rPr>
          <w:rFonts w:ascii="Calibri" w:hAnsi="Calibri" w:cs="Calibri"/>
        </w:rPr>
        <w:t>for low prior attainers</w:t>
      </w:r>
      <w:r w:rsidRPr="00F46367">
        <w:rPr>
          <w:rFonts w:ascii="Calibri" w:hAnsi="Calibri" w:cs="Calibri"/>
        </w:rPr>
        <w:t xml:space="preserve"> (the proposed “best-fit progress” measure)</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The White Paper proposes a new “best-fit progress” measure for pupils with low prior attainment (LPA,</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defined as a mean scaled score in Key Stage 2 reading and maths tests below 100</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An associated proposal is also made to recalculate prior attainment for pupils with English as an additional language (EAL), using Key Stage 2 maths score alone</w:t>
      </w:r>
      <w:r w:rsidRPr="00F46367">
        <w:rPr>
          <w:rFonts w:ascii="Calibri" w:hAnsi="Calibri" w:cs="Calibri"/>
          <w:color w:val="000000" w:themeColor="text1"/>
          <w:sz w:val="22"/>
          <w:szCs w:val="22"/>
        </w:rPr>
        <w:t xml:space="preserve"> as prior attainment where it is higher than the average in reading and maths. The idea being that the reading score reflects a lack of proficiency in English when the tests were taken and so under-estimates their true prior attainment. This recalculated prior attainment would apply only to the best-fit progress measure.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The purpose appears to be twofold:</w:t>
      </w:r>
    </w:p>
    <w:p w:rsidR="00C22E7F" w:rsidRPr="00F46367" w:rsidP="004101FF">
      <w:pPr>
        <w:pStyle w:val="ListParagraph"/>
        <w:numPr>
          <w:ilvl w:val="0"/>
          <w:numId w:val="12"/>
        </w:numPr>
        <w:spacing w:before="120" w:after="120" w:line="264" w:lineRule="auto"/>
        <w:rPr>
          <w:rFonts w:ascii="Calibri" w:hAnsi="Calibri" w:cs="Calibri"/>
          <w:color w:val="000000" w:themeColor="text1"/>
          <w:sz w:val="22"/>
          <w:szCs w:val="22"/>
          <w:lang w:eastAsia="en-GB"/>
        </w:rPr>
      </w:pPr>
      <w:r w:rsidRPr="00F46367">
        <w:rPr>
          <w:rFonts w:ascii="Calibri" w:hAnsi="Calibri" w:cs="Calibri"/>
          <w:color w:val="000000" w:themeColor="text1"/>
          <w:sz w:val="22"/>
          <w:szCs w:val="22"/>
          <w:lang w:eastAsia="en-GB"/>
        </w:rPr>
        <w:t>A recognition that fill</w:t>
      </w:r>
      <w:r w:rsidRPr="00F46367">
        <w:rPr>
          <w:rFonts w:ascii="Calibri" w:hAnsi="Calibri" w:cs="Calibri"/>
          <w:color w:val="000000" w:themeColor="text1"/>
          <w:sz w:val="22"/>
          <w:szCs w:val="22"/>
          <w:lang w:eastAsia="en-GB"/>
        </w:rPr>
        <w:t>ing all</w:t>
      </w:r>
      <w:r w:rsidRPr="00F46367">
        <w:rPr>
          <w:rFonts w:ascii="Calibri" w:hAnsi="Calibri" w:cs="Calibri"/>
          <w:color w:val="000000" w:themeColor="text1"/>
          <w:sz w:val="22"/>
          <w:szCs w:val="22"/>
          <w:lang w:eastAsia="en-GB"/>
        </w:rPr>
        <w:t xml:space="preserve"> Attainment 8</w:t>
      </w:r>
      <w:r w:rsidRPr="00F46367">
        <w:rPr>
          <w:rFonts w:ascii="Calibri" w:hAnsi="Calibri" w:cs="Calibri"/>
          <w:color w:val="000000" w:themeColor="text1"/>
          <w:sz w:val="22"/>
          <w:szCs w:val="22"/>
          <w:lang w:eastAsia="en-GB"/>
        </w:rPr>
        <w:t xml:space="preserve"> </w:t>
      </w:r>
      <w:r w:rsidRPr="00F46367">
        <w:rPr>
          <w:rFonts w:ascii="Calibri" w:hAnsi="Calibri" w:cs="Calibri"/>
          <w:color w:val="000000" w:themeColor="text1"/>
          <w:sz w:val="22"/>
          <w:szCs w:val="22"/>
          <w:lang w:eastAsia="en-GB"/>
        </w:rPr>
        <w:t>/ Progress 8 slots</w:t>
      </w:r>
      <w:r w:rsidRPr="00F46367">
        <w:rPr>
          <w:rFonts w:ascii="Calibri" w:hAnsi="Calibri" w:cs="Calibri"/>
          <w:color w:val="000000" w:themeColor="text1"/>
          <w:sz w:val="22"/>
          <w:szCs w:val="22"/>
          <w:lang w:eastAsia="en-GB"/>
        </w:rPr>
        <w:t>, incentivised by the current accountability system, may not be suitable for all pupils</w:t>
      </w:r>
      <w:r w:rsidRPr="00F46367">
        <w:rPr>
          <w:rFonts w:ascii="Calibri" w:hAnsi="Calibri" w:cs="Calibri"/>
          <w:color w:val="000000" w:themeColor="text1"/>
          <w:sz w:val="22"/>
          <w:szCs w:val="22"/>
          <w:lang w:eastAsia="en-GB"/>
        </w:rPr>
        <w:t xml:space="preserve">.  </w:t>
      </w:r>
    </w:p>
    <w:p w:rsidR="00C22E7F" w:rsidRPr="00F46367" w:rsidP="004101FF">
      <w:pPr>
        <w:pStyle w:val="ListParagraph"/>
        <w:numPr>
          <w:ilvl w:val="0"/>
          <w:numId w:val="12"/>
        </w:numPr>
        <w:spacing w:before="120" w:after="120" w:line="264" w:lineRule="auto"/>
        <w:rPr>
          <w:rFonts w:ascii="Calibri" w:hAnsi="Calibri" w:cs="Calibri"/>
          <w:color w:val="000000" w:themeColor="text1"/>
          <w:sz w:val="22"/>
          <w:szCs w:val="22"/>
          <w:lang w:eastAsia="en-GB"/>
        </w:rPr>
      </w:pPr>
      <w:r w:rsidRPr="00F46367">
        <w:rPr>
          <w:rFonts w:ascii="Calibri" w:hAnsi="Calibri" w:cs="Calibri"/>
          <w:color w:val="000000" w:themeColor="text1"/>
          <w:sz w:val="22"/>
          <w:szCs w:val="22"/>
          <w:lang w:eastAsia="en-GB"/>
        </w:rPr>
        <w:t xml:space="preserve">A recognition that </w:t>
      </w:r>
      <w:r w:rsidRPr="00F46367">
        <w:rPr>
          <w:rFonts w:ascii="Calibri" w:hAnsi="Calibri" w:cs="Calibri"/>
          <w:color w:val="000000" w:themeColor="text1"/>
          <w:sz w:val="22"/>
          <w:szCs w:val="22"/>
          <w:lang w:eastAsia="en-GB"/>
        </w:rPr>
        <w:t>Progress</w:t>
      </w:r>
      <w:r w:rsidRPr="00F46367">
        <w:rPr>
          <w:rFonts w:ascii="Calibri" w:hAnsi="Calibri" w:cs="Calibri"/>
          <w:color w:val="000000" w:themeColor="text1"/>
          <w:sz w:val="22"/>
          <w:szCs w:val="22"/>
          <w:lang w:eastAsia="en-GB"/>
        </w:rPr>
        <w:t xml:space="preserve"> 8 scores are associated with pupil characteristics such as </w:t>
      </w:r>
      <w:r w:rsidRPr="00F46367">
        <w:rPr>
          <w:rFonts w:ascii="Calibri" w:hAnsi="Calibri" w:cs="Calibri"/>
          <w:color w:val="000000" w:themeColor="text1"/>
          <w:sz w:val="22"/>
          <w:szCs w:val="22"/>
          <w:lang w:eastAsia="en-GB"/>
        </w:rPr>
        <w:t>EAL</w:t>
      </w:r>
      <w:r w:rsidRPr="00F46367">
        <w:rPr>
          <w:rFonts w:ascii="Calibri" w:hAnsi="Calibri" w:cs="Calibri"/>
          <w:color w:val="000000" w:themeColor="text1"/>
          <w:sz w:val="22"/>
          <w:szCs w:val="22"/>
          <w:lang w:eastAsia="en-GB"/>
        </w:rPr>
        <w:t xml:space="preserve"> and special educational needs (SEN), particularly among the LPA group</w:t>
      </w:r>
      <w:r w:rsidRPr="00F46367">
        <w:rPr>
          <w:rFonts w:ascii="Calibri" w:hAnsi="Calibri" w:cs="Calibri"/>
          <w:color w:val="000000" w:themeColor="text1"/>
          <w:sz w:val="22"/>
          <w:szCs w:val="22"/>
          <w:lang w:eastAsia="en-GB"/>
        </w:rPr>
        <w:t>.</w:t>
      </w:r>
    </w:p>
    <w:p w:rsidR="00C22E7F" w:rsidRPr="00F46367" w:rsidP="007320D0">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We have set out some thoughts</w:t>
      </w:r>
      <w:r>
        <w:rPr>
          <w:rStyle w:val="FootnoteReference"/>
          <w:rFonts w:ascii="Calibri" w:hAnsi="Calibri" w:cs="Calibri"/>
          <w:color w:val="000000" w:themeColor="text1"/>
          <w:sz w:val="22"/>
          <w:szCs w:val="22"/>
        </w:rPr>
        <w:footnoteReference w:id="19"/>
      </w:r>
      <w:r w:rsidRPr="00F46367">
        <w:rPr>
          <w:rFonts w:ascii="Calibri" w:hAnsi="Calibri" w:cs="Calibri"/>
          <w:color w:val="000000" w:themeColor="text1"/>
          <w:sz w:val="22"/>
          <w:szCs w:val="22"/>
        </w:rPr>
        <w:t xml:space="preserve"> on the </w:t>
      </w:r>
      <w:r w:rsidRPr="00F46367">
        <w:rPr>
          <w:rFonts w:ascii="Calibri" w:hAnsi="Calibri" w:cs="Calibri"/>
          <w:color w:val="000000" w:themeColor="text1"/>
          <w:sz w:val="22"/>
          <w:szCs w:val="22"/>
        </w:rPr>
        <w:t xml:space="preserve">proposed </w:t>
      </w:r>
      <w:r w:rsidRPr="00F46367">
        <w:rPr>
          <w:rFonts w:ascii="Calibri" w:hAnsi="Calibri" w:cs="Calibri"/>
          <w:color w:val="000000" w:themeColor="text1"/>
          <w:sz w:val="22"/>
          <w:szCs w:val="22"/>
        </w:rPr>
        <w:t>measure</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Briefly, </w:t>
      </w:r>
      <w:r w:rsidRPr="00F46367">
        <w:rPr>
          <w:rFonts w:ascii="Calibri" w:hAnsi="Calibri" w:cs="Calibri"/>
          <w:color w:val="000000" w:themeColor="text1"/>
          <w:sz w:val="22"/>
          <w:szCs w:val="22"/>
        </w:rPr>
        <w:t>we find that it</w:t>
      </w:r>
      <w:r w:rsidRPr="00F46367">
        <w:rPr>
          <w:rFonts w:ascii="Calibri" w:hAnsi="Calibri" w:cs="Calibri"/>
          <w:color w:val="000000" w:themeColor="text1"/>
          <w:sz w:val="22"/>
          <w:szCs w:val="22"/>
        </w:rPr>
        <w:t xml:space="preserve"> goes a little way to reducing differences in progress scores among pupils with low prior attainment but with different characteristics such as EAL and SEN</w:t>
      </w:r>
      <w:r w:rsidRPr="00F46367">
        <w:rPr>
          <w:rFonts w:ascii="Calibri" w:hAnsi="Calibri" w:cs="Calibri"/>
          <w:color w:val="000000" w:themeColor="text1"/>
          <w:sz w:val="22"/>
          <w:szCs w:val="22"/>
        </w:rPr>
        <w:t>,</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but</w:t>
      </w:r>
      <w:r w:rsidRPr="00F46367">
        <w:rPr>
          <w:rFonts w:ascii="Calibri" w:hAnsi="Calibri" w:cs="Calibri"/>
          <w:color w:val="000000" w:themeColor="text1"/>
          <w:sz w:val="22"/>
          <w:szCs w:val="22"/>
        </w:rPr>
        <w:t xml:space="preserve"> it does not eliminate </w:t>
      </w:r>
      <w:r w:rsidRPr="00F46367">
        <w:rPr>
          <w:rFonts w:ascii="Calibri" w:hAnsi="Calibri" w:cs="Calibri"/>
          <w:color w:val="000000" w:themeColor="text1"/>
          <w:sz w:val="22"/>
          <w:szCs w:val="22"/>
        </w:rPr>
        <w:t>them</w:t>
      </w:r>
      <w:r w:rsidRPr="00F46367">
        <w:rPr>
          <w:rFonts w:ascii="Calibri" w:hAnsi="Calibri" w:cs="Calibri"/>
          <w:color w:val="000000" w:themeColor="text1"/>
          <w:sz w:val="22"/>
          <w:szCs w:val="22"/>
        </w:rPr>
        <w:t xml:space="preserve"> completely. </w:t>
      </w:r>
    </w:p>
    <w:p w:rsidR="00C22E7F" w:rsidRPr="00F46367" w:rsidP="004101FF">
      <w:pPr>
        <w:spacing w:before="120" w:after="120" w:line="264" w:lineRule="auto"/>
        <w:rPr>
          <w:rFonts w:ascii="Calibri" w:hAnsi="Calibri" w:cs="Calibri"/>
          <w:color w:val="000000" w:themeColor="text1"/>
          <w:sz w:val="22"/>
          <w:szCs w:val="22"/>
          <w:lang w:eastAsia="en-GB"/>
        </w:rPr>
      </w:pPr>
      <w:r w:rsidRPr="00F46367">
        <w:rPr>
          <w:rFonts w:ascii="Calibri" w:hAnsi="Calibri" w:cs="Calibri"/>
          <w:color w:val="000000" w:themeColor="text1"/>
          <w:sz w:val="22"/>
          <w:szCs w:val="22"/>
          <w:lang w:eastAsia="en-GB"/>
        </w:rPr>
        <w:t xml:space="preserve">In addition, </w:t>
      </w:r>
      <w:r w:rsidRPr="00F46367">
        <w:rPr>
          <w:rFonts w:ascii="Calibri" w:hAnsi="Calibri" w:cs="Calibri"/>
          <w:color w:val="000000" w:themeColor="text1"/>
          <w:sz w:val="22"/>
          <w:szCs w:val="22"/>
          <w:lang w:eastAsia="en-GB"/>
        </w:rPr>
        <w:t>DfE already publishes school-level Progress 8 scores for the LPA group, and these correlate very strongly with the best</w:t>
      </w:r>
      <w:r w:rsidRPr="00F46367">
        <w:rPr>
          <w:rFonts w:ascii="Calibri" w:hAnsi="Calibri" w:cs="Calibri"/>
          <w:color w:val="000000" w:themeColor="text1"/>
          <w:sz w:val="22"/>
          <w:szCs w:val="22"/>
          <w:lang w:eastAsia="en-GB"/>
        </w:rPr>
        <w:t>-</w:t>
      </w:r>
      <w:r w:rsidRPr="00F46367">
        <w:rPr>
          <w:rFonts w:ascii="Calibri" w:hAnsi="Calibri" w:cs="Calibri"/>
          <w:color w:val="000000" w:themeColor="text1"/>
          <w:sz w:val="22"/>
          <w:szCs w:val="22"/>
          <w:lang w:eastAsia="en-GB"/>
        </w:rPr>
        <w:t xml:space="preserve">fit progress measure (r=0.96). All that has happened is that the best-fit progress scores have tended to shift upwards. This might be seen as producing little benefit given the complexity of the proposed best-fit measure compared to Progress 8. There is also the question of whether the proposed measure would </w:t>
      </w:r>
      <w:r w:rsidRPr="00F46367">
        <w:rPr>
          <w:rFonts w:ascii="Calibri" w:hAnsi="Calibri" w:cs="Calibri"/>
          <w:color w:val="000000" w:themeColor="text1"/>
          <w:sz w:val="22"/>
          <w:szCs w:val="22"/>
          <w:lang w:eastAsia="en-GB"/>
        </w:rPr>
        <w:t>actually remove</w:t>
      </w:r>
      <w:r w:rsidRPr="00F46367">
        <w:rPr>
          <w:rFonts w:ascii="Calibri" w:hAnsi="Calibri" w:cs="Calibri"/>
          <w:color w:val="000000" w:themeColor="text1"/>
          <w:sz w:val="22"/>
          <w:szCs w:val="22"/>
          <w:lang w:eastAsia="en-GB"/>
        </w:rPr>
        <w:t xml:space="preserve"> the incentive for schools to</w:t>
      </w:r>
      <w:r w:rsidRPr="00F46367">
        <w:rPr>
          <w:rFonts w:ascii="Calibri" w:hAnsi="Calibri" w:cs="Calibri"/>
          <w:color w:val="000000" w:themeColor="text1"/>
          <w:sz w:val="22"/>
          <w:szCs w:val="22"/>
          <w:lang w:eastAsia="en-GB"/>
        </w:rPr>
        <w:t xml:space="preserve"> ensure their LPA pupils fill </w:t>
      </w:r>
      <w:r w:rsidRPr="00F46367">
        <w:rPr>
          <w:rFonts w:ascii="Calibri" w:hAnsi="Calibri" w:cs="Calibri"/>
          <w:color w:val="000000" w:themeColor="text1"/>
          <w:sz w:val="22"/>
          <w:szCs w:val="22"/>
          <w:lang w:eastAsia="en-GB"/>
        </w:rPr>
        <w:t>all of</w:t>
      </w:r>
      <w:r w:rsidRPr="00F46367">
        <w:rPr>
          <w:rFonts w:ascii="Calibri" w:hAnsi="Calibri" w:cs="Calibri"/>
          <w:color w:val="000000" w:themeColor="text1"/>
          <w:sz w:val="22"/>
          <w:szCs w:val="22"/>
          <w:lang w:eastAsia="en-GB"/>
        </w:rPr>
        <w:t xml:space="preserve"> their Attainment 8 / Progress 8 slots,</w:t>
      </w:r>
      <w:r w:rsidRPr="00F46367">
        <w:rPr>
          <w:rFonts w:ascii="Calibri" w:hAnsi="Calibri" w:cs="Calibri"/>
          <w:color w:val="000000" w:themeColor="text1"/>
          <w:sz w:val="22"/>
          <w:szCs w:val="22"/>
          <w:lang w:eastAsia="en-GB"/>
        </w:rPr>
        <w:t xml:space="preserve"> </w:t>
      </w:r>
      <w:r w:rsidRPr="00F46367">
        <w:rPr>
          <w:rFonts w:ascii="Calibri" w:hAnsi="Calibri" w:cs="Calibri"/>
          <w:color w:val="000000" w:themeColor="text1"/>
          <w:sz w:val="22"/>
          <w:szCs w:val="22"/>
          <w:lang w:eastAsia="en-GB"/>
        </w:rPr>
        <w:t xml:space="preserve">because </w:t>
      </w:r>
      <w:r w:rsidRPr="00F46367">
        <w:rPr>
          <w:rFonts w:ascii="Calibri" w:hAnsi="Calibri" w:cs="Calibri"/>
          <w:color w:val="000000" w:themeColor="text1"/>
          <w:sz w:val="22"/>
          <w:szCs w:val="22"/>
          <w:lang w:eastAsia="en-GB"/>
        </w:rPr>
        <w:t xml:space="preserve">these pupils will still be included in Progress 8, a more prominent headline measure. </w:t>
      </w:r>
      <w:r w:rsidRPr="00F46367">
        <w:rPr>
          <w:rFonts w:ascii="Calibri" w:hAnsi="Calibri" w:cs="Calibri"/>
          <w:color w:val="000000" w:themeColor="text1"/>
          <w:sz w:val="22"/>
          <w:szCs w:val="22"/>
          <w:lang w:eastAsia="en-GB"/>
        </w:rPr>
        <w:t xml:space="preserve">In addition, the scores produced by the best-fit progress measure are difficult to interpret. Unlike for Progress 8, the average progress score for each prior attainment group (and the national average overall) does not equal </w:t>
      </w:r>
      <w:r w:rsidRPr="00F46367">
        <w:rPr>
          <w:rFonts w:ascii="Calibri" w:hAnsi="Calibri" w:cs="Calibri"/>
          <w:color w:val="000000" w:themeColor="text1"/>
          <w:sz w:val="22"/>
          <w:szCs w:val="22"/>
          <w:lang w:eastAsia="en-GB"/>
        </w:rPr>
        <w:t>zero, and</w:t>
      </w:r>
      <w:r w:rsidRPr="00F46367">
        <w:rPr>
          <w:rFonts w:ascii="Calibri" w:hAnsi="Calibri" w:cs="Calibri"/>
          <w:color w:val="000000" w:themeColor="text1"/>
          <w:sz w:val="22"/>
          <w:szCs w:val="22"/>
          <w:lang w:eastAsia="en-GB"/>
        </w:rPr>
        <w:t xml:space="preserve"> is instead somewhere between 2 and 3 points.</w:t>
      </w:r>
      <w:r w:rsidRPr="00F46367">
        <w:rPr>
          <w:rFonts w:ascii="Calibri" w:hAnsi="Calibri" w:cs="Calibri"/>
          <w:color w:val="000000" w:themeColor="text1"/>
          <w:sz w:val="22"/>
          <w:szCs w:val="22"/>
          <w:lang w:eastAsia="en-GB"/>
        </w:rPr>
        <w:t xml:space="preserve"> </w:t>
      </w:r>
    </w:p>
    <w:p w:rsidR="00C22E7F" w:rsidRPr="00F46367" w:rsidP="004101FF">
      <w:pPr>
        <w:spacing w:before="120" w:after="120" w:line="264" w:lineRule="auto"/>
        <w:rPr>
          <w:rFonts w:ascii="Calibri" w:eastAsia="Times New Roman" w:hAnsi="Calibri" w:cs="Calibri"/>
          <w:color w:val="000000" w:themeColor="text1"/>
          <w:sz w:val="22"/>
          <w:szCs w:val="22"/>
          <w:lang w:eastAsia="en-GB"/>
        </w:rPr>
      </w:pPr>
      <w:r w:rsidRPr="00F46367">
        <w:rPr>
          <w:rFonts w:ascii="Calibri" w:eastAsia="Times New Roman" w:hAnsi="Calibri" w:cs="Calibri"/>
          <w:color w:val="000000" w:themeColor="text1"/>
          <w:sz w:val="22"/>
          <w:szCs w:val="22"/>
          <w:lang w:eastAsia="en-GB"/>
        </w:rPr>
        <w:t>U</w:t>
      </w:r>
      <w:r w:rsidRPr="00F46367">
        <w:rPr>
          <w:rFonts w:ascii="Calibri" w:eastAsia="Times New Roman" w:hAnsi="Calibri" w:cs="Calibri"/>
          <w:color w:val="000000" w:themeColor="text1"/>
          <w:sz w:val="22"/>
          <w:szCs w:val="22"/>
          <w:lang w:eastAsia="en-GB"/>
        </w:rPr>
        <w:t>nder the proposed alteration to the prior attainment of EAL pupils,</w:t>
      </w:r>
      <w:r w:rsidRPr="00F46367">
        <w:rPr>
          <w:rFonts w:ascii="Calibri" w:eastAsia="Times New Roman" w:hAnsi="Calibri" w:cs="Calibri"/>
          <w:color w:val="000000" w:themeColor="text1"/>
          <w:sz w:val="22"/>
          <w:szCs w:val="22"/>
          <w:lang w:eastAsia="en-GB"/>
        </w:rPr>
        <w:t xml:space="preserve"> there is a risk of introducing a perverse incentive for schools to record EAL pupils as non-EAL to avoid them being moved into a higher prior attainment group and therefore reducing their best-fit progress score. This could be alleviated by using EAL status from end of primary school rather than from Year 11.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eastAsia="Times New Roman" w:hAnsi="Calibri" w:cs="Calibri"/>
          <w:color w:val="000000" w:themeColor="text1"/>
          <w:sz w:val="22"/>
          <w:szCs w:val="22"/>
          <w:lang w:eastAsia="en-GB"/>
        </w:rPr>
        <w:t>W</w:t>
      </w:r>
      <w:r w:rsidRPr="00F46367">
        <w:rPr>
          <w:rFonts w:ascii="Calibri" w:eastAsia="Times New Roman" w:hAnsi="Calibri" w:cs="Calibri"/>
          <w:color w:val="000000" w:themeColor="text1"/>
          <w:sz w:val="22"/>
          <w:szCs w:val="22"/>
          <w:lang w:eastAsia="en-GB"/>
        </w:rPr>
        <w:t xml:space="preserve">e suggest that the </w:t>
      </w:r>
      <w:r w:rsidRPr="00F46367">
        <w:rPr>
          <w:rFonts w:ascii="Calibri" w:eastAsia="Times New Roman" w:hAnsi="Calibri" w:cs="Calibri"/>
          <w:color w:val="000000" w:themeColor="text1"/>
          <w:sz w:val="22"/>
          <w:szCs w:val="22"/>
          <w:lang w:eastAsia="en-GB"/>
        </w:rPr>
        <w:t>aim</w:t>
      </w:r>
      <w:r w:rsidRPr="00F46367">
        <w:rPr>
          <w:rFonts w:ascii="Calibri" w:eastAsia="Times New Roman" w:hAnsi="Calibri" w:cs="Calibri"/>
          <w:color w:val="000000" w:themeColor="text1"/>
          <w:sz w:val="22"/>
          <w:szCs w:val="22"/>
          <w:lang w:eastAsia="en-GB"/>
        </w:rPr>
        <w:t xml:space="preserve"> of the </w:t>
      </w:r>
      <w:r w:rsidRPr="00F46367">
        <w:rPr>
          <w:rFonts w:ascii="Calibri" w:eastAsia="Times New Roman" w:hAnsi="Calibri" w:cs="Calibri"/>
          <w:color w:val="000000" w:themeColor="text1"/>
          <w:sz w:val="22"/>
          <w:szCs w:val="22"/>
          <w:lang w:eastAsia="en-GB"/>
        </w:rPr>
        <w:t>proposed measure, to capture</w:t>
      </w:r>
      <w:r w:rsidRPr="00F46367">
        <w:rPr>
          <w:rFonts w:ascii="Calibri" w:eastAsia="Times New Roman" w:hAnsi="Calibri" w:cs="Calibri"/>
          <w:color w:val="000000" w:themeColor="text1"/>
          <w:sz w:val="22"/>
          <w:szCs w:val="22"/>
          <w:lang w:eastAsia="en-GB"/>
        </w:rPr>
        <w:t xml:space="preserve"> more completely</w:t>
      </w:r>
      <w:r w:rsidRPr="00F46367">
        <w:rPr>
          <w:rFonts w:ascii="Calibri" w:eastAsia="Times New Roman" w:hAnsi="Calibri" w:cs="Calibri"/>
          <w:color w:val="000000" w:themeColor="text1"/>
          <w:sz w:val="22"/>
          <w:szCs w:val="22"/>
          <w:lang w:eastAsia="en-GB"/>
        </w:rPr>
        <w:t xml:space="preserve"> the progress of pupils for whom a Progress 8-aligned curriculum may not be suitable, would </w:t>
      </w:r>
      <w:r w:rsidRPr="00F46367">
        <w:rPr>
          <w:rFonts w:ascii="Calibri" w:eastAsia="Times New Roman" w:hAnsi="Calibri" w:cs="Calibri"/>
          <w:color w:val="000000" w:themeColor="text1"/>
          <w:sz w:val="22"/>
          <w:szCs w:val="22"/>
          <w:lang w:eastAsia="en-GB"/>
        </w:rPr>
        <w:t xml:space="preserve">be better achieved </w:t>
      </w:r>
      <w:r w:rsidRPr="00F46367">
        <w:rPr>
          <w:rFonts w:ascii="Calibri" w:eastAsia="Times New Roman" w:hAnsi="Calibri" w:cs="Calibri"/>
          <w:color w:val="000000" w:themeColor="text1"/>
          <w:sz w:val="22"/>
          <w:szCs w:val="22"/>
          <w:lang w:eastAsia="en-GB"/>
        </w:rPr>
        <w:t>by calculating</w:t>
      </w:r>
      <w:r w:rsidRPr="00F46367">
        <w:rPr>
          <w:rFonts w:ascii="Calibri" w:eastAsia="Times New Roman" w:hAnsi="Calibri" w:cs="Calibri"/>
          <w:color w:val="000000" w:themeColor="text1"/>
          <w:sz w:val="22"/>
          <w:szCs w:val="22"/>
          <w:lang w:eastAsia="en-GB"/>
        </w:rPr>
        <w:t xml:space="preserve"> contextualised value</w:t>
      </w:r>
      <w:r w:rsidRPr="00F46367">
        <w:rPr>
          <w:rFonts w:ascii="Calibri" w:eastAsia="Times New Roman" w:hAnsi="Calibri" w:cs="Calibri"/>
          <w:color w:val="000000" w:themeColor="text1"/>
          <w:sz w:val="22"/>
          <w:szCs w:val="22"/>
          <w:lang w:eastAsia="en-GB"/>
        </w:rPr>
        <w:t>-</w:t>
      </w:r>
      <w:r w:rsidRPr="00F46367">
        <w:rPr>
          <w:rFonts w:ascii="Calibri" w:eastAsia="Times New Roman" w:hAnsi="Calibri" w:cs="Calibri"/>
          <w:color w:val="000000" w:themeColor="text1"/>
          <w:sz w:val="22"/>
          <w:szCs w:val="22"/>
          <w:lang w:eastAsia="en-GB"/>
        </w:rPr>
        <w:t>added scores</w:t>
      </w:r>
      <w:r>
        <w:rPr>
          <w:rStyle w:val="FootnoteReference"/>
          <w:rFonts w:ascii="Calibri" w:eastAsia="Times New Roman" w:hAnsi="Calibri" w:cs="Calibri"/>
          <w:color w:val="000000" w:themeColor="text1"/>
          <w:sz w:val="22"/>
          <w:szCs w:val="22"/>
          <w:lang w:eastAsia="en-GB"/>
        </w:rPr>
        <w:footnoteReference w:id="20"/>
      </w:r>
      <w:r w:rsidRPr="00F46367">
        <w:rPr>
          <w:rFonts w:ascii="Calibri" w:eastAsia="Times New Roman" w:hAnsi="Calibri" w:cs="Calibri"/>
          <w:color w:val="000000" w:themeColor="text1"/>
          <w:sz w:val="22"/>
          <w:szCs w:val="22"/>
          <w:lang w:eastAsia="en-GB"/>
        </w:rPr>
        <w:t xml:space="preserve">, such as those we produce in </w:t>
      </w:r>
      <w:r>
        <w:fldChar w:fldCharType="begin"/>
      </w:r>
      <w:r>
        <w:instrText xml:space="preserve"> HYPERLINK "https://fft.org.uk/fft-aspire/" </w:instrText>
      </w:r>
      <w:r>
        <w:fldChar w:fldCharType="separate"/>
      </w:r>
      <w:r w:rsidRPr="00F46367">
        <w:rPr>
          <w:rStyle w:val="Hyperlink"/>
          <w:rFonts w:ascii="Calibri" w:eastAsia="Times New Roman" w:hAnsi="Calibri" w:cs="Calibri"/>
          <w:sz w:val="22"/>
          <w:szCs w:val="22"/>
          <w:lang w:eastAsia="en-GB"/>
        </w:rPr>
        <w:t>FFT Aspire</w:t>
      </w:r>
      <w:r>
        <w:fldChar w:fldCharType="end"/>
      </w:r>
      <w:r>
        <w:rPr>
          <w:rStyle w:val="FootnoteReference"/>
          <w:rFonts w:ascii="Calibri" w:eastAsia="Times New Roman" w:hAnsi="Calibri" w:cs="Calibri"/>
          <w:color w:val="000000" w:themeColor="text1"/>
          <w:sz w:val="22"/>
          <w:szCs w:val="22"/>
          <w:lang w:eastAsia="en-GB"/>
        </w:rPr>
        <w:footnoteReference w:id="21"/>
      </w:r>
      <w:r w:rsidRPr="00F46367">
        <w:rPr>
          <w:rFonts w:ascii="Calibri" w:eastAsia="Times New Roman" w:hAnsi="Calibri" w:cs="Calibri"/>
          <w:color w:val="000000" w:themeColor="text1"/>
          <w:sz w:val="22"/>
          <w:szCs w:val="22"/>
          <w:lang w:eastAsia="en-GB"/>
        </w:rPr>
        <w:t xml:space="preserve">. </w:t>
      </w:r>
      <w:r w:rsidRPr="00F46367">
        <w:rPr>
          <w:rFonts w:ascii="Calibri" w:eastAsia="Times New Roman" w:hAnsi="Calibri" w:cs="Calibri"/>
          <w:color w:val="000000" w:themeColor="text1"/>
          <w:sz w:val="22"/>
          <w:szCs w:val="22"/>
          <w:lang w:eastAsia="en-GB"/>
        </w:rPr>
        <w:t xml:space="preserve">These </w:t>
      </w:r>
      <w:r w:rsidRPr="00F46367">
        <w:rPr>
          <w:rFonts w:ascii="Calibri" w:eastAsia="Times New Roman" w:hAnsi="Calibri" w:cs="Calibri"/>
          <w:color w:val="000000" w:themeColor="text1"/>
          <w:sz w:val="22"/>
          <w:szCs w:val="22"/>
          <w:lang w:eastAsia="en-GB"/>
        </w:rPr>
        <w:t xml:space="preserve">are designed to </w:t>
      </w:r>
      <w:r w:rsidRPr="00F46367">
        <w:rPr>
          <w:rFonts w:ascii="Calibri" w:eastAsia="Times New Roman" w:hAnsi="Calibri" w:cs="Calibri"/>
          <w:color w:val="000000" w:themeColor="text1"/>
          <w:sz w:val="22"/>
          <w:szCs w:val="22"/>
          <w:lang w:eastAsia="en-GB"/>
        </w:rPr>
        <w:t>recognis</w:t>
      </w:r>
      <w:r w:rsidRPr="00F46367">
        <w:rPr>
          <w:rFonts w:ascii="Calibri" w:eastAsia="Times New Roman" w:hAnsi="Calibri" w:cs="Calibri"/>
          <w:color w:val="000000" w:themeColor="text1"/>
          <w:sz w:val="22"/>
          <w:szCs w:val="22"/>
          <w:lang w:eastAsia="en-GB"/>
        </w:rPr>
        <w:t>e</w:t>
      </w:r>
      <w:r w:rsidRPr="00F46367">
        <w:rPr>
          <w:rFonts w:ascii="Calibri" w:eastAsia="Times New Roman" w:hAnsi="Calibri" w:cs="Calibri"/>
          <w:color w:val="000000" w:themeColor="text1"/>
          <w:sz w:val="22"/>
          <w:szCs w:val="22"/>
          <w:lang w:eastAsia="en-GB"/>
        </w:rPr>
        <w:t xml:space="preserve"> differential rates of progress among pupils with different characteristics</w:t>
      </w:r>
      <w:r w:rsidRPr="00F46367">
        <w:rPr>
          <w:rFonts w:ascii="Calibri" w:eastAsia="Times New Roman" w:hAnsi="Calibri" w:cs="Calibri"/>
          <w:color w:val="000000" w:themeColor="text1"/>
          <w:sz w:val="22"/>
          <w:szCs w:val="22"/>
          <w:lang w:eastAsia="en-GB"/>
        </w:rPr>
        <w:t>.</w:t>
      </w:r>
      <w:r w:rsidRPr="00F46367">
        <w:rPr>
          <w:rFonts w:ascii="Calibri" w:eastAsia="Times New Roman" w:hAnsi="Calibri" w:cs="Calibri"/>
          <w:color w:val="000000" w:themeColor="text1"/>
          <w:sz w:val="22"/>
          <w:szCs w:val="22"/>
          <w:lang w:eastAsia="en-GB"/>
        </w:rPr>
        <w:t xml:space="preserve"> </w:t>
      </w:r>
      <w:r w:rsidRPr="00F46367">
        <w:rPr>
          <w:rFonts w:ascii="Calibri" w:hAnsi="Calibri" w:cs="Calibri"/>
          <w:color w:val="000000" w:themeColor="text1"/>
          <w:sz w:val="22"/>
          <w:szCs w:val="22"/>
        </w:rPr>
        <w:t>In further support of this aim, we suggest that</w:t>
      </w:r>
      <w:r w:rsidRPr="00F46367">
        <w:rPr>
          <w:rFonts w:ascii="Calibri" w:hAnsi="Calibri" w:cs="Calibri"/>
          <w:color w:val="000000" w:themeColor="text1"/>
          <w:sz w:val="22"/>
          <w:szCs w:val="22"/>
        </w:rPr>
        <w:t xml:space="preserve"> the qualification coverage of Attainment 8</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 xml:space="preserve">/ Progress 8 </w:t>
      </w:r>
      <w:r w:rsidRPr="00F46367">
        <w:rPr>
          <w:rFonts w:ascii="Calibri" w:hAnsi="Calibri" w:cs="Calibri"/>
          <w:color w:val="000000" w:themeColor="text1"/>
          <w:sz w:val="22"/>
          <w:szCs w:val="22"/>
        </w:rPr>
        <w:t xml:space="preserve">could be reviewed, as it currently </w:t>
      </w:r>
      <w:r w:rsidRPr="00F46367">
        <w:rPr>
          <w:rFonts w:ascii="Calibri" w:hAnsi="Calibri" w:cs="Calibri"/>
          <w:color w:val="000000" w:themeColor="text1"/>
          <w:sz w:val="22"/>
          <w:szCs w:val="22"/>
        </w:rPr>
        <w:t>works against pupils with low prior attainment, most notably those in special schools and alternative provision (AP) schools.</w:t>
      </w:r>
      <w:r w:rsidRPr="00F46367">
        <w:rPr>
          <w:rFonts w:ascii="Calibri" w:hAnsi="Calibri" w:cs="Calibri"/>
          <w:color w:val="000000" w:themeColor="text1"/>
          <w:sz w:val="22"/>
          <w:szCs w:val="22"/>
        </w:rPr>
        <w:t xml:space="preserve"> </w:t>
      </w:r>
      <w:r w:rsidRPr="00F46367">
        <w:rPr>
          <w:rFonts w:ascii="Calibri" w:hAnsi="Calibri" w:cs="Calibri"/>
          <w:color w:val="000000" w:themeColor="text1"/>
          <w:sz w:val="22"/>
          <w:szCs w:val="22"/>
        </w:rPr>
        <w:t>In particular, qualifications</w:t>
      </w:r>
      <w:r w:rsidRPr="00F46367">
        <w:rPr>
          <w:rFonts w:ascii="Calibri" w:hAnsi="Calibri" w:cs="Calibri"/>
          <w:color w:val="000000" w:themeColor="text1"/>
          <w:sz w:val="22"/>
          <w:szCs w:val="22"/>
        </w:rPr>
        <w:t xml:space="preserve"> that assess at Entry level and Level 1 of the National Qualifications Framework (GCSE grade 3 or below), are not counted in school performance measures. We</w:t>
      </w:r>
      <w:r w:rsidRPr="00F46367">
        <w:rPr>
          <w:rFonts w:ascii="Calibri" w:hAnsi="Calibri" w:cs="Calibri"/>
          <w:color w:val="000000" w:themeColor="text1"/>
          <w:sz w:val="22"/>
          <w:szCs w:val="22"/>
        </w:rPr>
        <w:t xml:space="preserve"> direct the </w:t>
      </w:r>
      <w:r w:rsidRPr="00F46367">
        <w:rPr>
          <w:rFonts w:ascii="Calibri" w:hAnsi="Calibri" w:cs="Calibri"/>
          <w:color w:val="000000" w:themeColor="text1"/>
          <w:sz w:val="22"/>
          <w:szCs w:val="22"/>
        </w:rPr>
        <w:t>C</w:t>
      </w:r>
      <w:r w:rsidRPr="00F46367">
        <w:rPr>
          <w:rFonts w:ascii="Calibri" w:hAnsi="Calibri" w:cs="Calibri"/>
          <w:color w:val="000000" w:themeColor="text1"/>
          <w:sz w:val="22"/>
          <w:szCs w:val="22"/>
        </w:rPr>
        <w:t>ommittee’s attention to a measure we have previously proposed,</w:t>
      </w:r>
      <w:r w:rsidRPr="00F46367">
        <w:rPr>
          <w:rFonts w:ascii="Calibri" w:hAnsi="Calibri" w:cs="Calibri"/>
          <w:color w:val="000000" w:themeColor="text1"/>
          <w:sz w:val="22"/>
          <w:szCs w:val="22"/>
        </w:rPr>
        <w:t xml:space="preserve"> Attainment 5 and Progress 5, which explicitly includes these qualifications for special schools and AP schools</w:t>
      </w:r>
      <w:r>
        <w:rPr>
          <w:rStyle w:val="FootnoteReference"/>
          <w:rFonts w:ascii="Calibri" w:hAnsi="Calibri" w:cs="Calibri"/>
          <w:color w:val="000000" w:themeColor="text1"/>
          <w:sz w:val="22"/>
          <w:szCs w:val="22"/>
        </w:rPr>
        <w:footnoteReference w:id="22"/>
      </w:r>
      <w:r w:rsidRPr="00F46367">
        <w:rPr>
          <w:rFonts w:ascii="Calibri" w:hAnsi="Calibri" w:cs="Calibri"/>
          <w:color w:val="000000" w:themeColor="text1"/>
          <w:sz w:val="22"/>
          <w:szCs w:val="22"/>
        </w:rPr>
        <w:t>.</w:t>
      </w:r>
    </w:p>
    <w:p w:rsidR="00C22E7F" w:rsidRPr="00F46367" w:rsidP="004101FF">
      <w:pPr>
        <w:spacing w:before="120" w:after="120" w:line="264" w:lineRule="auto"/>
        <w:rPr>
          <w:rFonts w:ascii="Calibri" w:hAnsi="Calibri" w:cs="Calibri"/>
          <w:color w:val="000000" w:themeColor="text1"/>
          <w:sz w:val="22"/>
          <w:szCs w:val="22"/>
        </w:rPr>
      </w:pPr>
    </w:p>
    <w:p w:rsidR="00C22E7F" w:rsidRPr="00F46367" w:rsidP="00292E93">
      <w:pPr>
        <w:pStyle w:val="Heading1"/>
        <w:rPr>
          <w:rFonts w:ascii="Calibri" w:hAnsi="Calibri" w:cs="Calibri"/>
          <w:sz w:val="22"/>
          <w:szCs w:val="22"/>
        </w:rPr>
      </w:pPr>
      <w:r w:rsidRPr="00F46367">
        <w:rPr>
          <w:rFonts w:ascii="Calibri" w:hAnsi="Calibri" w:cs="Calibri"/>
          <w:sz w:val="22"/>
          <w:szCs w:val="22"/>
        </w:rPr>
        <w:t xml:space="preserve">3. </w:t>
      </w:r>
      <w:r w:rsidRPr="00F46367">
        <w:rPr>
          <w:rFonts w:ascii="Calibri" w:hAnsi="Calibri" w:cs="Calibri"/>
          <w:sz w:val="22"/>
          <w:szCs w:val="22"/>
        </w:rPr>
        <w:t>Improving attendance</w:t>
      </w:r>
      <w:r w:rsidRPr="00F46367">
        <w:rPr>
          <w:rFonts w:ascii="Calibri" w:hAnsi="Calibri" w:cs="Calibri"/>
          <w:sz w:val="22"/>
          <w:szCs w:val="22"/>
        </w:rPr>
        <w:t>: t</w:t>
      </w:r>
      <w:r w:rsidRPr="00F46367">
        <w:rPr>
          <w:rFonts w:ascii="Calibri" w:hAnsi="Calibri" w:cs="Calibri"/>
          <w:sz w:val="22"/>
          <w:szCs w:val="22"/>
        </w:rPr>
        <w:t>he Government’s target to reduce overall absence and increase total days attended</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The Government’s “key delivery commitment” for pupil absence is to improve the headline attendance figure (the percentage of possible sessions attended) by 1.3 percentage points between 2023/24 and 2028/29. If achieved, in 2028/29, pupil attendance would be 1.7 percentage points higher than the lows recorded during the pandemic, but around 1.1 percentage points lower than the norms established in the years immediately before the pandemic.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Since the White Paper was published, attendance figures for 2024/25 have been released by the </w:t>
      </w:r>
      <w:r w:rsidRPr="00F46367">
        <w:rPr>
          <w:rFonts w:ascii="Calibri" w:hAnsi="Calibri" w:cs="Calibri"/>
          <w:color w:val="000000" w:themeColor="text1"/>
          <w:sz w:val="22"/>
          <w:szCs w:val="22"/>
        </w:rPr>
        <w:t>DfE</w:t>
      </w:r>
      <w:r>
        <w:rPr>
          <w:rStyle w:val="FootnoteReference"/>
          <w:rFonts w:ascii="Calibri" w:hAnsi="Calibri" w:cs="Calibri"/>
          <w:color w:val="000000" w:themeColor="text1"/>
          <w:sz w:val="22"/>
          <w:szCs w:val="22"/>
        </w:rPr>
        <w:footnoteReference w:id="23"/>
      </w:r>
      <w:r w:rsidRPr="00F46367">
        <w:rPr>
          <w:rFonts w:ascii="Calibri" w:hAnsi="Calibri" w:cs="Calibri"/>
          <w:color w:val="000000" w:themeColor="text1"/>
          <w:sz w:val="22"/>
          <w:szCs w:val="22"/>
        </w:rPr>
        <w:t>, showing an improvement of 0.4 percentage points between 2023/24 and 2024/25, which is encouraging.</w:t>
      </w:r>
      <w:r w:rsidRPr="00F46367">
        <w:rPr>
          <w:rFonts w:ascii="Calibri" w:hAnsi="Calibri" w:cs="Calibri"/>
          <w:color w:val="000000" w:themeColor="text1"/>
          <w:sz w:val="22"/>
          <w:szCs w:val="22"/>
        </w:rPr>
        <w:t xml:space="preserve"> The DfE’s most recent weekly data</w:t>
      </w:r>
      <w:r>
        <w:rPr>
          <w:rStyle w:val="FootnoteReference"/>
          <w:rFonts w:ascii="Calibri" w:hAnsi="Calibri" w:cs="Calibri"/>
          <w:color w:val="000000" w:themeColor="text1"/>
          <w:sz w:val="22"/>
          <w:szCs w:val="22"/>
        </w:rPr>
        <w:footnoteReference w:id="24"/>
      </w:r>
      <w:r w:rsidRPr="00F46367">
        <w:rPr>
          <w:rFonts w:ascii="Calibri" w:hAnsi="Calibri" w:cs="Calibri"/>
          <w:color w:val="000000" w:themeColor="text1"/>
          <w:sz w:val="22"/>
          <w:szCs w:val="22"/>
        </w:rPr>
        <w:t xml:space="preserve">, however, suggests that this progress has not been sustained in 2025/26. </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In a forthcoming article we find that </w:t>
      </w:r>
      <w:r w:rsidRPr="00F46367">
        <w:rPr>
          <w:rFonts w:ascii="Calibri" w:hAnsi="Calibri" w:cs="Calibri"/>
          <w:color w:val="000000" w:themeColor="text1"/>
          <w:sz w:val="22"/>
          <w:szCs w:val="22"/>
        </w:rPr>
        <w:t>in order for</w:t>
      </w:r>
      <w:r w:rsidRPr="00F46367">
        <w:rPr>
          <w:rFonts w:ascii="Calibri" w:hAnsi="Calibri" w:cs="Calibri"/>
          <w:color w:val="000000" w:themeColor="text1"/>
          <w:sz w:val="22"/>
          <w:szCs w:val="22"/>
        </w:rPr>
        <w:t xml:space="preserve"> the commitment to be achieved, improvements in attendance must be made across the board, from those who currently attend relatively regularly to those “persistent” and “severely persistent” absentees</w:t>
      </w:r>
      <w:r>
        <w:rPr>
          <w:rStyle w:val="FootnoteReference"/>
          <w:rFonts w:ascii="Calibri" w:hAnsi="Calibri" w:cs="Calibri"/>
          <w:color w:val="000000" w:themeColor="text1"/>
          <w:sz w:val="22"/>
          <w:szCs w:val="22"/>
        </w:rPr>
        <w:footnoteReference w:id="25"/>
      </w:r>
      <w:r w:rsidRPr="00F46367">
        <w:rPr>
          <w:rFonts w:ascii="Calibri" w:hAnsi="Calibri" w:cs="Calibri"/>
          <w:color w:val="000000" w:themeColor="text1"/>
          <w:sz w:val="22"/>
          <w:szCs w:val="22"/>
        </w:rPr>
        <w:t xml:space="preserve"> who struggle to attend at all. We question whether the choice of a single target based on the overall attendance rate </w:t>
      </w:r>
      <w:r w:rsidRPr="00F46367">
        <w:rPr>
          <w:rFonts w:ascii="Calibri" w:hAnsi="Calibri" w:cs="Calibri"/>
          <w:color w:val="000000" w:themeColor="text1"/>
          <w:sz w:val="22"/>
          <w:szCs w:val="22"/>
        </w:rPr>
        <w:t>communicates</w:t>
      </w:r>
      <w:r w:rsidRPr="00F46367">
        <w:rPr>
          <w:rFonts w:ascii="Calibri" w:hAnsi="Calibri" w:cs="Calibri"/>
          <w:color w:val="000000" w:themeColor="text1"/>
          <w:sz w:val="22"/>
          <w:szCs w:val="22"/>
        </w:rPr>
        <w:t xml:space="preserve"> the level of challenge in making improvements for this latter group sufficiently clear</w:t>
      </w:r>
      <w:r w:rsidRPr="00F46367">
        <w:rPr>
          <w:rFonts w:ascii="Calibri" w:hAnsi="Calibri" w:cs="Calibri"/>
          <w:color w:val="000000" w:themeColor="text1"/>
          <w:sz w:val="22"/>
          <w:szCs w:val="22"/>
        </w:rPr>
        <w:t>ly</w:t>
      </w:r>
      <w:r w:rsidRPr="00F46367">
        <w:rPr>
          <w:rFonts w:ascii="Calibri" w:hAnsi="Calibri" w:cs="Calibri"/>
          <w:color w:val="000000" w:themeColor="text1"/>
          <w:sz w:val="22"/>
          <w:szCs w:val="22"/>
        </w:rPr>
        <w:t xml:space="preserve">. We therefore recommend that the Government considers publishing equivalent commitments for reductions in persistent and severe persistent absence alongside that for the overall attendance rate.     </w:t>
      </w:r>
    </w:p>
    <w:p w:rsidR="00C22E7F" w:rsidRPr="00F46367" w:rsidP="004101FF">
      <w:pPr>
        <w:spacing w:before="120" w:after="120" w:line="264" w:lineRule="auto"/>
        <w:rPr>
          <w:rFonts w:ascii="Calibri" w:hAnsi="Calibri" w:cs="Calibri"/>
          <w:color w:val="000000" w:themeColor="text1"/>
          <w:sz w:val="22"/>
          <w:szCs w:val="22"/>
        </w:rPr>
      </w:pPr>
    </w:p>
    <w:p w:rsidR="00C22E7F" w:rsidRPr="00F46367" w:rsidP="00292E93">
      <w:pPr>
        <w:pStyle w:val="Heading1"/>
        <w:rPr>
          <w:rFonts w:ascii="Calibri" w:hAnsi="Calibri" w:cs="Calibri"/>
          <w:sz w:val="22"/>
          <w:szCs w:val="22"/>
        </w:rPr>
      </w:pPr>
      <w:r w:rsidRPr="00F46367">
        <w:rPr>
          <w:rFonts w:ascii="Calibri" w:hAnsi="Calibri" w:cs="Calibri"/>
          <w:sz w:val="22"/>
          <w:szCs w:val="22"/>
        </w:rPr>
        <w:t>4. Reducing the disadvantage gap</w:t>
      </w:r>
      <w:r w:rsidRPr="00F46367">
        <w:rPr>
          <w:rFonts w:ascii="Calibri" w:hAnsi="Calibri" w:cs="Calibri"/>
          <w:sz w:val="22"/>
          <w:szCs w:val="22"/>
        </w:rPr>
        <w:t>: the proposed reforms to disadvantage funding</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In 2017 we suggested that the funding formula for the Pupil Premium should be reconfigured to allocate a greater proportion of the total funding pot to long-term disadvantaged pupils</w:t>
      </w:r>
      <w:r>
        <w:rPr>
          <w:rStyle w:val="FootnoteReference"/>
          <w:rFonts w:ascii="Calibri" w:hAnsi="Calibri" w:cs="Calibri"/>
          <w:color w:val="000000" w:themeColor="text1"/>
          <w:sz w:val="22"/>
          <w:szCs w:val="22"/>
        </w:rPr>
        <w:footnoteReference w:id="26"/>
      </w:r>
      <w:r w:rsidRPr="00F46367">
        <w:rPr>
          <w:rFonts w:ascii="Calibri" w:hAnsi="Calibri" w:cs="Calibri"/>
          <w:color w:val="000000" w:themeColor="text1"/>
          <w:sz w:val="22"/>
          <w:szCs w:val="22"/>
        </w:rPr>
        <w:t xml:space="preserve">, which we initially defined as </w:t>
      </w:r>
      <w:r w:rsidRPr="00F46367">
        <w:rPr>
          <w:rFonts w:ascii="Calibri" w:hAnsi="Calibri" w:cs="Calibri"/>
          <w:color w:val="000000" w:themeColor="text1"/>
          <w:sz w:val="22"/>
          <w:szCs w:val="22"/>
        </w:rPr>
        <w:t>being eligible for free school meals for 90% of terms from Reception upwards. We later changed this definition to 80% of terms.</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 xml:space="preserve">We still believe that allocating greater funding towards pupils who have experienced long-term, persistent disadvantage is the right approach. However, due to the problems with measuring FSM eligibility arising from the transitional protections for </w:t>
      </w:r>
      <w:r w:rsidRPr="00F46367">
        <w:rPr>
          <w:rFonts w:ascii="Calibri" w:hAnsi="Calibri" w:cs="Calibri"/>
          <w:color w:val="000000" w:themeColor="text1"/>
          <w:sz w:val="22"/>
          <w:szCs w:val="22"/>
        </w:rPr>
        <w:t>U</w:t>
      </w:r>
      <w:r w:rsidRPr="00F46367">
        <w:rPr>
          <w:rFonts w:ascii="Calibri" w:hAnsi="Calibri" w:cs="Calibri"/>
          <w:color w:val="000000" w:themeColor="text1"/>
          <w:sz w:val="22"/>
          <w:szCs w:val="22"/>
        </w:rPr>
        <w:t xml:space="preserve">niversal </w:t>
      </w:r>
      <w:r w:rsidRPr="00F46367">
        <w:rPr>
          <w:rFonts w:ascii="Calibri" w:hAnsi="Calibri" w:cs="Calibri"/>
          <w:color w:val="000000" w:themeColor="text1"/>
          <w:sz w:val="22"/>
          <w:szCs w:val="22"/>
        </w:rPr>
        <w:t>C</w:t>
      </w:r>
      <w:r w:rsidRPr="00F46367">
        <w:rPr>
          <w:rFonts w:ascii="Calibri" w:hAnsi="Calibri" w:cs="Calibri"/>
          <w:color w:val="000000" w:themeColor="text1"/>
          <w:sz w:val="22"/>
          <w:szCs w:val="22"/>
        </w:rPr>
        <w:t>redit, the method we proposed based on percentage of terms eligible for FSM is no longer suitable.</w:t>
      </w:r>
    </w:p>
    <w:p w:rsidR="00C22E7F" w:rsidRPr="00F46367" w:rsidP="004101FF">
      <w:pPr>
        <w:spacing w:before="120" w:after="120" w:line="264" w:lineRule="auto"/>
        <w:rPr>
          <w:rFonts w:ascii="Calibri" w:hAnsi="Calibri" w:cs="Calibri"/>
          <w:color w:val="000000" w:themeColor="text1"/>
          <w:sz w:val="22"/>
          <w:szCs w:val="22"/>
        </w:rPr>
      </w:pPr>
      <w:r w:rsidRPr="00F46367">
        <w:rPr>
          <w:rFonts w:ascii="Calibri" w:hAnsi="Calibri" w:cs="Calibri"/>
          <w:color w:val="000000" w:themeColor="text1"/>
          <w:sz w:val="22"/>
          <w:szCs w:val="22"/>
        </w:rPr>
        <w:t>We therefore support plans to develop a measure of household income by linking pupil data to parent income and benefits data. However, we would want to see the resulting dataset (known as the Parent Pupil Matched Dataset or PPMD) be made available to external researchers under licence (as is the case with National Pupil Database). This will provide external challenge and wider understanding of the relationship between household income and pupil attainment.</w:t>
      </w:r>
    </w:p>
    <w:p w:rsidR="00C22E7F" w:rsidRPr="00F46367" w:rsidP="004101FF">
      <w:pPr>
        <w:spacing w:before="120" w:after="120" w:line="264" w:lineRule="auto"/>
        <w:rPr>
          <w:rFonts w:ascii="Calibri" w:hAnsi="Calibri" w:cs="Calibri"/>
          <w:color w:val="000000" w:themeColor="text1"/>
          <w:sz w:val="22"/>
          <w:szCs w:val="22"/>
        </w:rPr>
      </w:pPr>
    </w:p>
    <w:p w:rsidR="00C22E7F" w:rsidRPr="00F46367" w:rsidP="004101FF">
      <w:pPr>
        <w:spacing w:before="120" w:after="120" w:line="264" w:lineRule="auto"/>
        <w:rPr>
          <w:rFonts w:ascii="Calibri" w:hAnsi="Calibri" w:cs="Calibri"/>
          <w:color w:val="000000" w:themeColor="text1"/>
          <w:sz w:val="22"/>
          <w:szCs w:val="22"/>
        </w:rPr>
      </w:pPr>
    </w:p>
    <w:p w:rsidR="00C22E7F" w:rsidRPr="00F46367" w:rsidP="004101FF">
      <w:pPr>
        <w:spacing w:before="120" w:after="120" w:line="264" w:lineRule="auto"/>
        <w:rPr>
          <w:rFonts w:ascii="Calibri" w:hAnsi="Calibri" w:cs="Calibri"/>
          <w:i/>
          <w:iCs/>
          <w:color w:val="000000" w:themeColor="text1"/>
          <w:sz w:val="22"/>
          <w:szCs w:val="22"/>
        </w:rPr>
      </w:pPr>
      <w:r w:rsidRPr="00F46367">
        <w:rPr>
          <w:rFonts w:ascii="Calibri" w:hAnsi="Calibri" w:cs="Calibri"/>
          <w:i/>
          <w:iCs/>
          <w:color w:val="000000" w:themeColor="text1"/>
          <w:sz w:val="22"/>
          <w:szCs w:val="22"/>
        </w:rPr>
        <w:t>September 2026</w:t>
      </w:r>
    </w:p>
    <w:sectPr w:rsidSect="0009644A">
      <w:footerReference w:type="even" r:id="rId6"/>
      <w:footerReference w:type="default" r:id="rId7"/>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093828921"/>
      <w:docPartObj>
        <w:docPartGallery w:val="Page Numbers (Bottom of Page)"/>
        <w:docPartUnique/>
      </w:docPartObj>
    </w:sdtPr>
    <w:sdtEndPr>
      <w:rPr>
        <w:rStyle w:val="PageNumber"/>
      </w:rPr>
    </w:sdtEndPr>
    <w:sdtContent>
      <w:p w:rsidR="00C22E7F" w:rsidP="00FB4C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22E7F" w:rsidP="004101F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013726096"/>
      <w:docPartObj>
        <w:docPartGallery w:val="Page Numbers (Bottom of Page)"/>
        <w:docPartUnique/>
      </w:docPartObj>
    </w:sdtPr>
    <w:sdtEndPr>
      <w:rPr>
        <w:rStyle w:val="PageNumber"/>
      </w:rPr>
    </w:sdtEndPr>
    <w:sdtContent>
      <w:p w:rsidR="00C22E7F" w:rsidP="00FB4C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22E7F" w:rsidP="004101F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22E7F" w:rsidP="00A851DA">
      <w:pPr>
        <w:spacing w:after="0" w:line="240" w:lineRule="auto"/>
      </w:pPr>
      <w:r>
        <w:separator/>
      </w:r>
    </w:p>
  </w:footnote>
  <w:footnote w:type="continuationSeparator" w:id="1">
    <w:p w:rsidR="00C22E7F" w:rsidP="00A851DA">
      <w:pPr>
        <w:spacing w:after="0" w:line="240" w:lineRule="auto"/>
      </w:pPr>
      <w:r>
        <w:continuationSeparator/>
      </w:r>
    </w:p>
  </w:footnote>
  <w:footnote w:id="2">
    <w:p w:rsidR="00C22E7F" w:rsidP="00A851DA">
      <w:pPr>
        <w:pStyle w:val="FootnoteText"/>
      </w:pPr>
      <w:r>
        <w:rPr>
          <w:rStyle w:val="FootnoteReference"/>
        </w:rPr>
        <w:footnoteRef/>
      </w:r>
      <w:r>
        <w:t xml:space="preserve"> </w:t>
      </w:r>
      <w:r>
        <w:fldChar w:fldCharType="begin"/>
      </w:r>
      <w:r>
        <w:instrText xml:space="preserve"> HYPERLINK "https://www.gov.uk/government/publications/gcse-and-a-level-grading-what-you-need-to-know/gcse-and-a-level-grading-what-you-need-to-know" </w:instrText>
      </w:r>
      <w:r>
        <w:fldChar w:fldCharType="separate"/>
      </w:r>
      <w:r w:rsidRPr="002D3A44">
        <w:rPr>
          <w:rStyle w:val="Hyperlink"/>
        </w:rPr>
        <w:t>https://www.gov.uk/government/publications/gcse-and-a-level-grading-what-you-need-to-know/gcse-and-a-level-grading-what-you-need-to-know</w:t>
      </w:r>
      <w:r>
        <w:fldChar w:fldCharType="end"/>
      </w:r>
      <w:r>
        <w:t xml:space="preserve"> </w:t>
      </w:r>
    </w:p>
  </w:footnote>
  <w:footnote w:id="3">
    <w:p w:rsidR="00C22E7F" w:rsidP="00A851DA">
      <w:pPr>
        <w:pStyle w:val="FootnoteText"/>
      </w:pPr>
      <w:r>
        <w:rPr>
          <w:rStyle w:val="FootnoteReference"/>
        </w:rPr>
        <w:footnoteRef/>
      </w:r>
      <w:r>
        <w:t xml:space="preserve"> </w:t>
      </w:r>
      <w:r>
        <w:fldChar w:fldCharType="begin"/>
      </w:r>
      <w:r>
        <w:instrText xml:space="preserve"> HYPERLINK "https://ofqual.blog.gov.uk/2017/03/10/comparable-outcomes-and-new-a-levels/" </w:instrText>
      </w:r>
      <w:r>
        <w:fldChar w:fldCharType="separate"/>
      </w:r>
      <w:r w:rsidRPr="002D3A44">
        <w:rPr>
          <w:rStyle w:val="Hyperlink"/>
        </w:rPr>
        <w:t>https://ofqual.blog.gov.uk/2017/03/10/comparable-outcomes-and-new-a-levels/</w:t>
      </w:r>
      <w:r>
        <w:fldChar w:fldCharType="end"/>
      </w:r>
      <w:r>
        <w:t xml:space="preserve"> </w:t>
      </w:r>
    </w:p>
  </w:footnote>
  <w:footnote w:id="4">
    <w:p w:rsidR="00C22E7F" w:rsidP="00A851DA">
      <w:pPr>
        <w:pStyle w:val="FootnoteText"/>
      </w:pPr>
      <w:r>
        <w:rPr>
          <w:rStyle w:val="FootnoteReference"/>
        </w:rPr>
        <w:footnoteRef/>
      </w:r>
      <w:r>
        <w:t xml:space="preserve"> </w:t>
      </w:r>
      <w:r>
        <w:fldChar w:fldCharType="begin"/>
      </w:r>
      <w:r>
        <w:instrText xml:space="preserve"> HYPERLINK "https://www.gov.uk/government/publications/the-national-reference-test-in-2025/national-reference-test-annual-statement-2025/" </w:instrText>
      </w:r>
      <w:r>
        <w:fldChar w:fldCharType="separate"/>
      </w:r>
      <w:r w:rsidRPr="00A43587">
        <w:rPr>
          <w:rStyle w:val="Hyperlink"/>
        </w:rPr>
        <w:t>https://www</w:t>
      </w:r>
      <w:r w:rsidRPr="00D35821">
        <w:rPr>
          <w:rStyle w:val="Hyperlink"/>
        </w:rPr>
        <w:t>.gov.uk/government/publications/the-national-reference-test-in-2025/national-reference-test-annual-statement-2025</w:t>
      </w:r>
      <w:r w:rsidRPr="00B07841">
        <w:rPr>
          <w:rStyle w:val="Hyperlink"/>
        </w:rPr>
        <w:t>/</w:t>
      </w:r>
      <w:r>
        <w:fldChar w:fldCharType="end"/>
      </w:r>
    </w:p>
  </w:footnote>
  <w:footnote w:id="5">
    <w:p w:rsidR="00C22E7F" w:rsidP="00A851DA">
      <w:pPr>
        <w:pStyle w:val="FootnoteText"/>
      </w:pPr>
      <w:r>
        <w:rPr>
          <w:rStyle w:val="FootnoteReference"/>
        </w:rPr>
        <w:footnoteRef/>
      </w:r>
      <w:r>
        <w:t xml:space="preserve"> </w:t>
      </w:r>
      <w:r>
        <w:fldChar w:fldCharType="begin"/>
      </w:r>
      <w:r>
        <w:instrText xml:space="preserve"> HYPERLINK "https://www.nfer.ac.uk/publications/national-reference-test-results-digest-2025/" </w:instrText>
      </w:r>
      <w:r>
        <w:fldChar w:fldCharType="separate"/>
      </w:r>
      <w:r w:rsidRPr="00A43587">
        <w:rPr>
          <w:rStyle w:val="Hyperlink"/>
        </w:rPr>
        <w:t>https://www.nfer.ac.uk/publications/national-reference-test-results-digest-2025/</w:t>
      </w:r>
      <w:r>
        <w:fldChar w:fldCharType="end"/>
      </w:r>
      <w:r>
        <w:t xml:space="preserve"> </w:t>
      </w:r>
    </w:p>
  </w:footnote>
  <w:footnote w:id="6">
    <w:p w:rsidR="00C22E7F" w:rsidP="00A851DA">
      <w:pPr>
        <w:pStyle w:val="FootnoteText"/>
      </w:pPr>
      <w:r>
        <w:rPr>
          <w:rStyle w:val="FootnoteReference"/>
        </w:rPr>
        <w:footnoteRef/>
      </w:r>
      <w:r>
        <w:t xml:space="preserve"> </w:t>
      </w:r>
      <w:r>
        <w:fldChar w:fldCharType="begin"/>
      </w:r>
      <w:r>
        <w:instrText xml:space="preserve"> HYPERLINK "https://ffteducationdatalab.org.uk/2026/06/halving-the-disadvantage-gap/" </w:instrText>
      </w:r>
      <w:r>
        <w:fldChar w:fldCharType="separate"/>
      </w:r>
      <w:r w:rsidRPr="00590CB7">
        <w:rPr>
          <w:rStyle w:val="Hyperlink"/>
        </w:rPr>
        <w:t>https://ffteducationdatalab.org.uk/2026/06/halving-the-disadvantage-gap/</w:t>
      </w:r>
      <w:r>
        <w:fldChar w:fldCharType="end"/>
      </w:r>
      <w:r>
        <w:t xml:space="preserve"> </w:t>
      </w:r>
    </w:p>
  </w:footnote>
  <w:footnote w:id="7">
    <w:p w:rsidR="00C22E7F" w:rsidP="00A851DA">
      <w:pPr>
        <w:pStyle w:val="FootnoteText"/>
      </w:pPr>
      <w:r>
        <w:rPr>
          <w:rStyle w:val="FootnoteReference"/>
        </w:rPr>
        <w:footnoteRef/>
      </w:r>
      <w:r>
        <w:t xml:space="preserve"> </w:t>
      </w:r>
      <w:r>
        <w:fldChar w:fldCharType="begin"/>
      </w:r>
      <w:r>
        <w:instrText xml:space="preserve"> HYPERLINK "https://www.gov.uk/government/publications/an-investigation-of-inter-subject-comparability-in-gcses-and-a-levels-in-summer-2021/an-investigation-of-inter-subject-comparability-in-gcses-and-a-levels-in-summer-2021" </w:instrText>
      </w:r>
      <w:r>
        <w:fldChar w:fldCharType="separate"/>
      </w:r>
      <w:r w:rsidRPr="002D3A44">
        <w:rPr>
          <w:rStyle w:val="Hyperlink"/>
        </w:rPr>
        <w:t>https://www.gov.uk/government/publications/an-investigation-of-inter-subject-comparability-in-gcses-and-a-levels-in-summer-2021/an-investigation-of-inter-subject-comparability-in-gcses-and-a-levels-in-summer-2021</w:t>
      </w:r>
      <w:r>
        <w:fldChar w:fldCharType="end"/>
      </w:r>
      <w:r>
        <w:t xml:space="preserve"> </w:t>
      </w:r>
    </w:p>
  </w:footnote>
  <w:footnote w:id="8">
    <w:p w:rsidR="00C22E7F" w:rsidP="00A851DA">
      <w:pPr>
        <w:pStyle w:val="FootnoteText"/>
      </w:pPr>
      <w:r>
        <w:rPr>
          <w:rStyle w:val="FootnoteReference"/>
        </w:rPr>
        <w:footnoteRef/>
      </w:r>
      <w:r>
        <w:t xml:space="preserve"> </w:t>
      </w:r>
      <w:r>
        <w:fldChar w:fldCharType="begin"/>
      </w:r>
      <w:r>
        <w:instrText xml:space="preserve"> HYPERLINK "https://ffteducationdatalab.org.uk/2024/09/how-attainment-gaps-in-literacy-change-over-time/" </w:instrText>
      </w:r>
      <w:r>
        <w:fldChar w:fldCharType="separate"/>
      </w:r>
      <w:r w:rsidRPr="000539DB">
        <w:rPr>
          <w:rStyle w:val="Hyperlink"/>
        </w:rPr>
        <w:t>https://ffteducationdatalab.org.uk/2024/09/how-attainment-gaps-in-literacy-change-over-time/</w:t>
      </w:r>
      <w:r>
        <w:fldChar w:fldCharType="end"/>
      </w:r>
      <w:r>
        <w:t xml:space="preserve"> </w:t>
      </w:r>
    </w:p>
  </w:footnote>
  <w:footnote w:id="9">
    <w:p w:rsidR="00C22E7F" w:rsidP="00A851DA">
      <w:pPr>
        <w:pStyle w:val="FootnoteText"/>
      </w:pPr>
      <w:r>
        <w:rPr>
          <w:rStyle w:val="FootnoteReference"/>
        </w:rPr>
        <w:footnoteRef/>
      </w:r>
      <w:r>
        <w:t xml:space="preserve"> </w:t>
      </w:r>
      <w:r>
        <w:fldChar w:fldCharType="begin"/>
      </w:r>
      <w:r>
        <w:instrText xml:space="preserve"> HYPERLINK "https://educationaloutcomes.org.uk/recommendations/early-and-primary-education/" </w:instrText>
      </w:r>
      <w:r>
        <w:fldChar w:fldCharType="separate"/>
      </w:r>
      <w:r w:rsidRPr="000539DB">
        <w:rPr>
          <w:rStyle w:val="Hyperlink"/>
        </w:rPr>
        <w:t>https://educationaloutcomes.org.uk/recommendations/early-and-primary-education/</w:t>
      </w:r>
      <w:r>
        <w:fldChar w:fldCharType="end"/>
      </w:r>
      <w:r>
        <w:t xml:space="preserve"> </w:t>
      </w:r>
    </w:p>
  </w:footnote>
  <w:footnote w:id="10">
    <w:p w:rsidR="00C22E7F" w:rsidP="00A851DA">
      <w:pPr>
        <w:pStyle w:val="FootnoteText"/>
      </w:pPr>
      <w:r>
        <w:rPr>
          <w:rStyle w:val="FootnoteReference"/>
        </w:rPr>
        <w:footnoteRef/>
      </w:r>
      <w:r>
        <w:t xml:space="preserve"> </w:t>
      </w:r>
      <w:r>
        <w:fldChar w:fldCharType="begin"/>
      </w:r>
      <w:r>
        <w:instrText xml:space="preserve"> HYPERLINK "https://ffteducationdatalab.org.uk/2021/10/how-free-school-meal-eligibility-has-been-changing-and-why-we-might-need-new-measures-of-disadvantage/" </w:instrText>
      </w:r>
      <w:r>
        <w:fldChar w:fldCharType="separate"/>
      </w:r>
      <w:r w:rsidRPr="00590CB7">
        <w:rPr>
          <w:rStyle w:val="Hyperlink"/>
        </w:rPr>
        <w:t>https://ffteducationdatalab.org.uk/2021/10/how-free-school-meal-eligibility-has-been-changing-and-why-we-might-need-new-measures-of-disadvantage/</w:t>
      </w:r>
      <w:r>
        <w:fldChar w:fldCharType="end"/>
      </w:r>
      <w:r>
        <w:t xml:space="preserve"> </w:t>
      </w:r>
    </w:p>
  </w:footnote>
  <w:footnote w:id="11">
    <w:p w:rsidR="00C22E7F" w:rsidP="00A851DA">
      <w:pPr>
        <w:pStyle w:val="FootnoteText"/>
      </w:pPr>
      <w:r>
        <w:rPr>
          <w:rStyle w:val="FootnoteReference"/>
        </w:rPr>
        <w:footnoteRef/>
      </w:r>
      <w:r>
        <w:t xml:space="preserve"> </w:t>
      </w:r>
      <w:r>
        <w:fldChar w:fldCharType="begin"/>
      </w:r>
      <w:r>
        <w:instrText xml:space="preserve"> HYPERLINK "https://www.gov.uk/government/publications/free-school-meals-guidance-for-schools-and-local-authorities/free-school-meals-guidance-for-local-authorities-local-authority-maintained-schools-academies-and-free-schools" \l "transitional-protections" </w:instrText>
      </w:r>
      <w:r>
        <w:fldChar w:fldCharType="separate"/>
      </w:r>
      <w:r w:rsidRPr="00942698">
        <w:rPr>
          <w:rStyle w:val="Hyperlink"/>
        </w:rPr>
        <w:t>https://www.gov.uk/government/publications/free-school-meals-guidance-for-schools-and-local-authorities/free-school-meals-guidance-for-local-authorities-local-authority-maintained-schools-academies-and-free-schools#transitional-protections</w:t>
      </w:r>
      <w:r>
        <w:fldChar w:fldCharType="end"/>
      </w:r>
      <w:r>
        <w:t xml:space="preserve"> </w:t>
      </w:r>
    </w:p>
  </w:footnote>
  <w:footnote w:id="12">
    <w:p w:rsidR="00C22E7F" w:rsidP="00A851DA">
      <w:pPr>
        <w:pStyle w:val="FootnoteText"/>
      </w:pPr>
      <w:r>
        <w:rPr>
          <w:rStyle w:val="FootnoteReference"/>
        </w:rPr>
        <w:footnoteRef/>
      </w:r>
      <w:r>
        <w:t xml:space="preserve"> </w:t>
      </w:r>
      <w:r>
        <w:fldChar w:fldCharType="begin"/>
      </w:r>
      <w:r>
        <w:instrText xml:space="preserve"> HYPERLINK "https://www.nfer.ac.uk/publications/investigating-the-changing-landscape-of-pupil-disadvantage/" </w:instrText>
      </w:r>
      <w:r>
        <w:fldChar w:fldCharType="separate"/>
      </w:r>
      <w:r w:rsidRPr="00942698">
        <w:rPr>
          <w:rStyle w:val="Hyperlink"/>
        </w:rPr>
        <w:t>https://www.nfer.ac.uk/publications/investigating-the-changing-landscape-of-pupil-disadvantage/</w:t>
      </w:r>
      <w:r>
        <w:fldChar w:fldCharType="end"/>
      </w:r>
      <w:r>
        <w:t xml:space="preserve"> </w:t>
      </w:r>
    </w:p>
  </w:footnote>
  <w:footnote w:id="13">
    <w:p w:rsidR="00C22E7F" w:rsidP="00A851DA">
      <w:pPr>
        <w:pStyle w:val="FootnoteText"/>
      </w:pPr>
      <w:r>
        <w:rPr>
          <w:rStyle w:val="FootnoteReference"/>
        </w:rPr>
        <w:footnoteRef/>
      </w:r>
      <w:r>
        <w:t xml:space="preserve"> </w:t>
      </w:r>
      <w:r>
        <w:fldChar w:fldCharType="begin"/>
      </w:r>
      <w:r>
        <w:instrText xml:space="preserve"> HYPERLINK "https://consult.education.gov.uk/school-accountability/key-stage-4-performance-measures-and-targeted-rise/supporting_documents/key-stage-4-performance-measures-and-targeted-rise-extension-government-consultationpdf-1" </w:instrText>
      </w:r>
      <w:r>
        <w:fldChar w:fldCharType="separate"/>
      </w:r>
      <w:r w:rsidRPr="00942698">
        <w:rPr>
          <w:rStyle w:val="Hyperlink"/>
        </w:rPr>
        <w:t>https://consult.education.gov.uk/school-accountability/key-stage-4-performance-measures-and-targeted-rise/supporting_documents/key-stage-4-performance-measures-and-targeted-rise-extension-government-consultationpdf-1</w:t>
      </w:r>
      <w:r>
        <w:fldChar w:fldCharType="end"/>
      </w:r>
      <w:r>
        <w:t xml:space="preserve"> </w:t>
      </w:r>
    </w:p>
  </w:footnote>
  <w:footnote w:id="14">
    <w:p w:rsidR="00C22E7F">
      <w:pPr>
        <w:pStyle w:val="FootnoteText"/>
      </w:pPr>
      <w:r>
        <w:rPr>
          <w:rStyle w:val="FootnoteReference"/>
        </w:rPr>
        <w:footnoteRef/>
      </w:r>
      <w:r>
        <w:t xml:space="preserve"> </w:t>
      </w:r>
      <w:r>
        <w:fldChar w:fldCharType="begin"/>
      </w:r>
      <w:r>
        <w:instrText xml:space="preserve"> HYPERLINK "https://ffteducationdatalab.org.uk/2026/03/how-will-qualification-entry-patterns-change-as-a-result-of-changes-to-attainment-8/" </w:instrText>
      </w:r>
      <w:r>
        <w:fldChar w:fldCharType="separate"/>
      </w:r>
      <w:r w:rsidRPr="00C253AA">
        <w:rPr>
          <w:rStyle w:val="Hyperlink"/>
        </w:rPr>
        <w:t>https://ffteducationdatalab.org.uk/2026/03/how-will-qualification-entry-patterns-change-as-a-result-of-changes-to-attainment-8/</w:t>
      </w:r>
      <w:r>
        <w:fldChar w:fldCharType="end"/>
      </w:r>
      <w:r>
        <w:t xml:space="preserve"> </w:t>
      </w:r>
    </w:p>
  </w:footnote>
  <w:footnote w:id="15">
    <w:p w:rsidR="00C22E7F" w:rsidP="00A851DA">
      <w:pPr>
        <w:pStyle w:val="FootnoteText"/>
      </w:pPr>
      <w:r>
        <w:rPr>
          <w:rStyle w:val="FootnoteReference"/>
        </w:rPr>
        <w:footnoteRef/>
      </w:r>
      <w:r>
        <w:t xml:space="preserve"> </w:t>
      </w:r>
      <w:r>
        <w:fldChar w:fldCharType="begin"/>
      </w:r>
      <w:r>
        <w:instrText xml:space="preserve"> HYPERLINK "https://ffteducationdatalab.org.uk/2019/06/if-the-ebacc-were-scrapped-would-anything-change/" </w:instrText>
      </w:r>
      <w:r>
        <w:fldChar w:fldCharType="separate"/>
      </w:r>
      <w:r w:rsidRPr="000539DB">
        <w:rPr>
          <w:rStyle w:val="Hyperlink"/>
        </w:rPr>
        <w:t>https://ffteducationdatalab.org.uk/2019/06/if-the-ebacc-were-scrapped-would-anything-change/</w:t>
      </w:r>
      <w:r>
        <w:fldChar w:fldCharType="end"/>
      </w:r>
      <w:r>
        <w:t xml:space="preserve"> </w:t>
      </w:r>
    </w:p>
  </w:footnote>
  <w:footnote w:id="16">
    <w:p w:rsidR="00C22E7F" w:rsidP="002F16A5">
      <w:pPr>
        <w:pStyle w:val="FootnoteText"/>
      </w:pPr>
      <w:r>
        <w:rPr>
          <w:rStyle w:val="FootnoteReference"/>
        </w:rPr>
        <w:footnoteRef/>
      </w:r>
      <w:r>
        <w:t xml:space="preserve"> </w:t>
      </w:r>
      <w:r>
        <w:fldChar w:fldCharType="begin"/>
      </w:r>
      <w:r>
        <w:instrText xml:space="preserve"> HYPERLINK "https://ffteducationdatalab.org.uk/2025/05/grading-severity-at-key-stage-4-in-2024/" </w:instrText>
      </w:r>
      <w:r>
        <w:fldChar w:fldCharType="separate"/>
      </w:r>
      <w:r w:rsidRPr="000539DB">
        <w:rPr>
          <w:rStyle w:val="Hyperlink"/>
        </w:rPr>
        <w:t>https://ffteducationdatalab.org.uk/2025/05/grading-severity-at-key-stage-4-in-2024/</w:t>
      </w:r>
      <w:r>
        <w:fldChar w:fldCharType="end"/>
      </w:r>
      <w:r>
        <w:t xml:space="preserve">  </w:t>
      </w:r>
    </w:p>
  </w:footnote>
  <w:footnote w:id="17">
    <w:p w:rsidR="00C22E7F">
      <w:pPr>
        <w:pStyle w:val="FootnoteText"/>
      </w:pPr>
      <w:r>
        <w:rPr>
          <w:rStyle w:val="FootnoteReference"/>
        </w:rPr>
        <w:footnoteRef/>
      </w:r>
      <w:r>
        <w:t xml:space="preserve"> </w:t>
      </w:r>
      <w:r>
        <w:fldChar w:fldCharType="begin"/>
      </w:r>
      <w:r>
        <w:instrText xml:space="preserve"> HYPERLINK "https://www.britishcouncil.org/voices-magazine/latest-language-trends-survey-finds-schools-england-struggle-recruit-language-teachers" </w:instrText>
      </w:r>
      <w:r>
        <w:fldChar w:fldCharType="separate"/>
      </w:r>
      <w:r w:rsidRPr="00C253AA">
        <w:rPr>
          <w:rStyle w:val="Hyperlink"/>
        </w:rPr>
        <w:t>https://www.britishcouncil.org/voices-magazine/latest-language-trends-survey-finds-schools-england-struggle-recruit-language-teachers</w:t>
      </w:r>
      <w:r>
        <w:fldChar w:fldCharType="end"/>
      </w:r>
      <w:r>
        <w:t xml:space="preserve"> </w:t>
      </w:r>
    </w:p>
  </w:footnote>
  <w:footnote w:id="18">
    <w:p w:rsidR="00C22E7F" w:rsidP="002F16A5">
      <w:pPr>
        <w:pStyle w:val="FootnoteText"/>
      </w:pPr>
      <w:r>
        <w:rPr>
          <w:rStyle w:val="FootnoteReference"/>
        </w:rPr>
        <w:footnoteRef/>
      </w:r>
      <w:r>
        <w:t xml:space="preserve"> </w:t>
      </w:r>
      <w:r>
        <w:fldChar w:fldCharType="begin"/>
      </w:r>
      <w:r>
        <w:instrText xml:space="preserve"> HYPERLINK "https://ffteducationdatalab.org.uk/2025/11/what-difference-will-the-proposed-changes-to-attainment-8-and-progress-8-make/" </w:instrText>
      </w:r>
      <w:r>
        <w:fldChar w:fldCharType="separate"/>
      </w:r>
      <w:r w:rsidRPr="00C253AA">
        <w:rPr>
          <w:rStyle w:val="Hyperlink"/>
        </w:rPr>
        <w:t>https://ffteducationdatalab.org.uk/2025/11/what-difference-will-the-proposed-changes-to-attainment-8-and-progress-8-make/</w:t>
      </w:r>
      <w:r>
        <w:fldChar w:fldCharType="end"/>
      </w:r>
      <w:r>
        <w:t xml:space="preserve"> </w:t>
      </w:r>
    </w:p>
  </w:footnote>
  <w:footnote w:id="19">
    <w:p w:rsidR="00C22E7F">
      <w:pPr>
        <w:pStyle w:val="FootnoteText"/>
      </w:pPr>
      <w:r>
        <w:rPr>
          <w:rStyle w:val="FootnoteReference"/>
        </w:rPr>
        <w:footnoteRef/>
      </w:r>
      <w:r>
        <w:t xml:space="preserve"> </w:t>
      </w:r>
      <w:r>
        <w:fldChar w:fldCharType="begin"/>
      </w:r>
      <w:r>
        <w:instrText xml:space="preserve"> HYPERLINK "https://ffteducationdatalab.org.uk/2026/03/best-fit-progress-is-it-worth-it/" </w:instrText>
      </w:r>
      <w:r>
        <w:fldChar w:fldCharType="separate"/>
      </w:r>
      <w:r w:rsidRPr="00C253AA">
        <w:rPr>
          <w:rStyle w:val="Hyperlink"/>
        </w:rPr>
        <w:t>https://ffteducationdatalab.org.uk/2026/03/best-fit-progress-is-it-worth-it/</w:t>
      </w:r>
      <w:r>
        <w:fldChar w:fldCharType="end"/>
      </w:r>
      <w:r>
        <w:t xml:space="preserve"> </w:t>
      </w:r>
    </w:p>
  </w:footnote>
  <w:footnote w:id="20">
    <w:p w:rsidR="00C22E7F">
      <w:pPr>
        <w:pStyle w:val="FootnoteText"/>
      </w:pPr>
      <w:r>
        <w:rPr>
          <w:rStyle w:val="FootnoteReference"/>
        </w:rPr>
        <w:footnoteRef/>
      </w:r>
      <w:r>
        <w:t xml:space="preserve"> </w:t>
      </w:r>
      <w:r>
        <w:fldChar w:fldCharType="begin"/>
      </w:r>
      <w:r>
        <w:instrText xml:space="preserve"> HYPERLINK "https://ffteducationdatalab.org.uk/2024/05/contextualising-progress-8/" </w:instrText>
      </w:r>
      <w:r>
        <w:fldChar w:fldCharType="separate"/>
      </w:r>
      <w:r w:rsidRPr="00C253AA">
        <w:rPr>
          <w:rStyle w:val="Hyperlink"/>
        </w:rPr>
        <w:t>https://ffteducationdatalab.org.uk/2024/05/contextualising-progress-8/</w:t>
      </w:r>
      <w:r>
        <w:fldChar w:fldCharType="end"/>
      </w:r>
      <w:r>
        <w:t xml:space="preserve"> </w:t>
      </w:r>
    </w:p>
  </w:footnote>
  <w:footnote w:id="21">
    <w:p w:rsidR="00C22E7F">
      <w:pPr>
        <w:pStyle w:val="FootnoteText"/>
      </w:pPr>
      <w:r>
        <w:rPr>
          <w:rStyle w:val="FootnoteReference"/>
        </w:rPr>
        <w:footnoteRef/>
      </w:r>
      <w:r>
        <w:t xml:space="preserve"> </w:t>
      </w:r>
      <w:r>
        <w:fldChar w:fldCharType="begin"/>
      </w:r>
      <w:r>
        <w:instrText xml:space="preserve"> HYPERLINK "https://fft.org.uk/fft-aspire/" </w:instrText>
      </w:r>
      <w:r>
        <w:fldChar w:fldCharType="separate"/>
      </w:r>
      <w:r w:rsidRPr="00C253AA">
        <w:rPr>
          <w:rStyle w:val="Hyperlink"/>
        </w:rPr>
        <w:t>https://fft.org.uk/fft-aspire/</w:t>
      </w:r>
      <w:r>
        <w:fldChar w:fldCharType="end"/>
      </w:r>
      <w:r>
        <w:t xml:space="preserve"> </w:t>
      </w:r>
    </w:p>
  </w:footnote>
  <w:footnote w:id="22">
    <w:p w:rsidR="00C22E7F" w:rsidP="00A851DA">
      <w:pPr>
        <w:pStyle w:val="FootnoteText"/>
      </w:pPr>
      <w:r>
        <w:rPr>
          <w:rStyle w:val="FootnoteReference"/>
        </w:rPr>
        <w:footnoteRef/>
      </w:r>
      <w:r>
        <w:t xml:space="preserve"> </w:t>
      </w:r>
      <w:r>
        <w:fldChar w:fldCharType="begin"/>
      </w:r>
      <w:r>
        <w:instrText xml:space="preserve"> HYPERLINK "https://ffteducationdatalab.org.uk/2023/12/progress-5-a-performance-indicator-for-ap-and-special-schools/" </w:instrText>
      </w:r>
      <w:r>
        <w:fldChar w:fldCharType="separate"/>
      </w:r>
      <w:r w:rsidRPr="00C253AA">
        <w:rPr>
          <w:rStyle w:val="Hyperlink"/>
        </w:rPr>
        <w:t>https://ffteducationdatalab.org.uk/2023/12/progress-5-a-performance-indicator-for-ap-and-special-schools/</w:t>
      </w:r>
      <w:r>
        <w:fldChar w:fldCharType="end"/>
      </w:r>
      <w:r>
        <w:t xml:space="preserve"> </w:t>
      </w:r>
    </w:p>
  </w:footnote>
  <w:footnote w:id="23">
    <w:p w:rsidR="00C22E7F" w:rsidP="000E7DA0">
      <w:pPr>
        <w:pStyle w:val="FootnoteText"/>
      </w:pPr>
      <w:r>
        <w:rPr>
          <w:rStyle w:val="FootnoteReference"/>
        </w:rPr>
        <w:footnoteRef/>
      </w:r>
      <w:r>
        <w:t xml:space="preserve"> </w:t>
      </w:r>
      <w:r>
        <w:fldChar w:fldCharType="begin"/>
      </w:r>
      <w:r>
        <w:instrText xml:space="preserve"> HYPERLINK "https://explore-education-statistics.service.gov.uk/data-tables/permalink/71df7c32-647b-4846-b504-08decde23e45" </w:instrText>
      </w:r>
      <w:r>
        <w:fldChar w:fldCharType="separate"/>
      </w:r>
      <w:r w:rsidRPr="00B54FD6">
        <w:rPr>
          <w:rStyle w:val="Hyperlink"/>
        </w:rPr>
        <w:t>https://explore-education-statistics.service.gov.uk/data-tables/permalink/71df7c32-647b-4846-b504-08decde23e45</w:t>
      </w:r>
      <w:r>
        <w:fldChar w:fldCharType="end"/>
      </w:r>
    </w:p>
  </w:footnote>
  <w:footnote w:id="24">
    <w:p w:rsidR="00C22E7F">
      <w:pPr>
        <w:pStyle w:val="FootnoteText"/>
      </w:pPr>
      <w:r>
        <w:rPr>
          <w:rStyle w:val="FootnoteReference"/>
        </w:rPr>
        <w:footnoteRef/>
      </w:r>
      <w:r>
        <w:t xml:space="preserve"> </w:t>
      </w:r>
      <w:r>
        <w:fldChar w:fldCharType="begin"/>
      </w:r>
      <w:r>
        <w:instrText xml:space="preserve"> HYPERLINK "https://explore-education-statistics.service.gov.uk/find-statistics/pupil-attendance-in-schools/2026-week-28" </w:instrText>
      </w:r>
      <w:r>
        <w:fldChar w:fldCharType="separate"/>
      </w:r>
      <w:r w:rsidRPr="00C253AA">
        <w:rPr>
          <w:rStyle w:val="Hyperlink"/>
        </w:rPr>
        <w:t>https://explore-education-statistics.service.gov.uk/find-statistics/pupil-attendance-in-schools/2026-week-28</w:t>
      </w:r>
      <w:r>
        <w:fldChar w:fldCharType="end"/>
      </w:r>
      <w:r>
        <w:t xml:space="preserve"> </w:t>
      </w:r>
    </w:p>
  </w:footnote>
  <w:footnote w:id="25">
    <w:p w:rsidR="00C22E7F" w:rsidP="000E7DA0">
      <w:pPr>
        <w:pStyle w:val="FootnoteText"/>
      </w:pPr>
      <w:r>
        <w:rPr>
          <w:rStyle w:val="FootnoteReference"/>
        </w:rPr>
        <w:footnoteRef/>
      </w:r>
      <w:r>
        <w:t xml:space="preserve"> “Persistent absentees” are those who miss at least 10% of possible sessions, and “severe persistent absentees” or “severe absentees” are those who miss at least 50%.</w:t>
      </w:r>
    </w:p>
  </w:footnote>
  <w:footnote w:id="26">
    <w:p w:rsidR="00C22E7F" w:rsidP="000E7DA0">
      <w:pPr>
        <w:pStyle w:val="FootnoteText"/>
      </w:pPr>
      <w:r>
        <w:rPr>
          <w:rStyle w:val="FootnoteReference"/>
        </w:rPr>
        <w:footnoteRef/>
      </w:r>
      <w:r>
        <w:t xml:space="preserve"> </w:t>
      </w:r>
      <w:r>
        <w:fldChar w:fldCharType="begin"/>
      </w:r>
      <w:r>
        <w:instrText xml:space="preserve"> HYPERLINK "https://ffteducationdatalab.org.uk/2017/09/long-term-disadvantage-part-four-if-carlsberg-made-schoolsand-also-designed-funding-formulae/" </w:instrText>
      </w:r>
      <w:r>
        <w:fldChar w:fldCharType="separate"/>
      </w:r>
      <w:r w:rsidRPr="000539DB">
        <w:rPr>
          <w:rStyle w:val="Hyperlink"/>
        </w:rPr>
        <w:t>https://ffteducationdatalab.org.uk/2017/09/long-term-disadvantage-part-four-if-carlsberg-made-schoolsand-also-designed-funding-formulae/</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A29E6"/>
    <w:multiLevelType w:val="hybridMultilevel"/>
    <w:tmpl w:val="85C8AF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CD5E07"/>
    <w:multiLevelType w:val="hybridMultilevel"/>
    <w:tmpl w:val="6F0EE85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5BC04B6"/>
    <w:multiLevelType w:val="multilevel"/>
    <w:tmpl w:val="C2C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5F3B82"/>
    <w:multiLevelType w:val="multilevel"/>
    <w:tmpl w:val="4C7A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E302AC"/>
    <w:multiLevelType w:val="hybridMultilevel"/>
    <w:tmpl w:val="B87623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5FA333F"/>
    <w:multiLevelType w:val="hybridMultilevel"/>
    <w:tmpl w:val="80AE30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9170B1E"/>
    <w:multiLevelType w:val="multilevel"/>
    <w:tmpl w:val="4A08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7A3A6B"/>
    <w:multiLevelType w:val="multilevel"/>
    <w:tmpl w:val="C9AE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1F0375"/>
    <w:multiLevelType w:val="hybridMultilevel"/>
    <w:tmpl w:val="B0B0DC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0DC14BD"/>
    <w:multiLevelType w:val="multilevel"/>
    <w:tmpl w:val="B1CC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A82A43"/>
    <w:multiLevelType w:val="hybridMultilevel"/>
    <w:tmpl w:val="4768E7E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D875603"/>
    <w:multiLevelType w:val="multilevel"/>
    <w:tmpl w:val="FCB4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934E0E"/>
    <w:multiLevelType w:val="hybridMultilevel"/>
    <w:tmpl w:val="0C2666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6231980"/>
    <w:multiLevelType w:val="hybridMultilevel"/>
    <w:tmpl w:val="607849E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4B1AFA"/>
    <w:multiLevelType w:val="multilevel"/>
    <w:tmpl w:val="5FE8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F5B489B"/>
    <w:multiLevelType w:val="multilevel"/>
    <w:tmpl w:val="6FCA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605056"/>
    <w:multiLevelType w:val="multilevel"/>
    <w:tmpl w:val="506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9"/>
  </w:num>
  <w:num w:numId="4">
    <w:abstractNumId w:val="14"/>
  </w:num>
  <w:num w:numId="5">
    <w:abstractNumId w:val="6"/>
  </w:num>
  <w:num w:numId="6">
    <w:abstractNumId w:val="3"/>
  </w:num>
  <w:num w:numId="7">
    <w:abstractNumId w:val="16"/>
  </w:num>
  <w:num w:numId="8">
    <w:abstractNumId w:val="2"/>
  </w:num>
  <w:num w:numId="9">
    <w:abstractNumId w:val="15"/>
  </w:num>
  <w:num w:numId="10">
    <w:abstractNumId w:val="8"/>
  </w:num>
  <w:num w:numId="11">
    <w:abstractNumId w:val="4"/>
  </w:num>
  <w:num w:numId="12">
    <w:abstractNumId w:val="1"/>
  </w:num>
  <w:num w:numId="13">
    <w:abstractNumId w:val="0"/>
  </w:num>
  <w:num w:numId="14">
    <w:abstractNumId w:val="5"/>
  </w:num>
  <w:num w:numId="15">
    <w:abstractNumId w:val="10"/>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92E93"/>
    <w:pPr>
      <w:spacing w:before="120" w:after="120" w:line="264" w:lineRule="auto"/>
      <w:outlineLvl w:val="0"/>
    </w:pPr>
    <w:rPr>
      <w:rFonts w:ascii="Helvetica" w:hAnsi="Helvetica" w:cs="Arial"/>
      <w:b/>
      <w:bCs/>
      <w:sz w:val="28"/>
      <w:szCs w:val="28"/>
    </w:rPr>
  </w:style>
  <w:style w:type="paragraph" w:styleId="Heading2">
    <w:name w:val="heading 2"/>
    <w:basedOn w:val="Heading4"/>
    <w:next w:val="Normal"/>
    <w:link w:val="Heading2Char"/>
    <w:uiPriority w:val="9"/>
    <w:unhideWhenUsed/>
    <w:qFormat/>
    <w:rsid w:val="00E96429"/>
    <w:pPr>
      <w:outlineLvl w:val="1"/>
    </w:pPr>
    <w:rPr>
      <w:rFonts w:ascii="Helvetica" w:hAnsi="Helvetica" w:cs="Arial"/>
      <w:b/>
      <w:bCs/>
      <w:color w:val="000000" w:themeColor="text1"/>
      <w:sz w:val="22"/>
      <w:szCs w:val="22"/>
    </w:rPr>
  </w:style>
  <w:style w:type="paragraph" w:styleId="Heading3">
    <w:name w:val="heading 3"/>
    <w:basedOn w:val="Normal"/>
    <w:next w:val="Normal"/>
    <w:link w:val="Heading3Char"/>
    <w:uiPriority w:val="9"/>
    <w:unhideWhenUsed/>
    <w:qFormat/>
    <w:rsid w:val="00F47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7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E93"/>
    <w:rPr>
      <w:rFonts w:ascii="Helvetica" w:hAnsi="Helvetica" w:cs="Arial"/>
      <w:b/>
      <w:bCs/>
      <w:sz w:val="28"/>
      <w:szCs w:val="28"/>
    </w:rPr>
  </w:style>
  <w:style w:type="character" w:customStyle="1" w:styleId="Heading2Char">
    <w:name w:val="Heading 2 Char"/>
    <w:basedOn w:val="DefaultParagraphFont"/>
    <w:link w:val="Heading2"/>
    <w:uiPriority w:val="9"/>
    <w:rsid w:val="00E96429"/>
    <w:rPr>
      <w:rFonts w:ascii="Helvetica" w:hAnsi="Helvetica" w:eastAsiaTheme="majorEastAsia" w:cs="Arial"/>
      <w:b/>
      <w:bCs/>
      <w:i/>
      <w:iCs/>
      <w:color w:val="000000" w:themeColor="text1"/>
      <w:sz w:val="22"/>
      <w:szCs w:val="22"/>
    </w:rPr>
  </w:style>
  <w:style w:type="character" w:customStyle="1" w:styleId="Heading3Char">
    <w:name w:val="Heading 3 Char"/>
    <w:basedOn w:val="DefaultParagraphFont"/>
    <w:link w:val="Heading3"/>
    <w:uiPriority w:val="9"/>
    <w:rsid w:val="00F47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7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27E"/>
    <w:rPr>
      <w:rFonts w:eastAsiaTheme="majorEastAsia" w:cstheme="majorBidi"/>
      <w:color w:val="272727" w:themeColor="text1" w:themeTint="D8"/>
    </w:rPr>
  </w:style>
  <w:style w:type="paragraph" w:styleId="Title">
    <w:name w:val="Title"/>
    <w:basedOn w:val="Normal"/>
    <w:next w:val="Normal"/>
    <w:link w:val="TitleChar"/>
    <w:uiPriority w:val="10"/>
    <w:qFormat/>
    <w:rsid w:val="00F47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27E"/>
    <w:pPr>
      <w:spacing w:before="160"/>
      <w:jc w:val="center"/>
    </w:pPr>
    <w:rPr>
      <w:i/>
      <w:iCs/>
      <w:color w:val="404040" w:themeColor="text1" w:themeTint="BF"/>
    </w:rPr>
  </w:style>
  <w:style w:type="character" w:customStyle="1" w:styleId="QuoteChar">
    <w:name w:val="Quote Char"/>
    <w:basedOn w:val="DefaultParagraphFont"/>
    <w:link w:val="Quote"/>
    <w:uiPriority w:val="29"/>
    <w:rsid w:val="00F4727E"/>
    <w:rPr>
      <w:i/>
      <w:iCs/>
      <w:color w:val="404040" w:themeColor="text1" w:themeTint="BF"/>
    </w:rPr>
  </w:style>
  <w:style w:type="paragraph" w:styleId="ListParagraph">
    <w:name w:val="List Paragraph"/>
    <w:basedOn w:val="Normal"/>
    <w:uiPriority w:val="34"/>
    <w:qFormat/>
    <w:rsid w:val="00F4727E"/>
    <w:pPr>
      <w:ind w:left="720"/>
      <w:contextualSpacing/>
    </w:pPr>
  </w:style>
  <w:style w:type="character" w:styleId="IntenseEmphasis">
    <w:name w:val="Intense Emphasis"/>
    <w:basedOn w:val="DefaultParagraphFont"/>
    <w:uiPriority w:val="21"/>
    <w:qFormat/>
    <w:rsid w:val="00F4727E"/>
    <w:rPr>
      <w:i/>
      <w:iCs/>
      <w:color w:val="0F4761" w:themeColor="accent1" w:themeShade="BF"/>
    </w:rPr>
  </w:style>
  <w:style w:type="paragraph" w:styleId="IntenseQuote">
    <w:name w:val="Intense Quote"/>
    <w:basedOn w:val="Normal"/>
    <w:next w:val="Normal"/>
    <w:link w:val="IntenseQuoteChar"/>
    <w:uiPriority w:val="30"/>
    <w:qFormat/>
    <w:rsid w:val="00F4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27E"/>
    <w:rPr>
      <w:i/>
      <w:iCs/>
      <w:color w:val="0F4761" w:themeColor="accent1" w:themeShade="BF"/>
    </w:rPr>
  </w:style>
  <w:style w:type="character" w:styleId="IntenseReference">
    <w:name w:val="Intense Reference"/>
    <w:basedOn w:val="DefaultParagraphFont"/>
    <w:uiPriority w:val="32"/>
    <w:qFormat/>
    <w:rsid w:val="00F4727E"/>
    <w:rPr>
      <w:b/>
      <w:bCs/>
      <w:smallCaps/>
      <w:color w:val="0F4761" w:themeColor="accent1" w:themeShade="BF"/>
      <w:spacing w:val="5"/>
    </w:rPr>
  </w:style>
  <w:style w:type="paragraph" w:styleId="NormalWeb">
    <w:name w:val="Normal (Web)"/>
    <w:basedOn w:val="Normal"/>
    <w:uiPriority w:val="99"/>
    <w:semiHidden/>
    <w:unhideWhenUsed/>
    <w:rsid w:val="00F4727E"/>
    <w:pPr>
      <w:spacing w:before="100" w:beforeAutospacing="1" w:after="100" w:afterAutospacing="1" w:line="240" w:lineRule="auto"/>
    </w:pPr>
    <w:rPr>
      <w:rFonts w:ascii="Times New Roman" w:eastAsia="Times New Roman" w:hAnsi="Times New Roman" w:cs="Times New Roman"/>
      <w:kern w:val="0"/>
      <w:lang w:eastAsia="en-GB"/>
    </w:rPr>
  </w:style>
  <w:style w:type="character" w:styleId="Hyperlink">
    <w:name w:val="Hyperlink"/>
    <w:basedOn w:val="DefaultParagraphFont"/>
    <w:uiPriority w:val="99"/>
    <w:unhideWhenUsed/>
    <w:rsid w:val="00D861A1"/>
    <w:rPr>
      <w:color w:val="467886" w:themeColor="hyperlink"/>
      <w:u w:val="single"/>
    </w:rPr>
  </w:style>
  <w:style w:type="character" w:customStyle="1" w:styleId="UnresolvedMention1">
    <w:name w:val="Unresolved Mention1"/>
    <w:basedOn w:val="DefaultParagraphFont"/>
    <w:uiPriority w:val="99"/>
    <w:semiHidden/>
    <w:unhideWhenUsed/>
    <w:rsid w:val="00D861A1"/>
    <w:rPr>
      <w:color w:val="605E5C"/>
      <w:shd w:val="clear" w:color="auto" w:fill="E1DFDD"/>
    </w:rPr>
  </w:style>
  <w:style w:type="paragraph" w:styleId="FootnoteText">
    <w:name w:val="footnote text"/>
    <w:basedOn w:val="Normal"/>
    <w:link w:val="FootnoteTextChar"/>
    <w:uiPriority w:val="99"/>
    <w:semiHidden/>
    <w:unhideWhenUsed/>
    <w:rsid w:val="00A851DA"/>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A851DA"/>
    <w:rPr>
      <w:kern w:val="0"/>
      <w:sz w:val="20"/>
      <w:szCs w:val="20"/>
    </w:rPr>
  </w:style>
  <w:style w:type="character" w:styleId="FootnoteReference">
    <w:name w:val="footnote reference"/>
    <w:basedOn w:val="DefaultParagraphFont"/>
    <w:uiPriority w:val="99"/>
    <w:unhideWhenUsed/>
    <w:rsid w:val="00A851DA"/>
    <w:rPr>
      <w:vertAlign w:val="superscript"/>
    </w:rPr>
  </w:style>
  <w:style w:type="character" w:styleId="FollowedHyperlink">
    <w:name w:val="FollowedHyperlink"/>
    <w:basedOn w:val="DefaultParagraphFont"/>
    <w:uiPriority w:val="99"/>
    <w:semiHidden/>
    <w:unhideWhenUsed/>
    <w:rsid w:val="00F00DFC"/>
    <w:rPr>
      <w:color w:val="96607D" w:themeColor="followedHyperlink"/>
      <w:u w:val="single"/>
    </w:rPr>
  </w:style>
  <w:style w:type="paragraph" w:styleId="Footer">
    <w:name w:val="footer"/>
    <w:basedOn w:val="Normal"/>
    <w:link w:val="FooterChar"/>
    <w:uiPriority w:val="99"/>
    <w:unhideWhenUsed/>
    <w:rsid w:val="00410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1FF"/>
  </w:style>
  <w:style w:type="character" w:styleId="PageNumber">
    <w:name w:val="page number"/>
    <w:basedOn w:val="DefaultParagraphFont"/>
    <w:uiPriority w:val="99"/>
    <w:semiHidden/>
    <w:unhideWhenUsed/>
    <w:rsid w:val="004101FF"/>
  </w:style>
  <w:style w:type="paragraph" w:styleId="Revision">
    <w:name w:val="Revision"/>
    <w:hidden/>
    <w:uiPriority w:val="99"/>
    <w:semiHidden/>
    <w:rsid w:val="005052F4"/>
    <w:pPr>
      <w:spacing w:after="0" w:line="240" w:lineRule="auto"/>
    </w:pPr>
  </w:style>
  <w:style w:type="character" w:styleId="CommentReference">
    <w:name w:val="annotation reference"/>
    <w:basedOn w:val="DefaultParagraphFont"/>
    <w:uiPriority w:val="99"/>
    <w:semiHidden/>
    <w:unhideWhenUsed/>
    <w:rsid w:val="005052F4"/>
    <w:rPr>
      <w:sz w:val="16"/>
      <w:szCs w:val="16"/>
    </w:rPr>
  </w:style>
  <w:style w:type="paragraph" w:styleId="CommentText">
    <w:name w:val="annotation text"/>
    <w:basedOn w:val="Normal"/>
    <w:link w:val="CommentTextChar"/>
    <w:uiPriority w:val="99"/>
    <w:unhideWhenUsed/>
    <w:rsid w:val="005052F4"/>
    <w:pPr>
      <w:spacing w:line="240" w:lineRule="auto"/>
    </w:pPr>
    <w:rPr>
      <w:sz w:val="20"/>
      <w:szCs w:val="20"/>
    </w:rPr>
  </w:style>
  <w:style w:type="character" w:customStyle="1" w:styleId="CommentTextChar">
    <w:name w:val="Comment Text Char"/>
    <w:basedOn w:val="DefaultParagraphFont"/>
    <w:link w:val="CommentText"/>
    <w:uiPriority w:val="99"/>
    <w:rsid w:val="005052F4"/>
    <w:rPr>
      <w:sz w:val="20"/>
      <w:szCs w:val="20"/>
    </w:rPr>
  </w:style>
  <w:style w:type="paragraph" w:styleId="CommentSubject">
    <w:name w:val="annotation subject"/>
    <w:basedOn w:val="CommentText"/>
    <w:next w:val="CommentText"/>
    <w:link w:val="CommentSubjectChar"/>
    <w:uiPriority w:val="99"/>
    <w:semiHidden/>
    <w:unhideWhenUsed/>
    <w:rsid w:val="005052F4"/>
    <w:rPr>
      <w:b/>
      <w:bCs/>
    </w:rPr>
  </w:style>
  <w:style w:type="character" w:customStyle="1" w:styleId="CommentSubjectChar">
    <w:name w:val="Comment Subject Char"/>
    <w:basedOn w:val="CommentTextChar"/>
    <w:link w:val="CommentSubject"/>
    <w:uiPriority w:val="99"/>
    <w:semiHidden/>
    <w:rsid w:val="005052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94F4C-0317-424A-9D2D-0855D8CD2DC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ECA0130</dc:title>
  <cp:revision>0</cp:revision>
</cp:coreProperties>
</file>