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0D64" w:rsidRPr="005D0D64" w:rsidP="005D0D64">
      <w:pPr>
        <w:jc w:val="center"/>
        <w:rPr>
          <w:rFonts w:ascii="Calibri" w:hAnsi="Calibri" w:eastAsiaTheme="minorEastAsia" w:cs="Calibri"/>
          <w:b/>
          <w:bCs/>
          <w:sz w:val="22"/>
          <w:szCs w:val="22"/>
        </w:rPr>
      </w:pPr>
      <w:r w:rsidRPr="005D0D64">
        <w:rPr>
          <w:rFonts w:ascii="Calibri" w:hAnsi="Calibri" w:eastAsiaTheme="minorEastAsia" w:cs="Calibri"/>
          <w:b/>
          <w:bCs/>
          <w:sz w:val="22"/>
          <w:szCs w:val="22"/>
        </w:rPr>
        <w:t xml:space="preserve">Written evidence by </w:t>
      </w:r>
      <w:r w:rsidRPr="005D0D64">
        <w:rPr>
          <w:rFonts w:ascii="Calibri" w:hAnsi="Calibri" w:eastAsiaTheme="minorEastAsia" w:cs="Calibri"/>
          <w:b/>
          <w:bCs/>
          <w:sz w:val="22"/>
          <w:szCs w:val="22"/>
        </w:rPr>
        <w:t>The Careers &amp; Enterprise Company</w:t>
      </w:r>
      <w:r w:rsidRPr="005D0D64">
        <w:rPr>
          <w:rFonts w:ascii="Calibri" w:hAnsi="Calibri" w:eastAsiaTheme="minorEastAsia" w:cs="Calibri"/>
          <w:b/>
          <w:bCs/>
          <w:sz w:val="22"/>
          <w:szCs w:val="22"/>
        </w:rPr>
        <w:t xml:space="preserve"> (</w:t>
      </w:r>
      <w:r w:rsidRPr="005D0D64">
        <w:rPr>
          <w:rFonts w:ascii="Calibri" w:hAnsi="Calibri" w:eastAsiaTheme="minorEastAsia" w:cs="Calibri"/>
          <w:b/>
          <w:bCs/>
          <w:sz w:val="22"/>
          <w:szCs w:val="22"/>
        </w:rPr>
        <w:t>ECA0129</w:t>
      </w:r>
      <w:r w:rsidRPr="005D0D64">
        <w:rPr>
          <w:rFonts w:ascii="Calibri" w:hAnsi="Calibri" w:eastAsiaTheme="minorEastAsia" w:cs="Calibri"/>
          <w:b/>
          <w:bCs/>
          <w:sz w:val="22"/>
          <w:szCs w:val="22"/>
        </w:rPr>
        <w:t>)</w:t>
      </w:r>
    </w:p>
    <w:p w:rsidR="005D0D64" w:rsidRPr="005D0D64" w:rsidP="005D0D64">
      <w:pPr>
        <w:rPr>
          <w:rFonts w:ascii="Calibri" w:hAnsi="Calibri" w:eastAsiaTheme="minorEastAsia" w:cs="Calibri"/>
          <w:b/>
          <w:bCs/>
          <w:sz w:val="22"/>
          <w:szCs w:val="22"/>
        </w:rPr>
      </w:pPr>
      <w:r w:rsidRPr="005D0D64">
        <w:rPr>
          <w:rFonts w:ascii="Calibri" w:hAnsi="Calibri" w:eastAsiaTheme="minorEastAsia" w:cs="Calibri"/>
          <w:b/>
          <w:bCs/>
          <w:sz w:val="22"/>
          <w:szCs w:val="22"/>
        </w:rPr>
        <w:t>Education Committee</w:t>
      </w:r>
    </w:p>
    <w:p w:rsidR="005D0D64" w:rsidRPr="005D0D64" w:rsidP="005D0D64">
      <w:pPr>
        <w:rPr>
          <w:rFonts w:ascii="Calibri" w:hAnsi="Calibri" w:eastAsiaTheme="minorEastAsia" w:cs="Calibri"/>
          <w:b/>
          <w:bCs/>
          <w:sz w:val="22"/>
          <w:szCs w:val="22"/>
        </w:rPr>
      </w:pPr>
      <w:r w:rsidRPr="005D0D64">
        <w:rPr>
          <w:rFonts w:ascii="Calibri" w:eastAsia="Aptos" w:hAnsi="Calibri" w:cs="Calibri"/>
          <w:b/>
          <w:bCs/>
          <w:sz w:val="22"/>
          <w:szCs w:val="22"/>
        </w:rPr>
        <w:t>Every Child Achieving and Thriving’ White Paper</w:t>
      </w:r>
    </w:p>
    <w:p w:rsidR="005D0D64" w:rsidRPr="005D0D64" w:rsidP="738AAFBD">
      <w:pPr>
        <w:rPr>
          <w:rFonts w:ascii="Calibri" w:hAnsi="Calibri" w:eastAsiaTheme="minorEastAsia" w:cs="Calibri"/>
          <w:b/>
          <w:bCs/>
          <w:sz w:val="22"/>
          <w:szCs w:val="22"/>
        </w:rPr>
      </w:pPr>
    </w:p>
    <w:p w:rsidR="00F42DDE" w:rsidRPr="005D0D64" w:rsidP="738AAFBD">
      <w:pPr>
        <w:rPr>
          <w:rFonts w:ascii="Calibri" w:hAnsi="Calibri" w:eastAsiaTheme="minorEastAsia" w:cs="Calibri"/>
          <w:sz w:val="22"/>
          <w:szCs w:val="22"/>
        </w:rPr>
      </w:pPr>
      <w:r w:rsidRPr="005D0D64">
        <w:rPr>
          <w:rFonts w:ascii="Calibri" w:hAnsi="Calibri" w:eastAsiaTheme="minorEastAsia" w:cs="Calibri"/>
          <w:b/>
          <w:bCs/>
          <w:sz w:val="22"/>
          <w:szCs w:val="22"/>
        </w:rPr>
        <w:t>CEC is the independent national body for careers education. </w:t>
      </w:r>
      <w:r w:rsidRPr="005D0D64">
        <w:rPr>
          <w:rFonts w:ascii="Calibri" w:hAnsi="Calibri" w:eastAsiaTheme="minorEastAsia" w:cs="Calibri"/>
          <w:sz w:val="22"/>
          <w:szCs w:val="22"/>
        </w:rPr>
        <w:t>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Our </w:t>
      </w:r>
      <w:r w:rsidRPr="005D0D64">
        <w:rPr>
          <w:rFonts w:ascii="Calibri" w:hAnsi="Calibri" w:eastAsiaTheme="minorEastAsia" w:cs="Calibri"/>
          <w:sz w:val="22"/>
          <w:szCs w:val="22"/>
        </w:rPr>
        <w:t>mission</w:t>
      </w:r>
      <w:r w:rsidRPr="005D0D64">
        <w:rPr>
          <w:rFonts w:ascii="Calibri" w:hAnsi="Calibri" w:eastAsiaTheme="minorEastAsia" w:cs="Calibri"/>
          <w:sz w:val="22"/>
          <w:szCs w:val="22"/>
        </w:rPr>
        <w:t xml:space="preserve"> is to</w:t>
      </w:r>
      <w:r w:rsidRPr="005D0D64">
        <w:rPr>
          <w:rFonts w:ascii="Calibri" w:hAnsi="Calibri" w:eastAsiaTheme="minorEastAsia" w:cs="Calibri"/>
          <w:b/>
          <w:bCs/>
          <w:sz w:val="22"/>
          <w:szCs w:val="22"/>
        </w:rPr>
        <w:t xml:space="preserve"> </w:t>
      </w:r>
      <w:r w:rsidRPr="005D0D64">
        <w:rPr>
          <w:rFonts w:ascii="Calibri" w:hAnsi="Calibri" w:eastAsiaTheme="minorEastAsia" w:cs="Calibri"/>
          <w:sz w:val="22"/>
          <w:szCs w:val="22"/>
        </w:rPr>
        <w:t>help every young person find their best next step. We want to ensure that every young person benefits from a world-class system of careers education that offers skills development, </w:t>
      </w:r>
      <w:r w:rsidRPr="005D0D64">
        <w:rPr>
          <w:rFonts w:ascii="Calibri" w:hAnsi="Calibri" w:eastAsiaTheme="minorEastAsia" w:cs="Calibri"/>
          <w:sz w:val="22"/>
          <w:szCs w:val="22"/>
        </w:rPr>
        <w:t xml:space="preserve">good understanding of </w:t>
      </w:r>
      <w:r w:rsidRPr="005D0D64">
        <w:rPr>
          <w:rFonts w:ascii="Calibri" w:hAnsi="Calibri" w:eastAsiaTheme="minorEastAsia" w:cs="Calibri"/>
          <w:sz w:val="22"/>
          <w:szCs w:val="22"/>
        </w:rPr>
        <w:t>career pathways and a clear line of sight into high</w:t>
      </w:r>
      <w:r w:rsidRPr="005D0D64">
        <w:rPr>
          <w:rFonts w:ascii="Calibri" w:hAnsi="Calibri" w:eastAsiaTheme="minorEastAsia" w:cs="Calibri"/>
          <w:sz w:val="22"/>
          <w:szCs w:val="22"/>
        </w:rPr>
        <w:t>-</w:t>
      </w:r>
      <w:r w:rsidRPr="005D0D64">
        <w:rPr>
          <w:rFonts w:ascii="Calibri" w:hAnsi="Calibri" w:eastAsiaTheme="minorEastAsia" w:cs="Calibri"/>
          <w:sz w:val="22"/>
          <w:szCs w:val="22"/>
        </w:rPr>
        <w:t>quality jobs.  </w:t>
      </w:r>
      <w:r w:rsidRPr="005D0D64">
        <w:rPr>
          <w:rFonts w:ascii="Calibri" w:hAnsi="Calibri" w:eastAsiaTheme="minorEastAsia" w:cs="Calibri"/>
          <w:sz w:val="22"/>
          <w:szCs w:val="22"/>
        </w:rPr>
        <w:t>We measure this through:​</w:t>
      </w:r>
    </w:p>
    <w:p w:rsidR="00F42DDE" w:rsidRPr="005D0D64" w:rsidP="738AAFBD">
      <w:pPr>
        <w:pStyle w:val="ListParagraph"/>
        <w:numPr>
          <w:ilvl w:val="0"/>
          <w:numId w:val="1"/>
        </w:numPr>
        <w:spacing w:after="0"/>
        <w:rPr>
          <w:rFonts w:ascii="Calibri" w:hAnsi="Calibri" w:eastAsiaTheme="minorEastAsia" w:cs="Calibri"/>
          <w:sz w:val="22"/>
          <w:szCs w:val="22"/>
        </w:rPr>
      </w:pPr>
      <w:r w:rsidRPr="005D0D64">
        <w:rPr>
          <w:rFonts w:ascii="Calibri" w:hAnsi="Calibri" w:eastAsiaTheme="minorEastAsia" w:cs="Calibri"/>
          <w:sz w:val="22"/>
          <w:szCs w:val="22"/>
        </w:rPr>
        <w:t>More equitable access to high-quality careers education and essential skills development​</w:t>
      </w:r>
    </w:p>
    <w:p w:rsidR="00F42DDE" w:rsidRPr="005D0D64" w:rsidP="738AAFBD">
      <w:pPr>
        <w:pStyle w:val="ListParagraph"/>
        <w:numPr>
          <w:ilvl w:val="0"/>
          <w:numId w:val="1"/>
        </w:numPr>
        <w:spacing w:after="0"/>
        <w:rPr>
          <w:rFonts w:ascii="Calibri" w:hAnsi="Calibri" w:eastAsiaTheme="minorEastAsia" w:cs="Calibri"/>
          <w:sz w:val="22"/>
          <w:szCs w:val="22"/>
        </w:rPr>
      </w:pPr>
      <w:r w:rsidRPr="005D0D64">
        <w:rPr>
          <w:rFonts w:ascii="Calibri" w:hAnsi="Calibri" w:eastAsiaTheme="minorEastAsia" w:cs="Calibri"/>
          <w:sz w:val="22"/>
          <w:szCs w:val="22"/>
        </w:rPr>
        <w:t>Stronger career readiness for all young people​</w:t>
      </w:r>
    </w:p>
    <w:p w:rsidR="00F42DDE" w:rsidRPr="005D0D64" w:rsidP="738AAFBD">
      <w:pPr>
        <w:pStyle w:val="ListParagraph"/>
        <w:numPr>
          <w:ilvl w:val="0"/>
          <w:numId w:val="1"/>
        </w:numPr>
        <w:spacing w:after="0"/>
        <w:rPr>
          <w:rFonts w:ascii="Calibri" w:hAnsi="Calibri" w:eastAsiaTheme="minorEastAsia" w:cs="Calibri"/>
          <w:sz w:val="22"/>
          <w:szCs w:val="22"/>
        </w:rPr>
      </w:pPr>
      <w:r w:rsidRPr="005D0D64">
        <w:rPr>
          <w:rFonts w:ascii="Calibri" w:hAnsi="Calibri" w:eastAsiaTheme="minorEastAsia" w:cs="Calibri"/>
          <w:sz w:val="22"/>
          <w:szCs w:val="22"/>
        </w:rPr>
        <w:t>Better outcomes, including sustained destinations in education, training and employment​</w:t>
      </w:r>
    </w:p>
    <w:p w:rsidR="00F42DDE" w:rsidRPr="005D0D64" w:rsidP="738AAFBD">
      <w:pPr>
        <w:pStyle w:val="ListParagraph"/>
        <w:spacing w:after="0"/>
        <w:rPr>
          <w:rFonts w:ascii="Calibri" w:hAnsi="Calibri" w:eastAsiaTheme="minorEastAsia" w:cs="Calibri"/>
          <w:sz w:val="22"/>
          <w:szCs w:val="22"/>
        </w:rPr>
      </w:pP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This submission outlines how </w:t>
      </w:r>
      <w:r w:rsidRPr="005D0D64">
        <w:rPr>
          <w:rFonts w:ascii="Calibri" w:hAnsi="Calibri" w:eastAsiaTheme="minorEastAsia" w:cs="Calibri"/>
          <w:sz w:val="22"/>
          <w:szCs w:val="22"/>
        </w:rPr>
        <w:t xml:space="preserve">the </w:t>
      </w:r>
      <w:r w:rsidRPr="005D0D64">
        <w:rPr>
          <w:rFonts w:ascii="Calibri" w:hAnsi="Calibri" w:eastAsiaTheme="minorEastAsia" w:cs="Calibri"/>
          <w:sz w:val="22"/>
          <w:szCs w:val="22"/>
        </w:rPr>
        <w:t>place</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 based network of 44 Careers Hubs, working with Mayoral Strategic Authorities and Local Authorities, and supporting 96% of schools and colleges to align careers education with local labour market and skills needs, can support the ambitions of the Schools White </w:t>
      </w:r>
      <w:r w:rsidRPr="005D0D64">
        <w:rPr>
          <w:rFonts w:ascii="Calibri" w:hAnsi="Calibri" w:eastAsiaTheme="minorEastAsia" w:cs="Calibri"/>
          <w:sz w:val="22"/>
          <w:szCs w:val="22"/>
        </w:rPr>
        <w:t>P</w:t>
      </w:r>
      <w:r w:rsidRPr="005D0D64">
        <w:rPr>
          <w:rFonts w:ascii="Calibri" w:hAnsi="Calibri" w:eastAsiaTheme="minorEastAsia" w:cs="Calibri"/>
          <w:sz w:val="22"/>
          <w:szCs w:val="22"/>
        </w:rPr>
        <w:t xml:space="preserve">aper.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This will ensure effective utilisation of well-embedded structures and reduce the burden on institutions as </w:t>
      </w:r>
      <w:r w:rsidRPr="005D0D64">
        <w:rPr>
          <w:rFonts w:ascii="Calibri" w:hAnsi="Calibri" w:eastAsiaTheme="minorEastAsia" w:cs="Calibri"/>
          <w:sz w:val="22"/>
          <w:szCs w:val="22"/>
        </w:rPr>
        <w:t xml:space="preserve">they  </w:t>
      </w:r>
      <w:r w:rsidRPr="005D0D64">
        <w:rPr>
          <w:rFonts w:ascii="Calibri" w:hAnsi="Calibri" w:eastAsiaTheme="minorEastAsia" w:cs="Calibri"/>
          <w:sz w:val="22"/>
          <w:szCs w:val="22"/>
        </w:rPr>
        <w:t>implement</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reforms.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Our response </w:t>
      </w:r>
      <w:r w:rsidRPr="005D0D64">
        <w:rPr>
          <w:rFonts w:ascii="Calibri" w:hAnsi="Calibri" w:eastAsiaTheme="minorEastAsia" w:cs="Calibri"/>
          <w:sz w:val="22"/>
          <w:szCs w:val="22"/>
        </w:rPr>
        <w:t xml:space="preserve">focuses on </w:t>
      </w:r>
      <w:r w:rsidRPr="005D0D64">
        <w:rPr>
          <w:rFonts w:ascii="Calibri" w:hAnsi="Calibri" w:eastAsiaTheme="minorEastAsia" w:cs="Calibri"/>
          <w:sz w:val="22"/>
          <w:szCs w:val="22"/>
        </w:rPr>
        <w:t>the following questions</w:t>
      </w:r>
      <w:r w:rsidRPr="005D0D64">
        <w:rPr>
          <w:rFonts w:ascii="Calibri" w:hAnsi="Calibri" w:eastAsiaTheme="minorEastAsia" w:cs="Calibri"/>
          <w:sz w:val="22"/>
          <w:szCs w:val="22"/>
        </w:rPr>
        <w:t xml:space="preserve"> from the Terms of Reference</w:t>
      </w:r>
      <w:r w:rsidRPr="005D0D64">
        <w:rPr>
          <w:rFonts w:ascii="Calibri" w:hAnsi="Calibri" w:eastAsiaTheme="minorEastAsia" w:cs="Calibri"/>
          <w:sz w:val="22"/>
          <w:szCs w:val="22"/>
        </w:rPr>
        <w:t>:</w:t>
      </w:r>
    </w:p>
    <w:p w:rsidR="00F42DDE" w:rsidRPr="005D0D64" w:rsidP="738AAFBD">
      <w:pPr>
        <w:pStyle w:val="ListParagraph"/>
        <w:numPr>
          <w:ilvl w:val="0"/>
          <w:numId w:val="2"/>
        </w:numPr>
        <w:rPr>
          <w:rFonts w:ascii="Calibri" w:hAnsi="Calibri" w:eastAsiaTheme="minorEastAsia" w:cs="Calibri"/>
          <w:sz w:val="22"/>
          <w:szCs w:val="22"/>
        </w:rPr>
      </w:pPr>
      <w:r w:rsidRPr="005D0D64">
        <w:rPr>
          <w:rFonts w:ascii="Calibri" w:hAnsi="Calibri" w:eastAsiaTheme="minorEastAsia" w:cs="Calibri"/>
          <w:sz w:val="22"/>
          <w:szCs w:val="22"/>
        </w:rPr>
        <w:t xml:space="preserve">Raising attainment: How essential skills can be more effectively integrated into the curriculum </w:t>
      </w:r>
      <w:r w:rsidRPr="005D0D64">
        <w:rPr>
          <w:rFonts w:ascii="Calibri" w:hAnsi="Calibri" w:eastAsiaTheme="minorEastAsia" w:cs="Calibri"/>
          <w:sz w:val="22"/>
          <w:szCs w:val="22"/>
        </w:rPr>
        <w:t>in order to</w:t>
      </w:r>
      <w:r w:rsidRPr="005D0D64">
        <w:rPr>
          <w:rFonts w:ascii="Calibri" w:hAnsi="Calibri" w:eastAsiaTheme="minorEastAsia" w:cs="Calibri"/>
          <w:sz w:val="22"/>
          <w:szCs w:val="22"/>
        </w:rPr>
        <w:t xml:space="preserve"> raise attainment and reduce the number of young people not in education, employment or training (NEET)</w:t>
      </w:r>
    </w:p>
    <w:p w:rsidR="00F42DDE" w:rsidRPr="005D0D64" w:rsidP="738AAFBD">
      <w:pPr>
        <w:pStyle w:val="ListParagraph"/>
        <w:numPr>
          <w:ilvl w:val="0"/>
          <w:numId w:val="2"/>
        </w:numPr>
        <w:rPr>
          <w:rFonts w:ascii="Calibri" w:hAnsi="Calibri" w:eastAsiaTheme="minorEastAsia" w:cs="Calibri"/>
          <w:sz w:val="22"/>
          <w:szCs w:val="22"/>
        </w:rPr>
      </w:pPr>
      <w:r w:rsidRPr="005D0D64">
        <w:rPr>
          <w:rFonts w:ascii="Calibri" w:hAnsi="Calibri" w:eastAsiaTheme="minorEastAsia" w:cs="Calibri"/>
          <w:sz w:val="22"/>
          <w:szCs w:val="22"/>
        </w:rPr>
        <w:t>Enrichment, belonging and behaviour: The role of enrichment activities (including arts, sport, and civic engagement) in improving pupil outcomes and wellbeing.</w:t>
      </w:r>
    </w:p>
    <w:p w:rsidR="00F42DDE" w:rsidRPr="005D0D64" w:rsidP="738AAFBD">
      <w:pPr>
        <w:pStyle w:val="ListParagraph"/>
        <w:numPr>
          <w:ilvl w:val="0"/>
          <w:numId w:val="2"/>
        </w:numPr>
        <w:rPr>
          <w:rFonts w:ascii="Calibri" w:hAnsi="Calibri" w:eastAsiaTheme="minorEastAsia" w:cs="Calibri"/>
          <w:sz w:val="22"/>
          <w:szCs w:val="22"/>
        </w:rPr>
      </w:pPr>
      <w:r w:rsidRPr="005D0D64">
        <w:rPr>
          <w:rFonts w:ascii="Calibri" w:hAnsi="Calibri" w:eastAsiaTheme="minorEastAsia" w:cs="Calibri"/>
          <w:sz w:val="22"/>
          <w:szCs w:val="22"/>
        </w:rPr>
        <w:t>Wider Government policy: How the reforms set out in the White Paper align with other Government policies affecting children and young people, including the National Youth Strategy and proposals to extend voting rights to 16 and 17-year-olds.</w:t>
      </w:r>
    </w:p>
    <w:p w:rsidR="00F42DDE" w:rsidRPr="005D0D64" w:rsidP="738AAFBD">
      <w:pPr>
        <w:rPr>
          <w:rFonts w:ascii="Calibri" w:hAnsi="Calibri" w:eastAsiaTheme="minorEastAsia" w:cs="Calibri"/>
          <w:b/>
          <w:bCs/>
          <w:color w:val="00797B"/>
          <w:sz w:val="22"/>
          <w:szCs w:val="22"/>
        </w:rPr>
      </w:pPr>
      <w:r w:rsidRPr="005D0D64">
        <w:rPr>
          <w:rFonts w:ascii="Calibri" w:hAnsi="Calibri" w:eastAsiaTheme="minorEastAsia" w:cs="Calibri"/>
          <w:b/>
          <w:bCs/>
          <w:color w:val="00797B"/>
          <w:sz w:val="22"/>
          <w:szCs w:val="22"/>
        </w:rPr>
        <w:t xml:space="preserve">How essential skills can be more effectively integrated into the curriculum </w:t>
      </w:r>
      <w:r w:rsidRPr="005D0D64">
        <w:rPr>
          <w:rFonts w:ascii="Calibri" w:hAnsi="Calibri" w:eastAsiaTheme="minorEastAsia" w:cs="Calibri"/>
          <w:b/>
          <w:bCs/>
          <w:color w:val="00797B"/>
          <w:sz w:val="22"/>
          <w:szCs w:val="22"/>
        </w:rPr>
        <w:t>in order to</w:t>
      </w:r>
      <w:r w:rsidRPr="005D0D64">
        <w:rPr>
          <w:rFonts w:ascii="Calibri" w:hAnsi="Calibri" w:eastAsiaTheme="minorEastAsia" w:cs="Calibri"/>
          <w:b/>
          <w:bCs/>
          <w:color w:val="00797B"/>
          <w:sz w:val="22"/>
          <w:szCs w:val="22"/>
        </w:rPr>
        <w:t xml:space="preserve"> raise attainment and reduce the number of young people not in education, employment or training (NEET).</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As the national body for careers education, CEC supports schools and colleges in England to meet the </w:t>
      </w:r>
      <w:r>
        <w:fldChar w:fldCharType="begin"/>
      </w:r>
      <w:r>
        <w:instrText xml:space="preserve"> HYPERLINK "https://www.gatsbybenchmarks.org.uk/" </w:instrText>
      </w:r>
      <w:r>
        <w:fldChar w:fldCharType="separate"/>
      </w:r>
      <w:r w:rsidRPr="005D0D64">
        <w:rPr>
          <w:rStyle w:val="Hyperlink"/>
          <w:rFonts w:ascii="Calibri" w:hAnsi="Calibri" w:eastAsiaTheme="minorEastAsia" w:cs="Calibri"/>
          <w:sz w:val="22"/>
          <w:szCs w:val="22"/>
        </w:rPr>
        <w:t>Gatsby Benchmarks for good career guidance</w:t>
      </w:r>
      <w:r>
        <w:fldChar w:fldCharType="end"/>
      </w:r>
      <w:r w:rsidRPr="005D0D64">
        <w:rPr>
          <w:rFonts w:ascii="Calibri" w:hAnsi="Calibri" w:eastAsiaTheme="minorEastAsia" w:cs="Calibri"/>
          <w:sz w:val="22"/>
          <w:szCs w:val="22"/>
        </w:rPr>
        <w:t>. They</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have been adopted nationally and are now embedded within careers education policy in England. </w:t>
      </w:r>
    </w:p>
    <w:p w:rsidR="00F42DDE" w:rsidRPr="005D0D64" w:rsidP="738AAFBD">
      <w:pPr>
        <w:pStyle w:val="ListParagraph"/>
        <w:numPr>
          <w:ilvl w:val="0"/>
          <w:numId w:val="20"/>
        </w:numPr>
        <w:rPr>
          <w:rFonts w:ascii="Calibri" w:hAnsi="Calibri" w:eastAsiaTheme="minorEastAsia" w:cs="Calibri"/>
          <w:sz w:val="22"/>
          <w:szCs w:val="22"/>
        </w:rPr>
      </w:pPr>
      <w:r>
        <w:fldChar w:fldCharType="begin"/>
      </w:r>
      <w:r>
        <w:instrText xml:space="preserve"> HYPERLINK "https://www.careersandenterprise.co.uk/evidence-and-reports/insight-briefing-gatsby-benchmark-results-for-202425" </w:instrText>
      </w:r>
      <w:r>
        <w:fldChar w:fldCharType="separate"/>
      </w:r>
      <w:r w:rsidRPr="005D0D64">
        <w:rPr>
          <w:rStyle w:val="Hyperlink"/>
          <w:rFonts w:ascii="Calibri" w:hAnsi="Calibri" w:eastAsiaTheme="minorEastAsia" w:cs="Calibri"/>
          <w:sz w:val="22"/>
          <w:szCs w:val="22"/>
        </w:rPr>
        <w:t>94% of schools and colleges (over 4,800 institutions) now measure their careers provision using the 8 Gatsby Benchmarks</w:t>
      </w:r>
      <w:r>
        <w:fldChar w:fldCharType="end"/>
      </w:r>
      <w:r w:rsidRPr="005D0D64">
        <w:rPr>
          <w:rFonts w:ascii="Calibri" w:hAnsi="Calibri" w:eastAsiaTheme="minorEastAsia" w:cs="Calibri"/>
          <w:sz w:val="22"/>
          <w:szCs w:val="22"/>
        </w:rPr>
        <w:t>.  </w:t>
      </w:r>
    </w:p>
    <w:p w:rsidR="00F42DDE" w:rsidRPr="005D0D64" w:rsidP="738AAFBD">
      <w:pPr>
        <w:pStyle w:val="ListParagraph"/>
        <w:numPr>
          <w:ilvl w:val="0"/>
          <w:numId w:val="20"/>
        </w:numPr>
        <w:rPr>
          <w:rFonts w:ascii="Calibri" w:hAnsi="Calibri" w:eastAsiaTheme="minorEastAsia" w:cs="Calibri"/>
          <w:sz w:val="22"/>
          <w:szCs w:val="22"/>
        </w:rPr>
      </w:pPr>
      <w:r w:rsidRPr="005D0D64">
        <w:rPr>
          <w:rFonts w:ascii="Calibri" w:hAnsi="Calibri" w:eastAsiaTheme="minorEastAsia" w:cs="Calibri"/>
          <w:sz w:val="22"/>
          <w:szCs w:val="22"/>
        </w:rPr>
        <w:t>Since their adoption into statutory guidance in 2017, progress has more than</w:t>
      </w:r>
      <w:r w:rsidRPr="005D0D64">
        <w:rPr>
          <w:rFonts w:ascii="Calibri" w:hAnsi="Calibri" w:eastAsiaTheme="minorEastAsia" w:cs="Calibri"/>
          <w:sz w:val="22"/>
          <w:szCs w:val="22"/>
        </w:rPr>
        <w:t xml:space="preserve"> trebled</w:t>
      </w:r>
      <w:r w:rsidRPr="005D0D64">
        <w:rPr>
          <w:rFonts w:ascii="Calibri" w:hAnsi="Calibri" w:eastAsiaTheme="minorEastAsia" w:cs="Calibri"/>
          <w:sz w:val="22"/>
          <w:szCs w:val="22"/>
        </w:rPr>
        <w:t xml:space="preserve">, from a starting position of an average of 1.9 benchmarks </w:t>
      </w:r>
      <w:r w:rsidRPr="005D0D64">
        <w:rPr>
          <w:rFonts w:ascii="Calibri" w:hAnsi="Calibri" w:eastAsiaTheme="minorEastAsia" w:cs="Calibri"/>
          <w:sz w:val="22"/>
          <w:szCs w:val="22"/>
        </w:rPr>
        <w:t>full</w:t>
      </w:r>
      <w:r w:rsidRPr="005D0D64">
        <w:rPr>
          <w:rFonts w:ascii="Calibri" w:hAnsi="Calibri" w:eastAsiaTheme="minorEastAsia" w:cs="Calibri"/>
          <w:sz w:val="22"/>
          <w:szCs w:val="22"/>
        </w:rPr>
        <w:t>y ach</w:t>
      </w:r>
      <w:r w:rsidRPr="005D0D64">
        <w:rPr>
          <w:rFonts w:ascii="Calibri" w:hAnsi="Calibri" w:eastAsiaTheme="minorEastAsia" w:cs="Calibri"/>
          <w:sz w:val="22"/>
          <w:szCs w:val="22"/>
        </w:rPr>
        <w:t>ieved</w:t>
      </w:r>
      <w:r w:rsidRPr="005D0D64">
        <w:rPr>
          <w:rFonts w:ascii="Calibri" w:hAnsi="Calibri" w:eastAsiaTheme="minorEastAsia" w:cs="Calibri"/>
          <w:sz w:val="22"/>
          <w:szCs w:val="22"/>
        </w:rPr>
        <w:t xml:space="preserve"> in 2016/17</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to </w:t>
      </w:r>
      <w:r w:rsidRPr="005D0D64">
        <w:rPr>
          <w:rFonts w:ascii="Calibri" w:hAnsi="Calibri" w:eastAsiaTheme="minorEastAsia" w:cs="Calibri"/>
          <w:sz w:val="22"/>
          <w:szCs w:val="22"/>
        </w:rPr>
        <w:t>6.0</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in 202</w:t>
      </w:r>
      <w:r w:rsidRPr="005D0D64">
        <w:rPr>
          <w:rFonts w:ascii="Calibri" w:hAnsi="Calibri" w:eastAsiaTheme="minorEastAsia" w:cs="Calibri"/>
          <w:sz w:val="22"/>
          <w:szCs w:val="22"/>
        </w:rPr>
        <w:t>4/25</w:t>
      </w:r>
      <w:r w:rsidRPr="005D0D64">
        <w:rPr>
          <w:rFonts w:ascii="Calibri" w:hAnsi="Calibri" w:eastAsiaTheme="minorEastAsia" w:cs="Calibri"/>
          <w:sz w:val="22"/>
          <w:szCs w:val="22"/>
        </w:rPr>
        <w:t xml:space="preserve">. </w:t>
      </w:r>
    </w:p>
    <w:p w:rsidR="00F42DDE" w:rsidRPr="005D0D64" w:rsidP="738AAFBD">
      <w:pPr>
        <w:pStyle w:val="ListParagraph"/>
        <w:numPr>
          <w:ilvl w:val="0"/>
          <w:numId w:val="20"/>
        </w:numPr>
        <w:rPr>
          <w:rFonts w:ascii="Calibri" w:hAnsi="Calibri" w:eastAsiaTheme="minorEastAsia" w:cs="Calibri"/>
          <w:sz w:val="22"/>
          <w:szCs w:val="22"/>
        </w:rPr>
      </w:pPr>
      <w:r w:rsidRPr="005D0D64">
        <w:rPr>
          <w:rFonts w:ascii="Calibri" w:hAnsi="Calibri" w:eastAsiaTheme="minorEastAsia" w:cs="Calibri"/>
          <w:sz w:val="22"/>
          <w:szCs w:val="22"/>
        </w:rPr>
        <w:t>This matters because the highest quality careers provision reduces the likelihood of young people </w:t>
      </w:r>
      <w:r>
        <w:fldChar w:fldCharType="begin"/>
      </w:r>
      <w:r>
        <w:instrText xml:space="preserve"> HYPERLINK "https://www.careersandenterprise.co.uk/media/uh4jebzc/looking-deeper-at-destinations.pdf" </w:instrText>
      </w:r>
      <w:r>
        <w:fldChar w:fldCharType="separate"/>
      </w:r>
      <w:r w:rsidRPr="005D0D64">
        <w:rPr>
          <w:rStyle w:val="Hyperlink"/>
          <w:rFonts w:ascii="Calibri" w:hAnsi="Calibri" w:eastAsiaTheme="minorEastAsia" w:cs="Calibri"/>
          <w:sz w:val="22"/>
          <w:szCs w:val="22"/>
        </w:rPr>
        <w:t>being NEET by 8%</w:t>
      </w:r>
      <w:r>
        <w:fldChar w:fldCharType="end"/>
      </w:r>
      <w:r w:rsidRPr="005D0D64">
        <w:rPr>
          <w:rFonts w:ascii="Calibri" w:hAnsi="Calibri" w:eastAsiaTheme="minorEastAsia" w:cs="Calibri"/>
          <w:sz w:val="22"/>
          <w:szCs w:val="22"/>
        </w:rPr>
        <w:t> (post-16 and post-18), with </w:t>
      </w:r>
      <w:r>
        <w:fldChar w:fldCharType="begin"/>
      </w:r>
      <w:r>
        <w:instrText xml:space="preserve"> HYPERLINK "https://www.careersandenterprise.co.uk/evidence-and-reports/the-benefits-of-gatsby-benchmark-achievement-for-post-16-destinations/" </w:instrText>
      </w:r>
      <w:r>
        <w:fldChar w:fldCharType="separate"/>
      </w:r>
      <w:r w:rsidRPr="005D0D64">
        <w:rPr>
          <w:rStyle w:val="Hyperlink"/>
          <w:rFonts w:ascii="Calibri" w:hAnsi="Calibri" w:eastAsiaTheme="minorEastAsia" w:cs="Calibri"/>
          <w:sz w:val="22"/>
          <w:szCs w:val="22"/>
        </w:rPr>
        <w:t>double the impact</w:t>
      </w:r>
      <w:r>
        <w:fldChar w:fldCharType="end"/>
      </w:r>
      <w:r w:rsidRPr="005D0D64">
        <w:rPr>
          <w:rFonts w:ascii="Calibri" w:hAnsi="Calibri" w:eastAsiaTheme="minorEastAsia" w:cs="Calibri"/>
          <w:sz w:val="22"/>
          <w:szCs w:val="22"/>
        </w:rPr>
        <w:t> for high Free School Meal (FSM) cohorts. This is currently generating </w:t>
      </w:r>
      <w:r>
        <w:fldChar w:fldCharType="begin"/>
      </w:r>
      <w:r>
        <w:instrText xml:space="preserve"> HYPERLINK "https://www.careersandenterprise.co.uk/media/3wtgnnaf/technical-note-fiscal-benefit-of-inferred-neet-reductions-for-2020-21-to-2024-25.pdf" </w:instrText>
      </w:r>
      <w:r>
        <w:fldChar w:fldCharType="separate"/>
      </w:r>
      <w:r w:rsidRPr="005D0D64">
        <w:rPr>
          <w:rStyle w:val="Hyperlink"/>
          <w:rFonts w:ascii="Calibri" w:hAnsi="Calibri" w:eastAsiaTheme="minorEastAsia" w:cs="Calibri"/>
          <w:sz w:val="22"/>
          <w:szCs w:val="22"/>
        </w:rPr>
        <w:t>£300m in annual fiscal savings through reduced NEET outcomes</w:t>
      </w:r>
      <w:r>
        <w:fldChar w:fldCharType="end"/>
      </w:r>
      <w:r w:rsidRPr="005D0D64">
        <w:rPr>
          <w:rFonts w:ascii="Calibri" w:hAnsi="Calibri" w:eastAsiaTheme="minorEastAsia" w:cs="Calibri"/>
          <w:sz w:val="22"/>
          <w:szCs w:val="22"/>
        </w:rPr>
        <w:t>. </w:t>
      </w:r>
    </w:p>
    <w:p w:rsidR="00F42DDE" w:rsidRPr="005D0D64" w:rsidP="738AAFBD">
      <w:pPr>
        <w:rPr>
          <w:rFonts w:ascii="Calibri" w:hAnsi="Calibri" w:eastAsiaTheme="minorEastAsia" w:cs="Calibri"/>
          <w:sz w:val="22"/>
          <w:szCs w:val="22"/>
        </w:rPr>
      </w:pPr>
    </w:p>
    <w:p w:rsidR="00F42DDE" w:rsidRPr="005D0D64" w:rsidP="738AAFBD">
      <w:pPr>
        <w:rPr>
          <w:rFonts w:ascii="Calibri" w:hAnsi="Calibri" w:eastAsiaTheme="minorEastAsia" w:cs="Calibri"/>
          <w:sz w:val="22"/>
          <w:szCs w:val="22"/>
        </w:rPr>
      </w:pP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Good careers guidance has </w:t>
      </w:r>
      <w:r w:rsidRPr="005D0D64">
        <w:rPr>
          <w:rFonts w:ascii="Calibri" w:hAnsi="Calibri" w:eastAsiaTheme="minorEastAsia" w:cs="Calibri"/>
          <w:sz w:val="22"/>
          <w:szCs w:val="22"/>
        </w:rPr>
        <w:t xml:space="preserve">also been </w:t>
      </w:r>
      <w:r w:rsidRPr="005D0D64">
        <w:rPr>
          <w:rFonts w:ascii="Calibri" w:hAnsi="Calibri" w:eastAsiaTheme="minorEastAsia" w:cs="Calibri"/>
          <w:sz w:val="22"/>
          <w:szCs w:val="22"/>
        </w:rPr>
        <w:t>shown to correlate with </w:t>
      </w:r>
      <w:r>
        <w:fldChar w:fldCharType="begin"/>
      </w:r>
      <w:r>
        <w:instrText xml:space="preserve"> HYPERLINK "https://www.careersandenterprise.co.uk/sites/cweb/files/qnbbzpwr/apr25_career-readiness-through-time.pdf" </w:instrText>
      </w:r>
      <w:r>
        <w:fldChar w:fldCharType="separate"/>
      </w:r>
      <w:r w:rsidRPr="005D0D64">
        <w:rPr>
          <w:rStyle w:val="Hyperlink"/>
          <w:rFonts w:ascii="Calibri" w:hAnsi="Calibri" w:eastAsiaTheme="minorEastAsia" w:cs="Calibri"/>
          <w:sz w:val="22"/>
          <w:szCs w:val="22"/>
        </w:rPr>
        <w:t>faster progress on career readiness and essential skills</w:t>
      </w:r>
      <w:r>
        <w:fldChar w:fldCharType="end"/>
      </w:r>
      <w:r w:rsidRPr="005D0D64">
        <w:rPr>
          <w:rFonts w:ascii="Calibri" w:hAnsi="Calibri" w:eastAsiaTheme="minorEastAsia" w:cs="Calibri"/>
          <w:sz w:val="22"/>
          <w:szCs w:val="22"/>
        </w:rPr>
        <w:t>.</w:t>
      </w:r>
    </w:p>
    <w:p w:rsidR="00F42DDE" w:rsidRPr="005D0D64" w:rsidP="738AAFBD">
      <w:pPr>
        <w:pStyle w:val="ListParagraph"/>
        <w:numPr>
          <w:ilvl w:val="0"/>
          <w:numId w:val="6"/>
        </w:numPr>
        <w:rPr>
          <w:rFonts w:ascii="Calibri" w:hAnsi="Calibri" w:eastAsiaTheme="minorEastAsia" w:cs="Calibri"/>
          <w:sz w:val="22"/>
          <w:szCs w:val="22"/>
        </w:rPr>
      </w:pPr>
      <w:r w:rsidRPr="005D0D64">
        <w:rPr>
          <w:rFonts w:ascii="Calibri" w:hAnsi="Calibri" w:eastAsiaTheme="minorEastAsia" w:cs="Calibri"/>
          <w:sz w:val="22"/>
          <w:szCs w:val="22"/>
        </w:rPr>
        <w:t>We collect data on young people</w:t>
      </w:r>
      <w:r w:rsidRPr="005D0D64">
        <w:rPr>
          <w:rFonts w:ascii="Calibri" w:hAnsi="Calibri" w:eastAsiaTheme="minorEastAsia" w:cs="Calibri"/>
          <w:sz w:val="22"/>
          <w:szCs w:val="22"/>
        </w:rPr>
        <w:t>’s</w:t>
      </w:r>
      <w:r w:rsidRPr="005D0D64">
        <w:rPr>
          <w:rFonts w:ascii="Calibri" w:hAnsi="Calibri" w:eastAsiaTheme="minorEastAsia" w:cs="Calibri"/>
          <w:sz w:val="22"/>
          <w:szCs w:val="22"/>
        </w:rPr>
        <w:t xml:space="preserve"> essential skills development through the </w:t>
      </w:r>
      <w:r>
        <w:fldChar w:fldCharType="begin"/>
      </w:r>
      <w:r>
        <w:instrText xml:space="preserve"> HYPERLINK "https://www.careersandenterprise.co.uk/evidence-and-reports/insight-briefing-student-career-readiness-202425" </w:instrText>
      </w:r>
      <w:r>
        <w:fldChar w:fldCharType="separate"/>
      </w:r>
      <w:r w:rsidRPr="005D0D64">
        <w:rPr>
          <w:rStyle w:val="Hyperlink"/>
          <w:rFonts w:ascii="Calibri" w:hAnsi="Calibri" w:eastAsiaTheme="minorEastAsia" w:cs="Calibri"/>
          <w:sz w:val="22"/>
          <w:szCs w:val="22"/>
        </w:rPr>
        <w:t>Future Skills Questionnaire</w:t>
      </w:r>
      <w:r>
        <w:fldChar w:fldCharType="end"/>
      </w:r>
      <w:r w:rsidRPr="005D0D64">
        <w:rPr>
          <w:rFonts w:ascii="Calibri" w:hAnsi="Calibri" w:eastAsiaTheme="minorEastAsia" w:cs="Calibri"/>
          <w:sz w:val="22"/>
          <w:szCs w:val="22"/>
        </w:rPr>
        <w:t> (FSQ). Voluntary adoption of this tool has grown fast over the last three years. In the 2025/26 academic year</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it was completed by</w:t>
      </w:r>
      <w:r w:rsidRPr="005D0D64">
        <w:rPr>
          <w:rFonts w:ascii="Calibri" w:hAnsi="Calibri" w:eastAsiaTheme="minorEastAsia" w:cs="Calibri"/>
          <w:sz w:val="22"/>
          <w:szCs w:val="22"/>
        </w:rPr>
        <w:t xml:space="preserve"> more tha</w:t>
      </w:r>
      <w:r w:rsidRPr="005D0D64">
        <w:rPr>
          <w:rFonts w:ascii="Calibri" w:hAnsi="Calibri" w:eastAsiaTheme="minorEastAsia" w:cs="Calibri"/>
          <w:sz w:val="22"/>
          <w:szCs w:val="22"/>
        </w:rPr>
        <w:t>n</w:t>
      </w:r>
      <w:r w:rsidRPr="005D0D64">
        <w:rPr>
          <w:rFonts w:ascii="Calibri" w:hAnsi="Calibri" w:eastAsiaTheme="minorEastAsia" w:cs="Calibri"/>
          <w:sz w:val="22"/>
          <w:szCs w:val="22"/>
        </w:rPr>
        <w:t> half a million 11</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to </w:t>
      </w:r>
      <w:r w:rsidRPr="005D0D64">
        <w:rPr>
          <w:rFonts w:ascii="Calibri" w:hAnsi="Calibri" w:eastAsiaTheme="minorEastAsia" w:cs="Calibri"/>
          <w:sz w:val="22"/>
          <w:szCs w:val="22"/>
        </w:rPr>
        <w:t>18</w:t>
      </w:r>
      <w:r w:rsidRPr="005D0D64">
        <w:rPr>
          <w:rFonts w:ascii="Calibri" w:hAnsi="Calibri" w:eastAsiaTheme="minorEastAsia" w:cs="Calibri"/>
          <w:sz w:val="22"/>
          <w:szCs w:val="22"/>
        </w:rPr>
        <w:t>-</w:t>
      </w:r>
      <w:r w:rsidRPr="005D0D64">
        <w:rPr>
          <w:rFonts w:ascii="Calibri" w:hAnsi="Calibri" w:eastAsiaTheme="minorEastAsia" w:cs="Calibri"/>
          <w:sz w:val="22"/>
          <w:szCs w:val="22"/>
        </w:rPr>
        <w:t>year</w:t>
      </w:r>
      <w:r w:rsidRPr="005D0D64">
        <w:rPr>
          <w:rFonts w:ascii="Calibri" w:hAnsi="Calibri" w:eastAsiaTheme="minorEastAsia" w:cs="Calibri"/>
          <w:sz w:val="22"/>
          <w:szCs w:val="22"/>
        </w:rPr>
        <w:t>-</w:t>
      </w:r>
      <w:r w:rsidRPr="005D0D64">
        <w:rPr>
          <w:rFonts w:ascii="Calibri" w:hAnsi="Calibri" w:eastAsiaTheme="minorEastAsia" w:cs="Calibri"/>
          <w:sz w:val="22"/>
          <w:szCs w:val="22"/>
        </w:rPr>
        <w:t>olds</w:t>
      </w:r>
      <w:r w:rsidRPr="005D0D64">
        <w:rPr>
          <w:rFonts w:ascii="Calibri" w:hAnsi="Calibri" w:eastAsiaTheme="minorEastAsia" w:cs="Calibri"/>
          <w:sz w:val="22"/>
          <w:szCs w:val="22"/>
        </w:rPr>
        <w:t xml:space="preserve"> (publication forthcoming)</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2024/25 data</w:t>
      </w:r>
      <w:r w:rsidRPr="005D0D64">
        <w:rPr>
          <w:rFonts w:ascii="Calibri" w:hAnsi="Calibri" w:eastAsiaTheme="minorEastAsia" w:cs="Calibri"/>
          <w:sz w:val="22"/>
          <w:szCs w:val="22"/>
        </w:rPr>
        <w:t xml:space="preserve"> shows: </w:t>
      </w:r>
    </w:p>
    <w:p w:rsidR="00F42DDE" w:rsidRPr="005D0D64" w:rsidP="738AAFBD">
      <w:pPr>
        <w:pStyle w:val="ListParagraph"/>
        <w:numPr>
          <w:ilvl w:val="1"/>
          <w:numId w:val="6"/>
        </w:numPr>
        <w:rPr>
          <w:rFonts w:ascii="Calibri" w:hAnsi="Calibri" w:eastAsiaTheme="minorEastAsia" w:cs="Calibri"/>
          <w:sz w:val="22"/>
          <w:szCs w:val="22"/>
        </w:rPr>
      </w:pPr>
      <w:r w:rsidRPr="005D0D64">
        <w:rPr>
          <w:rFonts w:ascii="Calibri" w:hAnsi="Calibri" w:eastAsiaTheme="minorEastAsia" w:cs="Calibri"/>
          <w:sz w:val="22"/>
          <w:szCs w:val="22"/>
        </w:rPr>
        <w:t xml:space="preserve">Young people's essential skills typically dip on starting secondary and then improve by the transition to post-16. </w:t>
      </w:r>
    </w:p>
    <w:p w:rsidR="00F42DDE" w:rsidRPr="005D0D64" w:rsidP="738AAFBD">
      <w:pPr>
        <w:pStyle w:val="ListParagraph"/>
        <w:numPr>
          <w:ilvl w:val="1"/>
          <w:numId w:val="6"/>
        </w:numPr>
        <w:rPr>
          <w:rFonts w:ascii="Calibri" w:hAnsi="Calibri" w:eastAsiaTheme="minorEastAsia" w:cs="Calibri"/>
          <w:sz w:val="22"/>
          <w:szCs w:val="22"/>
        </w:rPr>
      </w:pPr>
      <w:r w:rsidRPr="005D0D64">
        <w:rPr>
          <w:rFonts w:ascii="Calibri" w:hAnsi="Calibri" w:eastAsiaTheme="minorEastAsia" w:cs="Calibri"/>
          <w:sz w:val="22"/>
          <w:szCs w:val="22"/>
        </w:rPr>
        <w:t>Creativity and Problem Solving show the strongest growth between Years 7 and 11 (improving by 12%pts and 6%pts respectively), reflecting the expected development in higher-order cognitive skills</w:t>
      </w:r>
      <w:r w:rsidRPr="005D0D64">
        <w:rPr>
          <w:rFonts w:ascii="Calibri" w:hAnsi="Calibri" w:eastAsiaTheme="minorEastAsia" w:cs="Calibri"/>
          <w:sz w:val="22"/>
          <w:szCs w:val="22"/>
        </w:rPr>
        <w:t>.</w:t>
      </w:r>
    </w:p>
    <w:p w:rsidR="00F42DDE" w:rsidRPr="005D0D64" w:rsidP="738AAFBD">
      <w:pPr>
        <w:pStyle w:val="ListParagraph"/>
        <w:numPr>
          <w:ilvl w:val="0"/>
          <w:numId w:val="6"/>
        </w:numPr>
        <w:rPr>
          <w:rFonts w:ascii="Calibri" w:hAnsi="Calibri" w:eastAsiaTheme="minorEastAsia" w:cs="Calibri"/>
          <w:sz w:val="22"/>
          <w:szCs w:val="22"/>
        </w:rPr>
      </w:pPr>
      <w:r w:rsidRPr="005D0D64">
        <w:rPr>
          <w:rFonts w:ascii="Calibri" w:hAnsi="Calibri" w:eastAsiaTheme="minorEastAsia" w:cs="Calibri"/>
          <w:sz w:val="22"/>
          <w:szCs w:val="22"/>
        </w:rPr>
        <w:t>Schools are also embedding career</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related learning and essential skills development into curriculums. </w:t>
      </w:r>
      <w:r w:rsidRPr="005D0D64">
        <w:rPr>
          <w:rFonts w:ascii="Calibri" w:hAnsi="Calibri" w:eastAsiaTheme="minorEastAsia" w:cs="Calibri"/>
          <w:sz w:val="22"/>
          <w:szCs w:val="22"/>
        </w:rPr>
        <w:t>8</w:t>
      </w:r>
      <w:r w:rsidRPr="005D0D64">
        <w:rPr>
          <w:rFonts w:ascii="Calibri" w:hAnsi="Calibri" w:eastAsiaTheme="minorEastAsia" w:cs="Calibri"/>
          <w:sz w:val="22"/>
          <w:szCs w:val="22"/>
        </w:rPr>
        <w:t>2</w:t>
      </w:r>
      <w:r w:rsidRPr="005D0D64">
        <w:rPr>
          <w:rFonts w:ascii="Calibri" w:hAnsi="Calibri" w:eastAsiaTheme="minorEastAsia" w:cs="Calibri"/>
          <w:sz w:val="22"/>
          <w:szCs w:val="22"/>
        </w:rPr>
        <w:t>% of schools and colleges are now fully meeting Benchmark 4</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Linking curriculum learning to careers</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up from 70% in 2021/22. </w:t>
      </w:r>
    </w:p>
    <w:p w:rsidR="00F42DDE" w:rsidRPr="005D0D64" w:rsidP="738AAFBD">
      <w:pPr>
        <w:pStyle w:val="ListParagraph"/>
        <w:numPr>
          <w:ilvl w:val="0"/>
          <w:numId w:val="6"/>
        </w:numPr>
        <w:rPr>
          <w:rFonts w:ascii="Calibri" w:hAnsi="Calibri" w:eastAsiaTheme="minorEastAsia" w:cs="Calibri"/>
          <w:sz w:val="22"/>
          <w:szCs w:val="22"/>
        </w:rPr>
      </w:pPr>
      <w:r w:rsidRPr="005D0D64">
        <w:rPr>
          <w:rFonts w:ascii="Calibri" w:hAnsi="Calibri" w:eastAsiaTheme="minorEastAsia" w:cs="Calibri"/>
          <w:sz w:val="22"/>
          <w:szCs w:val="22"/>
        </w:rPr>
        <w:t>Excellent practice exists</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Curriculum subject experts from the </w:t>
      </w:r>
      <w:r>
        <w:fldChar w:fldCharType="begin"/>
      </w:r>
      <w:r>
        <w:instrText xml:space="preserve"> HYPERLINK "https://resources.careersandenterprise.co.uk/resources/aet-and-pinewood-careers-maths-resource" </w:instrText>
      </w:r>
      <w:r>
        <w:fldChar w:fldCharType="separate"/>
      </w:r>
      <w:r w:rsidRPr="005D0D64">
        <w:rPr>
          <w:rStyle w:val="Hyperlink"/>
          <w:rFonts w:ascii="Calibri" w:hAnsi="Calibri" w:eastAsiaTheme="minorEastAsia" w:cs="Calibri"/>
          <w:sz w:val="22"/>
          <w:szCs w:val="22"/>
        </w:rPr>
        <w:t>Academies Enterprise Trust (now LIFT) have worked with Pinewood Studios</w:t>
      </w:r>
      <w:r>
        <w:fldChar w:fldCharType="end"/>
      </w:r>
      <w:r w:rsidRPr="005D0D64">
        <w:rPr>
          <w:rFonts w:ascii="Calibri" w:hAnsi="Calibri" w:eastAsiaTheme="minorEastAsia" w:cs="Calibri"/>
          <w:sz w:val="22"/>
          <w:szCs w:val="22"/>
        </w:rPr>
        <w:t xml:space="preserve"> to create a suite of resources for Key Stage 3 and 4 students, which embed relevant workplace insight within maths curriculums.</w:t>
      </w:r>
      <w:r w:rsidRPr="005D0D64">
        <w:rPr>
          <w:rFonts w:ascii="Calibri" w:hAnsi="Calibri" w:eastAsiaTheme="minorEastAsia" w:cs="Calibri"/>
          <w:sz w:val="22"/>
          <w:szCs w:val="22"/>
        </w:rPr>
        <w:t xml:space="preserve"> </w:t>
      </w:r>
      <w:r>
        <w:fldChar w:fldCharType="begin"/>
      </w:r>
      <w:r>
        <w:instrText xml:space="preserve"> HYPERLINK "https://resources.careersandenterprise.co.uk/explore/all-resources-all-one-place?f%5B0%5D=All&amp;search_api_fulltext=pinewood&amp;sort_bef_combine=changed_DESC" </w:instrText>
      </w:r>
      <w:r>
        <w:fldChar w:fldCharType="separate"/>
      </w:r>
      <w:r w:rsidRPr="005D0D64">
        <w:rPr>
          <w:rStyle w:val="Hyperlink"/>
          <w:rFonts w:ascii="Calibri" w:hAnsi="Calibri" w:eastAsiaTheme="minorEastAsia" w:cs="Calibri"/>
          <w:sz w:val="22"/>
          <w:szCs w:val="22"/>
        </w:rPr>
        <w:t>CEC have developed My Learning My Future:</w:t>
      </w:r>
      <w:r>
        <w:fldChar w:fldCharType="end"/>
      </w:r>
      <w:r w:rsidRPr="005D0D64">
        <w:rPr>
          <w:rFonts w:ascii="Calibri" w:hAnsi="Calibri" w:eastAsiaTheme="minorEastAsia" w:cs="Calibri"/>
          <w:sz w:val="22"/>
          <w:szCs w:val="22"/>
        </w:rPr>
        <w:t xml:space="preserve"> a suite of resources which equips subject teachers to help students see how the knowledge and skills they learn can open doors to a variety of careers. These resources show students how their subjects connect to real-world jobs and help them become more effective in the workplace.  We have over </w:t>
      </w:r>
      <w:r w:rsidRPr="005D0D64">
        <w:rPr>
          <w:rFonts w:ascii="Calibri" w:hAnsi="Calibri" w:eastAsiaTheme="minorEastAsia" w:cs="Calibri"/>
          <w:sz w:val="22"/>
          <w:szCs w:val="22"/>
        </w:rPr>
        <w:t>54</w:t>
      </w:r>
      <w:r w:rsidRPr="005D0D64">
        <w:rPr>
          <w:rFonts w:ascii="Calibri" w:hAnsi="Calibri" w:eastAsiaTheme="minorEastAsia" w:cs="Calibri"/>
          <w:sz w:val="22"/>
          <w:szCs w:val="22"/>
        </w:rPr>
        <w:t xml:space="preserve">,000 active users of </w:t>
      </w:r>
      <w:r w:rsidRPr="005D0D64">
        <w:rPr>
          <w:rFonts w:ascii="Calibri" w:hAnsi="Calibri" w:eastAsiaTheme="minorEastAsia" w:cs="Calibri"/>
          <w:sz w:val="22"/>
          <w:szCs w:val="22"/>
        </w:rPr>
        <w:t>our range of</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online </w:t>
      </w:r>
      <w:r w:rsidRPr="005D0D64">
        <w:rPr>
          <w:rFonts w:ascii="Calibri" w:hAnsi="Calibri" w:eastAsiaTheme="minorEastAsia" w:cs="Calibri"/>
          <w:sz w:val="22"/>
          <w:szCs w:val="22"/>
        </w:rPr>
        <w:t>resources</w:t>
      </w:r>
      <w:r w:rsidRPr="005D0D64">
        <w:rPr>
          <w:rFonts w:ascii="Calibri" w:hAnsi="Calibri" w:eastAsiaTheme="minorEastAsia" w:cs="Calibri"/>
          <w:sz w:val="22"/>
          <w:szCs w:val="22"/>
        </w:rPr>
        <w:t xml:space="preserve"> for careers leaders</w:t>
      </w:r>
      <w:r w:rsidRPr="005D0D64">
        <w:rPr>
          <w:rFonts w:ascii="Calibri" w:hAnsi="Calibri" w:eastAsiaTheme="minorEastAsia" w:cs="Calibri"/>
          <w:sz w:val="22"/>
          <w:szCs w:val="22"/>
        </w:rPr>
        <w:t xml:space="preserve">, demonstrating the appetite from curriculum leaders and teachers to bring their subjects to life. </w:t>
      </w:r>
    </w:p>
    <w:p w:rsidR="00F42DDE" w:rsidRPr="005D0D64" w:rsidP="738AAFBD">
      <w:pPr>
        <w:pStyle w:val="ListParagraph"/>
        <w:numPr>
          <w:ilvl w:val="0"/>
          <w:numId w:val="6"/>
        </w:numPr>
        <w:rPr>
          <w:rFonts w:ascii="Calibri" w:hAnsi="Calibri" w:eastAsiaTheme="minorEastAsia" w:cs="Calibri"/>
          <w:sz w:val="22"/>
          <w:szCs w:val="22"/>
        </w:rPr>
      </w:pPr>
      <w:r w:rsidRPr="005D0D64">
        <w:rPr>
          <w:rFonts w:ascii="Calibri" w:hAnsi="Calibri" w:eastAsiaTheme="minorEastAsia" w:cs="Calibri"/>
          <w:sz w:val="22"/>
          <w:szCs w:val="22"/>
        </w:rPr>
        <w:t xml:space="preserve">CEC also supports employers to deliver </w:t>
      </w:r>
      <w:r w:rsidRPr="005D0D64">
        <w:rPr>
          <w:rFonts w:ascii="Calibri" w:hAnsi="Calibri" w:eastAsiaTheme="minorEastAsia" w:cs="Calibri"/>
          <w:sz w:val="22"/>
          <w:szCs w:val="22"/>
        </w:rPr>
        <w:t>g</w:t>
      </w:r>
      <w:r w:rsidRPr="005D0D64">
        <w:rPr>
          <w:rFonts w:ascii="Calibri" w:hAnsi="Calibri" w:eastAsiaTheme="minorEastAsia" w:cs="Calibri"/>
          <w:sz w:val="22"/>
          <w:szCs w:val="22"/>
        </w:rPr>
        <w:t>ood</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practice careers outreach. We work with over </w:t>
      </w:r>
      <w:r>
        <w:fldChar w:fldCharType="begin"/>
      </w:r>
      <w:r>
        <w:instrText xml:space="preserve"> HYPERLINK "https://www.careersandenterprise.co.uk/employers" </w:instrText>
      </w:r>
      <w:r>
        <w:fldChar w:fldCharType="separate"/>
      </w:r>
      <w:r w:rsidRPr="005D0D64">
        <w:rPr>
          <w:rStyle w:val="Hyperlink"/>
          <w:rFonts w:ascii="Calibri" w:hAnsi="Calibri" w:eastAsiaTheme="minorEastAsia" w:cs="Calibri"/>
          <w:sz w:val="22"/>
          <w:szCs w:val="22"/>
        </w:rPr>
        <w:t>4</w:t>
      </w:r>
      <w:r w:rsidRPr="005D0D64">
        <w:rPr>
          <w:rStyle w:val="Hyperlink"/>
          <w:rFonts w:ascii="Calibri" w:hAnsi="Calibri" w:eastAsiaTheme="minorEastAsia" w:cs="Calibri"/>
          <w:sz w:val="22"/>
          <w:szCs w:val="22"/>
        </w:rPr>
        <w:t>50 leading employers</w:t>
      </w:r>
      <w:r>
        <w:fldChar w:fldCharType="end"/>
      </w:r>
      <w:r w:rsidRPr="005D0D64">
        <w:rPr>
          <w:rFonts w:ascii="Calibri" w:hAnsi="Calibri" w:eastAsiaTheme="minorEastAsia" w:cs="Calibri"/>
          <w:sz w:val="22"/>
          <w:szCs w:val="22"/>
        </w:rPr>
        <w:t xml:space="preserve">, </w:t>
      </w:r>
      <w:r>
        <w:fldChar w:fldCharType="begin"/>
      </w:r>
      <w:r>
        <w:instrText xml:space="preserve"> HYPERLINK "https://www.careersandenterprise.co.uk/employers/help-schools-special-schools-and-colleges-shape-future-careers" </w:instrText>
      </w:r>
      <w:r>
        <w:fldChar w:fldCharType="separate"/>
      </w:r>
      <w:r w:rsidRPr="005D0D64">
        <w:rPr>
          <w:rStyle w:val="Hyperlink"/>
          <w:rFonts w:ascii="Calibri" w:hAnsi="Calibri" w:eastAsiaTheme="minorEastAsia" w:cs="Calibri"/>
          <w:sz w:val="22"/>
          <w:szCs w:val="22"/>
        </w:rPr>
        <w:t>4,000 business volunteers</w:t>
      </w:r>
      <w:r>
        <w:fldChar w:fldCharType="end"/>
      </w:r>
      <w:r w:rsidRPr="005D0D64">
        <w:rPr>
          <w:rFonts w:ascii="Calibri" w:hAnsi="Calibri" w:eastAsiaTheme="minorEastAsia" w:cs="Calibri"/>
          <w:sz w:val="22"/>
          <w:szCs w:val="22"/>
        </w:rPr>
        <w:t xml:space="preserve"> and over 50 sector bodies in England. The </w:t>
      </w:r>
      <w:r>
        <w:fldChar w:fldCharType="begin"/>
      </w:r>
      <w:r>
        <w:instrText xml:space="preserve"> HYPERLINK "https://www.careersandenterprise.co.uk/employer-standards" </w:instrText>
      </w:r>
      <w:r>
        <w:fldChar w:fldCharType="separate"/>
      </w:r>
      <w:r w:rsidRPr="005D0D64">
        <w:rPr>
          <w:rStyle w:val="Hyperlink"/>
          <w:rFonts w:ascii="Calibri" w:hAnsi="Calibri" w:eastAsiaTheme="minorEastAsia" w:cs="Calibri"/>
          <w:sz w:val="22"/>
          <w:szCs w:val="22"/>
        </w:rPr>
        <w:t>Employer Standards Framework</w:t>
      </w:r>
      <w:r>
        <w:fldChar w:fldCharType="end"/>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(completed by over 1,750 employers from a range of sectors) </w:t>
      </w:r>
      <w:r w:rsidRPr="005D0D64">
        <w:rPr>
          <w:rFonts w:ascii="Calibri" w:hAnsi="Calibri" w:eastAsiaTheme="minorEastAsia" w:cs="Calibri"/>
          <w:sz w:val="22"/>
          <w:szCs w:val="22"/>
        </w:rPr>
        <w:t>provides a clear framework to businesses of all shapes and sizes to maximise the impact of employer engagement with young people, ensuring mutual value and long-term business success. This includes tools and resources to embed essential skills development in their out</w:t>
      </w:r>
      <w:r w:rsidRPr="005D0D64">
        <w:rPr>
          <w:rFonts w:ascii="Calibri" w:hAnsi="Calibri" w:eastAsiaTheme="minorEastAsia" w:cs="Calibri"/>
          <w:sz w:val="22"/>
          <w:szCs w:val="22"/>
        </w:rPr>
        <w:t xml:space="preserve">reach; raise awareness of pathways into work; and share local labour market insight </w:t>
      </w:r>
      <w:r w:rsidRPr="005D0D64">
        <w:rPr>
          <w:rFonts w:ascii="Calibri" w:hAnsi="Calibri" w:eastAsiaTheme="minorEastAsia" w:cs="Calibri"/>
          <w:sz w:val="22"/>
          <w:szCs w:val="22"/>
        </w:rPr>
        <w:t xml:space="preserve">with educators, linking careers into the curriculum. </w:t>
      </w:r>
    </w:p>
    <w:p w:rsidR="00F42DDE" w:rsidRPr="005D0D64" w:rsidP="738AAFBD">
      <w:pPr>
        <w:pStyle w:val="ListParagraph"/>
        <w:numPr>
          <w:ilvl w:val="0"/>
          <w:numId w:val="6"/>
        </w:numPr>
        <w:rPr>
          <w:rFonts w:ascii="Calibri" w:hAnsi="Calibri" w:eastAsiaTheme="minorEastAsia" w:cs="Calibri"/>
          <w:sz w:val="22"/>
          <w:szCs w:val="22"/>
        </w:rPr>
      </w:pPr>
      <w:r>
        <w:fldChar w:fldCharType="begin"/>
      </w:r>
      <w:r>
        <w:instrText xml:space="preserve"> HYPERLINK "https://www.careersandenterprise.co.uk/sites/cweb/files/2026-04/Employer%20Standards%202024-25%20%E2%80%93%20the%20business%20case%20for%20engaging%20in%20careers%20education%20v7.pdf" </w:instrText>
      </w:r>
      <w:r>
        <w:fldChar w:fldCharType="separate"/>
      </w:r>
      <w:r w:rsidRPr="005D0D64">
        <w:rPr>
          <w:rStyle w:val="Hyperlink"/>
          <w:rFonts w:ascii="Calibri" w:hAnsi="Calibri" w:eastAsiaTheme="minorEastAsia" w:cs="Calibri"/>
          <w:sz w:val="22"/>
          <w:szCs w:val="22"/>
        </w:rPr>
        <w:t>Data shows</w:t>
      </w:r>
      <w:r>
        <w:fldChar w:fldCharType="end"/>
      </w:r>
      <w:r w:rsidRPr="005D0D64">
        <w:rPr>
          <w:rFonts w:ascii="Calibri" w:hAnsi="Calibri" w:eastAsiaTheme="minorEastAsia" w:cs="Calibri"/>
          <w:sz w:val="22"/>
          <w:szCs w:val="22"/>
        </w:rPr>
        <w:t xml:space="preserve"> that when young people are supported by employers to practise and progress their essential skills through work experience, the employers are 72% more likely to report improvements in employability </w:t>
      </w:r>
      <w:r w:rsidRPr="005D0D64">
        <w:rPr>
          <w:rFonts w:ascii="Calibri" w:hAnsi="Calibri" w:eastAsiaTheme="minorEastAsia" w:cs="Calibri"/>
          <w:sz w:val="22"/>
          <w:szCs w:val="22"/>
        </w:rPr>
        <w:t>as a result of</w:t>
      </w:r>
      <w:r w:rsidRPr="005D0D64">
        <w:rPr>
          <w:rFonts w:ascii="Calibri" w:hAnsi="Calibri" w:eastAsiaTheme="minorEastAsia" w:cs="Calibri"/>
          <w:sz w:val="22"/>
          <w:szCs w:val="22"/>
        </w:rPr>
        <w:t xml:space="preserve"> their engagement as a business.</w:t>
      </w:r>
    </w:p>
    <w:p w:rsidR="00F42DDE" w:rsidRPr="005D0D64" w:rsidP="738AAFBD">
      <w:pPr>
        <w:ind w:left="360"/>
        <w:rPr>
          <w:rFonts w:ascii="Calibri" w:hAnsi="Calibri" w:eastAsiaTheme="minorEastAsia" w:cs="Calibri"/>
          <w:sz w:val="22"/>
          <w:szCs w:val="22"/>
        </w:rPr>
      </w:pPr>
      <w:r w:rsidRPr="005D0D64">
        <w:rPr>
          <w:rFonts w:ascii="Calibri" w:hAnsi="Calibri" w:eastAsiaTheme="minorEastAsia" w:cs="Calibri"/>
          <w:sz w:val="22"/>
          <w:szCs w:val="22"/>
        </w:rPr>
        <w:t>Goi</w:t>
      </w:r>
      <w:r w:rsidRPr="005D0D64">
        <w:rPr>
          <w:rFonts w:ascii="Calibri" w:hAnsi="Calibri" w:eastAsiaTheme="minorEastAsia" w:cs="Calibri"/>
          <w:sz w:val="22"/>
          <w:szCs w:val="22"/>
        </w:rPr>
        <w:t xml:space="preserve">ng further, we are seeking to ensure career related learning is underpinned by essential skills development. Our </w:t>
      </w:r>
      <w:r w:rsidRPr="005D0D64">
        <w:rPr>
          <w:rFonts w:ascii="Calibri" w:hAnsi="Calibri" w:eastAsiaTheme="minorEastAsia" w:cs="Calibri"/>
          <w:sz w:val="22"/>
          <w:szCs w:val="22"/>
        </w:rPr>
        <w:t>priorities</w:t>
      </w:r>
      <w:r w:rsidRPr="005D0D64">
        <w:rPr>
          <w:rFonts w:ascii="Calibri" w:hAnsi="Calibri" w:eastAsiaTheme="minorEastAsia" w:cs="Calibri"/>
          <w:sz w:val="22"/>
          <w:szCs w:val="22"/>
        </w:rPr>
        <w:t xml:space="preserve"> include</w:t>
      </w:r>
      <w:r w:rsidRPr="005D0D64">
        <w:rPr>
          <w:rFonts w:ascii="Calibri" w:hAnsi="Calibri" w:eastAsiaTheme="minorEastAsia" w:cs="Calibri"/>
          <w:sz w:val="22"/>
          <w:szCs w:val="22"/>
        </w:rPr>
        <w:t>:</w:t>
      </w:r>
    </w:p>
    <w:p w:rsidR="00F42DDE" w:rsidRPr="005D0D64" w:rsidP="738AAFBD">
      <w:pPr>
        <w:pStyle w:val="ListParagraph"/>
        <w:numPr>
          <w:ilvl w:val="0"/>
          <w:numId w:val="24"/>
        </w:numPr>
        <w:rPr>
          <w:rFonts w:ascii="Calibri" w:hAnsi="Calibri" w:eastAsiaTheme="minorEastAsia" w:cs="Calibri"/>
          <w:sz w:val="22"/>
          <w:szCs w:val="22"/>
        </w:rPr>
      </w:pPr>
      <w:r w:rsidRPr="005D0D64">
        <w:rPr>
          <w:rFonts w:ascii="Calibri" w:hAnsi="Calibri" w:eastAsiaTheme="minorEastAsia" w:cs="Calibri"/>
          <w:b/>
          <w:bCs/>
          <w:sz w:val="22"/>
          <w:szCs w:val="22"/>
        </w:rPr>
        <w:t xml:space="preserve">Data-led identification and tracking: </w:t>
      </w:r>
      <w:r w:rsidRPr="005D0D64">
        <w:rPr>
          <w:rFonts w:ascii="Calibri" w:hAnsi="Calibri" w:eastAsiaTheme="minorEastAsia" w:cs="Calibri"/>
          <w:sz w:val="22"/>
          <w:szCs w:val="22"/>
        </w:rPr>
        <w:t>through the Future Skills Questionnaire to pinpoint cold spots and target provision in line with need.</w:t>
      </w:r>
      <w:r w:rsidRPr="005D0D64">
        <w:rPr>
          <w:rFonts w:ascii="Calibri" w:hAnsi="Calibri" w:eastAsiaTheme="minorEastAsia" w:cs="Calibri"/>
          <w:b/>
          <w:bCs/>
          <w:sz w:val="22"/>
          <w:szCs w:val="22"/>
        </w:rPr>
        <w:t xml:space="preserve"> </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Despite overall improvement, gaps persist placing some learners at a disadvantage.</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Those eligible for FSM reported lower career readiness and weaker confidence across all essential skills, including speaking, listening and teamwork.</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 xml:space="preserve">These gaps were evident from Year 7 and persisted throughout secondary education. </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 xml:space="preserve">Similarly, average career readiness at Year 11 was lower among learners with SEND (64%) compared with their peers (68%). </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 xml:space="preserve">Through the Careers Impact System, schools and colleges are supported to embed careers as part of a whole school </w:t>
      </w:r>
      <w:r w:rsidRPr="005D0D64">
        <w:rPr>
          <w:rFonts w:ascii="Calibri" w:hAnsi="Calibri" w:eastAsiaTheme="minorEastAsia" w:cs="Calibri"/>
          <w:sz w:val="22"/>
          <w:szCs w:val="22"/>
        </w:rPr>
        <w:t>approach, and</w:t>
      </w:r>
      <w:r w:rsidRPr="005D0D64">
        <w:rPr>
          <w:rFonts w:ascii="Calibri" w:hAnsi="Calibri" w:eastAsiaTheme="minorEastAsia" w:cs="Calibri"/>
          <w:sz w:val="22"/>
          <w:szCs w:val="22"/>
        </w:rPr>
        <w:t xml:space="preserve"> support the needs of all learners. </w:t>
      </w:r>
      <w:r w:rsidRPr="005D0D64">
        <w:rPr>
          <w:rFonts w:ascii="Calibri" w:hAnsi="Calibri" w:eastAsiaTheme="minorEastAsia" w:cs="Calibri"/>
          <w:sz w:val="22"/>
          <w:szCs w:val="22"/>
        </w:rPr>
        <w:t xml:space="preserve">The careers system promotes a </w:t>
      </w:r>
      <w:r w:rsidRPr="005D0D64">
        <w:rPr>
          <w:rFonts w:ascii="Calibri" w:hAnsi="Calibri" w:eastAsiaTheme="minorEastAsia" w:cs="Calibri"/>
          <w:sz w:val="22"/>
          <w:szCs w:val="22"/>
        </w:rPr>
        <w:t xml:space="preserve">targeting of disadvantage, with employers working with Careers Hubs </w:t>
      </w:r>
      <w:r>
        <w:fldChar w:fldCharType="begin"/>
      </w:r>
      <w:r>
        <w:instrText xml:space="preserve"> HYPERLINK "https://www.careersandenterprise.co.uk/sites/cweb/files/2026-04/Employer%20Standards%202024-25%20%E2%80%93%20the%20business%20case%20for%20engaging%20in%20careers%20education%20v7.pdf" </w:instrText>
      </w:r>
      <w:r>
        <w:fldChar w:fldCharType="separate"/>
      </w:r>
      <w:r w:rsidRPr="005D0D64">
        <w:rPr>
          <w:rStyle w:val="Hyperlink"/>
          <w:rFonts w:ascii="Calibri" w:hAnsi="Calibri" w:eastAsiaTheme="minorEastAsia" w:cs="Calibri"/>
          <w:sz w:val="22"/>
          <w:szCs w:val="22"/>
        </w:rPr>
        <w:t>reporting</w:t>
      </w:r>
      <w:r>
        <w:fldChar w:fldCharType="end"/>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higher rate of delivery of inclusive outreach an opposed to those who do not engage with a Careers Hub (15%</w:t>
      </w:r>
      <w:r w:rsidRPr="005D0D64">
        <w:rPr>
          <w:rFonts w:ascii="Calibri" w:hAnsi="Calibri" w:eastAsiaTheme="minorEastAsia" w:cs="Calibri"/>
          <w:sz w:val="22"/>
          <w:szCs w:val="22"/>
        </w:rPr>
        <w:t>pts</w:t>
      </w:r>
      <w:r w:rsidRPr="005D0D64">
        <w:rPr>
          <w:rFonts w:ascii="Calibri" w:hAnsi="Calibri" w:eastAsiaTheme="minorEastAsia" w:cs="Calibri"/>
          <w:sz w:val="22"/>
          <w:szCs w:val="22"/>
        </w:rPr>
        <w:t xml:space="preserve"> difference)</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w:t>
      </w:r>
    </w:p>
    <w:p w:rsidR="00F42DDE" w:rsidRPr="005D0D64" w:rsidP="738AAFBD">
      <w:pPr>
        <w:pStyle w:val="ListParagraph"/>
        <w:numPr>
          <w:ilvl w:val="0"/>
          <w:numId w:val="24"/>
        </w:numPr>
        <w:rPr>
          <w:rFonts w:ascii="Calibri" w:hAnsi="Calibri" w:eastAsiaTheme="minorEastAsia" w:cs="Calibri"/>
          <w:sz w:val="22"/>
          <w:szCs w:val="22"/>
        </w:rPr>
      </w:pPr>
      <w:r w:rsidRPr="005D0D64">
        <w:rPr>
          <w:rFonts w:ascii="Calibri" w:hAnsi="Calibri" w:eastAsiaTheme="minorEastAsia" w:cs="Calibri"/>
          <w:b/>
          <w:bCs/>
          <w:sz w:val="22"/>
          <w:szCs w:val="22"/>
        </w:rPr>
        <w:t>Driv</w:t>
      </w:r>
      <w:r w:rsidRPr="005D0D64">
        <w:rPr>
          <w:rFonts w:ascii="Calibri" w:hAnsi="Calibri" w:eastAsiaTheme="minorEastAsia" w:cs="Calibri"/>
          <w:b/>
          <w:bCs/>
          <w:sz w:val="22"/>
          <w:szCs w:val="22"/>
        </w:rPr>
        <w:t>ing</w:t>
      </w:r>
      <w:r w:rsidRPr="005D0D64">
        <w:rPr>
          <w:rFonts w:ascii="Calibri" w:hAnsi="Calibri" w:eastAsiaTheme="minorEastAsia" w:cs="Calibri"/>
          <w:b/>
          <w:bCs/>
          <w:sz w:val="22"/>
          <w:szCs w:val="22"/>
        </w:rPr>
        <w:t xml:space="preserve"> equity through</w:t>
      </w:r>
      <w:r w:rsidRPr="005D0D64">
        <w:rPr>
          <w:rFonts w:ascii="Calibri" w:hAnsi="Calibri" w:eastAsiaTheme="minorEastAsia" w:cs="Calibri"/>
          <w:b/>
          <w:bCs/>
          <w:sz w:val="22"/>
          <w:szCs w:val="22"/>
        </w:rPr>
        <w:t xml:space="preserve"> </w:t>
      </w:r>
      <w:r w:rsidRPr="005D0D64">
        <w:rPr>
          <w:rFonts w:ascii="Calibri" w:hAnsi="Calibri" w:eastAsiaTheme="minorEastAsia" w:cs="Calibri"/>
          <w:b/>
          <w:bCs/>
          <w:sz w:val="22"/>
          <w:szCs w:val="22"/>
        </w:rPr>
        <w:t xml:space="preserve">a </w:t>
      </w:r>
      <w:r w:rsidRPr="005D0D64">
        <w:rPr>
          <w:rFonts w:ascii="Calibri" w:hAnsi="Calibri" w:eastAsiaTheme="minorEastAsia" w:cs="Calibri"/>
          <w:b/>
          <w:bCs/>
          <w:sz w:val="22"/>
          <w:szCs w:val="22"/>
        </w:rPr>
        <w:t xml:space="preserve">whole school approach: </w:t>
      </w:r>
      <w:r w:rsidRPr="005D0D64">
        <w:rPr>
          <w:rFonts w:ascii="Calibri" w:hAnsi="Calibri" w:eastAsiaTheme="minorEastAsia" w:cs="Calibri"/>
          <w:sz w:val="22"/>
          <w:szCs w:val="22"/>
        </w:rPr>
        <w:t>alongside </w:t>
      </w:r>
      <w:r w:rsidRPr="005D0D64">
        <w:rPr>
          <w:rFonts w:ascii="Calibri" w:hAnsi="Calibri" w:eastAsiaTheme="minorEastAsia" w:cs="Calibri"/>
          <w:sz w:val="22"/>
          <w:szCs w:val="22"/>
        </w:rPr>
        <w:t xml:space="preserve">supporting </w:t>
      </w:r>
      <w:r w:rsidRPr="005D0D64">
        <w:rPr>
          <w:rFonts w:ascii="Calibri" w:hAnsi="Calibri" w:eastAsiaTheme="minorEastAsia" w:cs="Calibri"/>
          <w:sz w:val="22"/>
          <w:szCs w:val="22"/>
        </w:rPr>
        <w:t xml:space="preserve">Gatsby Benchmark attainment we will strengthen understanding of what works to improve </w:t>
      </w:r>
      <w:r w:rsidRPr="005D0D64">
        <w:rPr>
          <w:rFonts w:ascii="Calibri" w:hAnsi="Calibri" w:eastAsiaTheme="minorEastAsia" w:cs="Calibri"/>
          <w:sz w:val="22"/>
          <w:szCs w:val="22"/>
        </w:rPr>
        <w:t xml:space="preserve">skills development </w:t>
      </w:r>
      <w:r w:rsidRPr="005D0D64">
        <w:rPr>
          <w:rFonts w:ascii="Calibri" w:hAnsi="Calibri" w:eastAsiaTheme="minorEastAsia" w:cs="Calibri"/>
          <w:sz w:val="22"/>
          <w:szCs w:val="22"/>
        </w:rPr>
        <w:t xml:space="preserve">including by scaling access to </w:t>
      </w:r>
      <w:r w:rsidRPr="005D0D64">
        <w:rPr>
          <w:rFonts w:ascii="Calibri" w:hAnsi="Calibri" w:eastAsiaTheme="minorEastAsia" w:cs="Calibri"/>
          <w:sz w:val="22"/>
          <w:szCs w:val="22"/>
        </w:rPr>
        <w:t>high quality</w:t>
      </w:r>
      <w:r w:rsidRPr="005D0D64">
        <w:rPr>
          <w:rFonts w:ascii="Calibri" w:hAnsi="Calibri" w:eastAsiaTheme="minorEastAsia" w:cs="Calibri"/>
          <w:sz w:val="22"/>
          <w:szCs w:val="22"/>
        </w:rPr>
        <w:t xml:space="preserve"> Modern</w:t>
      </w:r>
      <w:r w:rsidRPr="005D0D64">
        <w:rPr>
          <w:rFonts w:ascii="Calibri" w:hAnsi="Calibri" w:eastAsiaTheme="minorEastAsia" w:cs="Calibri"/>
          <w:sz w:val="22"/>
          <w:szCs w:val="22"/>
        </w:rPr>
        <w:t xml:space="preserve"> Work Experience</w:t>
      </w:r>
      <w:r w:rsidRPr="005D0D64">
        <w:rPr>
          <w:rFonts w:ascii="Calibri" w:hAnsi="Calibri" w:eastAsiaTheme="minorEastAsia" w:cs="Calibri"/>
          <w:sz w:val="22"/>
          <w:szCs w:val="22"/>
        </w:rPr>
        <w:t>, as part of the Government</w:t>
      </w:r>
      <w:r w:rsidRPr="005D0D64">
        <w:rPr>
          <w:rFonts w:ascii="Calibri" w:hAnsi="Calibri" w:eastAsiaTheme="minorEastAsia" w:cs="Calibri"/>
          <w:b/>
          <w:bCs/>
          <w:sz w:val="22"/>
          <w:szCs w:val="22"/>
        </w:rPr>
        <w:t xml:space="preserve"> </w:t>
      </w:r>
      <w:r w:rsidRPr="005D0D64">
        <w:rPr>
          <w:rFonts w:ascii="Calibri" w:hAnsi="Calibri" w:eastAsiaTheme="minorEastAsia" w:cs="Calibri"/>
          <w:sz w:val="22"/>
          <w:szCs w:val="22"/>
        </w:rPr>
        <w:t>guarantee of two weeks’ worth of high-quality work experience for every secondary school student</w:t>
      </w:r>
      <w:r w:rsidRPr="005D0D64">
        <w:rPr>
          <w:rFonts w:ascii="Calibri" w:hAnsi="Calibri" w:eastAsiaTheme="minorEastAsia" w:cs="Calibri"/>
          <w:sz w:val="22"/>
          <w:szCs w:val="22"/>
        </w:rPr>
        <w:t>.</w:t>
      </w:r>
    </w:p>
    <w:p w:rsidR="00F42DDE" w:rsidRPr="005D0D64" w:rsidP="738AAFBD">
      <w:pPr>
        <w:ind w:left="720"/>
        <w:rPr>
          <w:rFonts w:ascii="Calibri" w:hAnsi="Calibri" w:eastAsiaTheme="minorEastAsia" w:cs="Calibri"/>
          <w:sz w:val="22"/>
          <w:szCs w:val="22"/>
        </w:rPr>
      </w:pPr>
      <w:r w:rsidRPr="005D0D64">
        <w:rPr>
          <w:rFonts w:ascii="Calibri" w:hAnsi="Calibri" w:eastAsiaTheme="minorEastAsia" w:cs="Calibri"/>
          <w:sz w:val="22"/>
          <w:szCs w:val="22"/>
        </w:rPr>
        <w:t xml:space="preserve">The Government's strengthened expectation around work experience, requiring all schools to reform their work experience programmes to deliver 2 weeks' worth by the end of Key Stage 4 </w:t>
      </w:r>
      <w:r w:rsidRPr="005D0D64">
        <w:rPr>
          <w:rFonts w:ascii="Calibri" w:hAnsi="Calibri" w:eastAsiaTheme="minorEastAsia" w:cs="Calibri"/>
          <w:sz w:val="22"/>
          <w:szCs w:val="22"/>
        </w:rPr>
        <w:t>in revised Statutory Guidance, with schools expected to meet revised expectations from Sept 2026. </w:t>
      </w:r>
    </w:p>
    <w:p w:rsidR="00F42DDE" w:rsidRPr="005D0D64" w:rsidP="738AAFBD">
      <w:pPr>
        <w:ind w:left="720"/>
        <w:rPr>
          <w:rFonts w:ascii="Calibri" w:hAnsi="Calibri" w:eastAsiaTheme="minorEastAsia" w:cs="Calibri"/>
          <w:sz w:val="22"/>
          <w:szCs w:val="22"/>
        </w:rPr>
      </w:pP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 xml:space="preserve">Supporting schools to deliver this, </w:t>
      </w:r>
      <w:r w:rsidRPr="005D0D64">
        <w:rPr>
          <w:rFonts w:ascii="Calibri" w:hAnsi="Calibri" w:eastAsiaTheme="minorEastAsia" w:cs="Calibri"/>
          <w:sz w:val="22"/>
          <w:szCs w:val="22"/>
        </w:rPr>
        <w:t>CEC’s </w:t>
      </w:r>
      <w:r w:rsidRPr="005D0D64">
        <w:rPr>
          <w:rFonts w:ascii="Calibri" w:hAnsi="Calibri" w:eastAsiaTheme="minorEastAsia" w:cs="Calibri"/>
          <w:sz w:val="22"/>
          <w:szCs w:val="22"/>
        </w:rPr>
        <w:t xml:space="preserve">modern </w:t>
      </w:r>
      <w:r w:rsidRPr="005D0D64">
        <w:rPr>
          <w:rFonts w:ascii="Calibri" w:hAnsi="Calibri" w:eastAsiaTheme="minorEastAsia" w:cs="Calibri"/>
          <w:sz w:val="22"/>
          <w:szCs w:val="22"/>
        </w:rPr>
        <w:t>work e</w:t>
      </w:r>
      <w:r w:rsidRPr="005D0D64">
        <w:rPr>
          <w:rFonts w:ascii="Calibri" w:hAnsi="Calibri" w:eastAsiaTheme="minorEastAsia" w:cs="Calibri"/>
          <w:sz w:val="22"/>
          <w:szCs w:val="22"/>
        </w:rPr>
        <w:t>xperience</w:t>
      </w:r>
      <w:r w:rsidRPr="005D0D64">
        <w:rPr>
          <w:rFonts w:ascii="Calibri" w:hAnsi="Calibri" w:eastAsiaTheme="minorEastAsia" w:cs="Calibri"/>
          <w:sz w:val="22"/>
          <w:szCs w:val="22"/>
        </w:rPr>
        <w:t> </w:t>
      </w:r>
      <w:r>
        <w:fldChar w:fldCharType="begin"/>
      </w:r>
      <w:r>
        <w:instrText xml:space="preserve"> HYPERLINK "https://www.careersandenterprise.co.uk/modern-work-experience" </w:instrText>
      </w:r>
      <w:r>
        <w:fldChar w:fldCharType="separate"/>
      </w:r>
      <w:r w:rsidRPr="005D0D64">
        <w:rPr>
          <w:rStyle w:val="Hyperlink"/>
          <w:rFonts w:ascii="Calibri" w:hAnsi="Calibri" w:eastAsiaTheme="minorEastAsia" w:cs="Calibri"/>
          <w:sz w:val="22"/>
          <w:szCs w:val="22"/>
        </w:rPr>
        <w:t>framework</w:t>
      </w:r>
      <w:r>
        <w:fldChar w:fldCharType="end"/>
      </w:r>
      <w:r w:rsidRPr="005D0D64">
        <w:rPr>
          <w:rFonts w:ascii="Calibri" w:hAnsi="Calibri" w:eastAsiaTheme="minorEastAsia" w:cs="Calibri"/>
          <w:sz w:val="22"/>
          <w:szCs w:val="22"/>
        </w:rPr>
        <w:t xml:space="preserve"> has been piloted </w:t>
      </w:r>
      <w:r w:rsidRPr="005D0D64">
        <w:rPr>
          <w:rFonts w:ascii="Calibri" w:hAnsi="Calibri" w:eastAsiaTheme="minorEastAsia" w:cs="Calibri"/>
          <w:sz w:val="22"/>
          <w:szCs w:val="22"/>
        </w:rPr>
        <w:t xml:space="preserve">through </w:t>
      </w:r>
      <w:r w:rsidRPr="005D0D64">
        <w:rPr>
          <w:rFonts w:ascii="Calibri" w:hAnsi="Calibri" w:eastAsiaTheme="minorEastAsia" w:cs="Calibri"/>
          <w:sz w:val="22"/>
          <w:szCs w:val="22"/>
        </w:rPr>
        <w:t xml:space="preserve">established local structures – mayoral strategic and local authorities, school trusts, employers. </w:t>
      </w:r>
      <w:r w:rsidRPr="005D0D64">
        <w:rPr>
          <w:rFonts w:ascii="Calibri" w:hAnsi="Calibri" w:eastAsiaTheme="minorEastAsia" w:cs="Calibri"/>
          <w:sz w:val="22"/>
          <w:szCs w:val="22"/>
        </w:rPr>
        <w:t>Independently </w:t>
      </w:r>
      <w:r>
        <w:fldChar w:fldCharType="begin"/>
      </w:r>
      <w:r>
        <w:instrText xml:space="preserve"> HYPERLINK "https://www.careersandenterprise.co.uk/evidence-and-reports/insight-briefing-1-modern-work-experience-pilots" </w:instrText>
      </w:r>
      <w:r>
        <w:fldChar w:fldCharType="separate"/>
      </w:r>
      <w:r w:rsidRPr="005D0D64">
        <w:rPr>
          <w:rStyle w:val="Hyperlink"/>
          <w:rFonts w:ascii="Calibri" w:hAnsi="Calibri" w:eastAsiaTheme="minorEastAsia" w:cs="Calibri"/>
          <w:sz w:val="22"/>
          <w:szCs w:val="22"/>
        </w:rPr>
        <w:t>evaluated</w:t>
      </w:r>
      <w:r>
        <w:fldChar w:fldCharType="end"/>
      </w:r>
      <w:r w:rsidRPr="005D0D64">
        <w:rPr>
          <w:rFonts w:ascii="Calibri" w:hAnsi="Calibri" w:eastAsiaTheme="minorEastAsia" w:cs="Calibri"/>
          <w:sz w:val="22"/>
          <w:szCs w:val="22"/>
        </w:rPr>
        <w:t>, it is showing: </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Success is based on integration within education: The national framework has embedded </w:t>
      </w:r>
      <w:r w:rsidRPr="005D0D64">
        <w:rPr>
          <w:rFonts w:ascii="Calibri" w:hAnsi="Calibri" w:cs="Calibri"/>
          <w:sz w:val="22"/>
          <w:szCs w:val="22"/>
        </w:rPr>
        <w:fldChar w:fldCharType="begin"/>
      </w:r>
      <w:r w:rsidRPr="005D0D64">
        <w:rPr>
          <w:rFonts w:ascii="Calibri" w:hAnsi="Calibri" w:cs="Calibri"/>
          <w:sz w:val="22"/>
          <w:szCs w:val="22"/>
        </w:rPr>
        <w:instrText xml:space="preserve"> HYPERLINK "https://www.greatermanchester-ca.gov.uk/what-we-do/education-work-and-skills/technical-education-city-region/the-greater-manchester-baccalaureate-mbacc/impact/mbacc-annual-reports/year-2-growing-impact-report/" </w:instrText>
      </w:r>
      <w:r w:rsidRPr="005D0D64">
        <w:rPr>
          <w:rFonts w:ascii="Calibri" w:hAnsi="Calibri" w:cs="Calibri"/>
          <w:sz w:val="22"/>
          <w:szCs w:val="22"/>
        </w:rPr>
        <w:fldChar w:fldCharType="separate"/>
      </w:r>
      <w:r w:rsidRPr="005D0D64">
        <w:rPr>
          <w:rStyle w:val="Hyperlink"/>
          <w:rFonts w:ascii="Calibri" w:hAnsi="Calibri" w:eastAsiaTheme="minorEastAsia" w:cs="Calibri"/>
          <w:sz w:val="22"/>
          <w:szCs w:val="22"/>
        </w:rPr>
        <w:t>MBacc</w:t>
      </w:r>
      <w:r w:rsidRPr="005D0D64">
        <w:rPr>
          <w:rStyle w:val="Hyperlink"/>
          <w:rFonts w:ascii="Calibri" w:hAnsi="Calibri" w:eastAsiaTheme="minorEastAsia" w:cs="Calibri"/>
          <w:sz w:val="22"/>
          <w:szCs w:val="22"/>
        </w:rPr>
        <w:t> principles</w:t>
      </w:r>
      <w:r w:rsidRPr="005D0D64">
        <w:rPr>
          <w:rFonts w:ascii="Calibri" w:hAnsi="Calibri" w:cs="Calibri"/>
          <w:sz w:val="22"/>
          <w:szCs w:val="22"/>
        </w:rPr>
        <w:fldChar w:fldCharType="end"/>
      </w:r>
      <w:r w:rsidRPr="005D0D64">
        <w:rPr>
          <w:rFonts w:ascii="Calibri" w:hAnsi="Calibri" w:eastAsiaTheme="minorEastAsia" w:cs="Calibri"/>
          <w:sz w:val="22"/>
          <w:szCs w:val="22"/>
        </w:rPr>
        <w:t xml:space="preserve"> into </w:t>
      </w:r>
      <w:r w:rsidRPr="005D0D64">
        <w:rPr>
          <w:rFonts w:ascii="Calibri" w:hAnsi="Calibri" w:eastAsiaTheme="minorEastAsia" w:cs="Calibri"/>
          <w:sz w:val="22"/>
          <w:szCs w:val="22"/>
        </w:rPr>
        <w:t xml:space="preserve">GMCA </w:t>
      </w:r>
      <w:r w:rsidRPr="005D0D64">
        <w:rPr>
          <w:rFonts w:ascii="Calibri" w:hAnsi="Calibri" w:eastAsiaTheme="minorEastAsia" w:cs="Calibri"/>
          <w:sz w:val="22"/>
          <w:szCs w:val="22"/>
        </w:rPr>
        <w:t>school curricula at scale. Year 3</w:t>
      </w:r>
      <w:r w:rsidRPr="005D0D64">
        <w:rPr>
          <w:rFonts w:ascii="Calibri" w:hAnsi="Calibri" w:eastAsiaTheme="minorEastAsia" w:cs="Calibri"/>
          <w:sz w:val="22"/>
          <w:szCs w:val="22"/>
        </w:rPr>
        <w:t xml:space="preserve"> of the pilot</w:t>
      </w:r>
      <w:r w:rsidRPr="005D0D64">
        <w:rPr>
          <w:rFonts w:ascii="Calibri" w:hAnsi="Calibri" w:eastAsiaTheme="minorEastAsia" w:cs="Calibri"/>
          <w:sz w:val="22"/>
          <w:szCs w:val="22"/>
        </w:rPr>
        <w:t xml:space="preserve"> will focus on progression into employment and apprenticeships. </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 xml:space="preserve">Engagement and skills development for all students, expanding access for disadvantaged learners and supporting quality employer engagement, including SEND, through explicit national intent. </w:t>
      </w:r>
    </w:p>
    <w:p w:rsidR="00F42DDE" w:rsidRPr="005D0D64" w:rsidP="738AAFBD">
      <w:pPr>
        <w:pStyle w:val="ListParagraph"/>
        <w:numPr>
          <w:ilvl w:val="1"/>
          <w:numId w:val="24"/>
        </w:numPr>
        <w:rPr>
          <w:rFonts w:ascii="Calibri" w:hAnsi="Calibri" w:eastAsiaTheme="minorEastAsia" w:cs="Calibri"/>
          <w:sz w:val="22"/>
          <w:szCs w:val="22"/>
        </w:rPr>
      </w:pPr>
      <w:r w:rsidRPr="005D0D64">
        <w:rPr>
          <w:rFonts w:ascii="Calibri" w:hAnsi="Calibri" w:eastAsiaTheme="minorEastAsia" w:cs="Calibri"/>
          <w:sz w:val="22"/>
          <w:szCs w:val="22"/>
        </w:rPr>
        <w:t>Earlier intervention (including Key Stage 3) to offer students multiple employer experiences, aligned with local labour market needs, and greater flexibility for businesses to engage, including SMEs.</w:t>
      </w:r>
    </w:p>
    <w:p w:rsidR="00F42DDE" w:rsidRPr="005D0D64" w:rsidP="738AAFBD">
      <w:pPr>
        <w:rPr>
          <w:rFonts w:ascii="Calibri" w:hAnsi="Calibri" w:eastAsiaTheme="minorEastAsia" w:cs="Calibri"/>
          <w:b/>
          <w:bCs/>
          <w:color w:val="00797B"/>
          <w:sz w:val="22"/>
          <w:szCs w:val="22"/>
        </w:rPr>
      </w:pPr>
      <w:r w:rsidRPr="005D0D64">
        <w:rPr>
          <w:rFonts w:ascii="Calibri" w:hAnsi="Calibri" w:eastAsiaTheme="minorEastAsia" w:cs="Calibri"/>
          <w:b/>
          <w:bCs/>
          <w:color w:val="00797B"/>
          <w:sz w:val="22"/>
          <w:szCs w:val="22"/>
        </w:rPr>
        <w:t>The role of enrichment activities (including arts, sport, and civic engagement) in improving pupil outcomes and wellbeing</w:t>
      </w:r>
      <w:r w:rsidRPr="005D0D64">
        <w:rPr>
          <w:rFonts w:ascii="Calibri" w:hAnsi="Calibri" w:eastAsiaTheme="minorEastAsia" w:cs="Calibri"/>
          <w:b/>
          <w:bCs/>
          <w:color w:val="00797B"/>
          <w:sz w:val="22"/>
          <w:szCs w:val="22"/>
        </w:rPr>
        <w:t xml:space="preserve"> / </w:t>
      </w:r>
      <w:r w:rsidRPr="005D0D64">
        <w:rPr>
          <w:rFonts w:ascii="Calibri" w:hAnsi="Calibri" w:eastAsiaTheme="minorEastAsia" w:cs="Calibri"/>
          <w:b/>
          <w:bCs/>
          <w:color w:val="00797B"/>
          <w:sz w:val="22"/>
          <w:szCs w:val="22"/>
        </w:rPr>
        <w:t>How enrichment and pupil engagement will be measured and incorporated into school accountability frameworks.</w:t>
      </w:r>
    </w:p>
    <w:p w:rsidR="00F42DDE" w:rsidRPr="005D0D64" w:rsidP="738AAFBD">
      <w:pPr>
        <w:rPr>
          <w:rFonts w:ascii="Calibri" w:hAnsi="Calibri" w:eastAsiaTheme="minorEastAsia" w:cs="Calibri"/>
          <w:sz w:val="22"/>
          <w:szCs w:val="22"/>
        </w:rPr>
      </w:pPr>
      <w:r>
        <w:fldChar w:fldCharType="begin"/>
      </w:r>
      <w:r>
        <w:instrText xml:space="preserve"> HYPERLINK "https://www.centreforsocialjustice.org.uk/wp-content/uploads/2021/08/CSJ-A_Level_Playing_Field.pdf" </w:instrText>
      </w:r>
      <w:r>
        <w:fldChar w:fldCharType="separate"/>
      </w:r>
      <w:r w:rsidRPr="005D0D64">
        <w:rPr>
          <w:rStyle w:val="Hyperlink"/>
          <w:rFonts w:ascii="Calibri" w:hAnsi="Calibri" w:eastAsiaTheme="minorEastAsia" w:cs="Calibri"/>
          <w:sz w:val="22"/>
          <w:szCs w:val="22"/>
        </w:rPr>
        <w:t>1 in 5 (19.6%) parents</w:t>
      </w:r>
      <w:r>
        <w:fldChar w:fldCharType="end"/>
      </w:r>
      <w:r w:rsidRPr="005D0D64">
        <w:rPr>
          <w:rFonts w:ascii="Calibri" w:hAnsi="Calibri" w:eastAsiaTheme="minorEastAsia" w:cs="Calibri"/>
          <w:sz w:val="22"/>
          <w:szCs w:val="22"/>
        </w:rPr>
        <w:t> report their child does no weekly enrichment (rising to 1 in 4 for the most disadvantaged). </w:t>
      </w:r>
      <w:r w:rsidRPr="005D0D64">
        <w:rPr>
          <w:rFonts w:ascii="Calibri" w:hAnsi="Calibri" w:eastAsiaTheme="minorEastAsia" w:cs="Calibri"/>
          <w:sz w:val="22"/>
          <w:szCs w:val="22"/>
        </w:rPr>
        <w:t xml:space="preserve">The </w:t>
      </w:r>
      <w:r>
        <w:fldChar w:fldCharType="begin"/>
      </w:r>
      <w:r>
        <w:instrText xml:space="preserve"> HYPERLINK "https://assets.publishing.service.gov.uk/media/690b2a4a14b040dfe82922ea/Government_response_to_the_Curriculum_and_Assessment_Review.pdf" </w:instrText>
      </w:r>
      <w:r>
        <w:fldChar w:fldCharType="separate"/>
      </w:r>
      <w:r w:rsidRPr="005D0D64">
        <w:rPr>
          <w:rStyle w:val="Hyperlink"/>
          <w:rFonts w:ascii="Calibri" w:hAnsi="Calibri" w:eastAsiaTheme="minorEastAsia" w:cs="Calibri"/>
          <w:sz w:val="22"/>
          <w:szCs w:val="22"/>
        </w:rPr>
        <w:t>Curriculum and Assessment Review</w:t>
      </w:r>
      <w:r>
        <w:fldChar w:fldCharType="end"/>
      </w:r>
      <w:r w:rsidRPr="005D0D64">
        <w:rPr>
          <w:rFonts w:ascii="Calibri" w:hAnsi="Calibri" w:eastAsiaTheme="minorEastAsia" w:cs="Calibri"/>
          <w:sz w:val="22"/>
          <w:szCs w:val="22"/>
        </w:rPr>
        <w:t> aligns new framework outcomes with </w:t>
      </w:r>
      <w:r>
        <w:fldChar w:fldCharType="begin"/>
      </w:r>
      <w:r>
        <w:instrText xml:space="preserve"> HYPERLINK "https://www.gov.uk/government/publications/careers-guidance-provision-for-young-people-in-schools/careers-guidance-and-access-for-education-and-training-providers" </w:instrText>
      </w:r>
      <w:r>
        <w:fldChar w:fldCharType="separate"/>
      </w:r>
      <w:r w:rsidRPr="005D0D64">
        <w:rPr>
          <w:rStyle w:val="Hyperlink"/>
          <w:rFonts w:ascii="Calibri" w:hAnsi="Calibri" w:eastAsiaTheme="minorEastAsia" w:cs="Calibri"/>
          <w:sz w:val="22"/>
          <w:szCs w:val="22"/>
        </w:rPr>
        <w:t>strengthened careers guidance</w:t>
      </w:r>
      <w:r>
        <w:fldChar w:fldCharType="end"/>
      </w:r>
      <w:r w:rsidRPr="005D0D64">
        <w:rPr>
          <w:rFonts w:ascii="Calibri" w:hAnsi="Calibri" w:eastAsiaTheme="minorEastAsia" w:cs="Calibri"/>
          <w:sz w:val="22"/>
          <w:szCs w:val="22"/>
        </w:rPr>
        <w:t>- improving essential skills, attainment, attendance and behaviour.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This requires national leadership </w:t>
      </w:r>
      <w:r w:rsidRPr="005D0D64">
        <w:rPr>
          <w:rFonts w:ascii="Calibri" w:hAnsi="Calibri" w:eastAsiaTheme="minorEastAsia" w:cs="Calibri"/>
          <w:sz w:val="22"/>
          <w:szCs w:val="22"/>
        </w:rPr>
        <w:t>and place</w:t>
      </w:r>
      <w:r w:rsidRPr="005D0D64">
        <w:rPr>
          <w:rFonts w:ascii="Calibri" w:hAnsi="Calibri" w:eastAsiaTheme="minorEastAsia" w:cs="Calibri"/>
          <w:sz w:val="22"/>
          <w:szCs w:val="22"/>
        </w:rPr>
        <w:t>-based</w:t>
      </w:r>
      <w:r w:rsidRPr="005D0D64">
        <w:rPr>
          <w:rFonts w:ascii="Calibri" w:hAnsi="Calibri" w:eastAsiaTheme="minorEastAsia" w:cs="Calibri"/>
          <w:sz w:val="22"/>
          <w:szCs w:val="22"/>
        </w:rPr>
        <w:t xml:space="preserve"> support </w:t>
      </w:r>
      <w:r w:rsidRPr="005D0D64">
        <w:rPr>
          <w:rFonts w:ascii="Calibri" w:hAnsi="Calibri" w:eastAsiaTheme="minorEastAsia" w:cs="Calibri"/>
          <w:sz w:val="22"/>
          <w:szCs w:val="22"/>
        </w:rPr>
        <w:t>to deliver: </w:t>
      </w:r>
    </w:p>
    <w:p w:rsidR="00F42DDE" w:rsidRPr="005D0D64" w:rsidP="738AAFBD">
      <w:pPr>
        <w:numPr>
          <w:ilvl w:val="0"/>
          <w:numId w:val="26"/>
        </w:numPr>
        <w:spacing w:after="0"/>
        <w:rPr>
          <w:rFonts w:ascii="Calibri" w:hAnsi="Calibri" w:eastAsiaTheme="minorEastAsia" w:cs="Calibri"/>
          <w:sz w:val="22"/>
          <w:szCs w:val="22"/>
        </w:rPr>
      </w:pPr>
      <w:r w:rsidRPr="005D0D64">
        <w:rPr>
          <w:rFonts w:ascii="Calibri" w:hAnsi="Calibri" w:eastAsiaTheme="minorEastAsia" w:cs="Calibri"/>
          <w:sz w:val="22"/>
          <w:szCs w:val="22"/>
        </w:rPr>
        <w:t>Clear oversight of funding, programmes and performance.  </w:t>
      </w:r>
    </w:p>
    <w:p w:rsidR="00F42DDE" w:rsidRPr="005D0D64" w:rsidP="738AAFBD">
      <w:pPr>
        <w:numPr>
          <w:ilvl w:val="0"/>
          <w:numId w:val="7"/>
        </w:numPr>
        <w:spacing w:after="0"/>
        <w:rPr>
          <w:rFonts w:ascii="Calibri" w:hAnsi="Calibri" w:eastAsiaTheme="minorEastAsia" w:cs="Calibri"/>
          <w:sz w:val="22"/>
          <w:szCs w:val="22"/>
        </w:rPr>
      </w:pPr>
      <w:r w:rsidRPr="005D0D64">
        <w:rPr>
          <w:rFonts w:ascii="Calibri" w:hAnsi="Calibri" w:eastAsiaTheme="minorEastAsia" w:cs="Calibri"/>
          <w:sz w:val="22"/>
          <w:szCs w:val="22"/>
        </w:rPr>
        <w:t>Strong regional coordination to implement benchmarks, pilot activity, and scale delivery.  </w:t>
      </w:r>
    </w:p>
    <w:p w:rsidR="00F42DDE" w:rsidRPr="005D0D64" w:rsidP="738AAFBD">
      <w:pPr>
        <w:numPr>
          <w:ilvl w:val="0"/>
          <w:numId w:val="14"/>
        </w:numPr>
        <w:spacing w:after="0"/>
        <w:rPr>
          <w:rFonts w:ascii="Calibri" w:hAnsi="Calibri" w:eastAsiaTheme="minorEastAsia" w:cs="Calibri"/>
          <w:sz w:val="22"/>
          <w:szCs w:val="22"/>
        </w:rPr>
      </w:pPr>
      <w:r w:rsidRPr="005D0D64">
        <w:rPr>
          <w:rFonts w:ascii="Calibri" w:hAnsi="Calibri" w:eastAsiaTheme="minorEastAsia" w:cs="Calibri"/>
          <w:sz w:val="22"/>
          <w:szCs w:val="22"/>
        </w:rPr>
        <w:t>Targeted support for those most in need, underpinned by robust data infrastructure.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The national careers system is well placed to support a high-quality expansion, reaching the young </w:t>
      </w:r>
      <w:r w:rsidRPr="005D0D64">
        <w:rPr>
          <w:rFonts w:ascii="Calibri" w:hAnsi="Calibri" w:eastAsiaTheme="minorEastAsia" w:cs="Calibri"/>
          <w:sz w:val="22"/>
          <w:szCs w:val="22"/>
        </w:rPr>
        <w:t>people</w:t>
      </w:r>
      <w:r w:rsidRPr="005D0D64">
        <w:rPr>
          <w:rFonts w:ascii="Calibri" w:hAnsi="Calibri" w:eastAsiaTheme="minorEastAsia" w:cs="Calibri"/>
          <w:sz w:val="22"/>
          <w:szCs w:val="22"/>
        </w:rPr>
        <w:t xml:space="preserve"> who often miss out, whilst addressing the burden placed on schools to deliver against another framework. </w:t>
      </w:r>
      <w:r w:rsidRPr="005D0D64">
        <w:rPr>
          <w:rFonts w:ascii="Calibri" w:hAnsi="Calibri" w:eastAsiaTheme="minorEastAsia" w:cs="Calibri"/>
          <w:sz w:val="22"/>
          <w:szCs w:val="22"/>
        </w:rPr>
        <w:t xml:space="preserve"> With investment, t</w:t>
      </w:r>
      <w:r w:rsidRPr="005D0D64">
        <w:rPr>
          <w:rFonts w:ascii="Calibri" w:hAnsi="Calibri" w:eastAsiaTheme="minorEastAsia" w:cs="Calibri"/>
          <w:sz w:val="22"/>
          <w:szCs w:val="22"/>
        </w:rPr>
        <w:t>his could include</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w:t>
      </w:r>
    </w:p>
    <w:p w:rsidR="00F42DDE" w:rsidRPr="005D0D64" w:rsidP="738AAFBD">
      <w:pPr>
        <w:numPr>
          <w:ilvl w:val="0"/>
          <w:numId w:val="11"/>
        </w:numPr>
        <w:spacing w:after="0"/>
        <w:rPr>
          <w:rFonts w:ascii="Calibri" w:hAnsi="Calibri" w:eastAsiaTheme="minorEastAsia" w:cs="Calibri"/>
          <w:sz w:val="22"/>
          <w:szCs w:val="22"/>
        </w:rPr>
      </w:pPr>
      <w:r w:rsidRPr="005D0D64">
        <w:rPr>
          <w:rFonts w:ascii="Calibri" w:hAnsi="Calibri" w:eastAsiaTheme="minorEastAsia" w:cs="Calibri"/>
          <w:sz w:val="22"/>
          <w:szCs w:val="22"/>
        </w:rPr>
        <w:t xml:space="preserve">Integration into the </w:t>
      </w:r>
      <w:r w:rsidRPr="005D0D64">
        <w:rPr>
          <w:rFonts w:ascii="Calibri" w:hAnsi="Calibri" w:eastAsiaTheme="minorEastAsia" w:cs="Calibri"/>
          <w:sz w:val="22"/>
          <w:szCs w:val="22"/>
        </w:rPr>
        <w:t>44 Careers Hubs</w:t>
      </w:r>
      <w:r w:rsidRPr="005D0D64">
        <w:rPr>
          <w:rFonts w:ascii="Calibri" w:hAnsi="Calibri" w:eastAsiaTheme="minorEastAsia" w:cs="Calibri"/>
          <w:sz w:val="22"/>
          <w:szCs w:val="22"/>
        </w:rPr>
        <w:t>,</w:t>
      </w:r>
      <w:r w:rsidRPr="005D0D64">
        <w:rPr>
          <w:rFonts w:ascii="Calibri" w:hAnsi="Calibri" w:eastAsiaTheme="minorEastAsia" w:cs="Calibri"/>
          <w:sz w:val="22"/>
          <w:szCs w:val="22"/>
        </w:rPr>
        <w:t xml:space="preserve"> covering 96% of secondary schools and colleges.  </w:t>
      </w:r>
    </w:p>
    <w:p w:rsidR="00F42DDE" w:rsidRPr="005D0D64" w:rsidP="738AAFBD">
      <w:pPr>
        <w:numPr>
          <w:ilvl w:val="0"/>
          <w:numId w:val="28"/>
        </w:numPr>
        <w:spacing w:after="0"/>
        <w:rPr>
          <w:rFonts w:ascii="Calibri" w:hAnsi="Calibri" w:eastAsiaTheme="minorEastAsia" w:cs="Calibri"/>
          <w:sz w:val="22"/>
          <w:szCs w:val="22"/>
        </w:rPr>
      </w:pPr>
      <w:r w:rsidRPr="005D0D64">
        <w:rPr>
          <w:rFonts w:ascii="Calibri" w:hAnsi="Calibri" w:eastAsiaTheme="minorEastAsia" w:cs="Calibri"/>
          <w:sz w:val="22"/>
          <w:szCs w:val="22"/>
        </w:rPr>
        <w:t>Enterprise Coordinators connecting schools with employers and providers, reducing burden on schools and improving targeting. The existing model offers blueprint and replication for Enrichment Coordinators. </w:t>
      </w:r>
    </w:p>
    <w:p w:rsidR="00F42DDE" w:rsidRPr="005D0D64" w:rsidP="738AAFBD">
      <w:pPr>
        <w:numPr>
          <w:ilvl w:val="0"/>
          <w:numId w:val="18"/>
        </w:numPr>
        <w:spacing w:after="0"/>
        <w:rPr>
          <w:rFonts w:ascii="Calibri" w:hAnsi="Calibri" w:eastAsiaTheme="minorEastAsia" w:cs="Calibri"/>
          <w:sz w:val="22"/>
          <w:szCs w:val="22"/>
        </w:rPr>
      </w:pPr>
      <w:r w:rsidRPr="005D0D64">
        <w:rPr>
          <w:rFonts w:ascii="Calibri" w:hAnsi="Calibri" w:eastAsiaTheme="minorEastAsia" w:cs="Calibri"/>
          <w:sz w:val="22"/>
          <w:szCs w:val="22"/>
        </w:rPr>
        <w:t>Local flexibility - within national guardrails, to assure accountability on performance and consistency on quality, in context of local priorities. For enrichment expansion, a test-and-learn phase can work in partnership with localities to explore joint outcomes.  </w:t>
      </w:r>
    </w:p>
    <w:p w:rsidR="00F42DDE" w:rsidRPr="005D0D64" w:rsidP="738AAFBD">
      <w:pPr>
        <w:spacing w:after="0"/>
        <w:rPr>
          <w:rFonts w:ascii="Calibri" w:hAnsi="Calibri" w:eastAsiaTheme="minorEastAsia" w:cs="Calibri"/>
          <w:sz w:val="22"/>
          <w:szCs w:val="22"/>
        </w:rPr>
      </w:pP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In order to</w:t>
      </w:r>
      <w:r w:rsidRPr="005D0D64">
        <w:rPr>
          <w:rFonts w:ascii="Calibri" w:hAnsi="Calibri" w:eastAsiaTheme="minorEastAsia" w:cs="Calibri"/>
          <w:sz w:val="22"/>
          <w:szCs w:val="22"/>
        </w:rPr>
        <w:t xml:space="preserve"> mirror the adoption and progress against the Gatsby Benchmarks, as schools embed enrichment benchmarks, schools would benefit from support and challenge through a </w:t>
      </w:r>
      <w:r w:rsidRPr="005D0D64">
        <w:rPr>
          <w:rFonts w:ascii="Calibri" w:hAnsi="Calibri" w:eastAsiaTheme="minorEastAsia" w:cs="Calibri"/>
          <w:b/>
          <w:bCs/>
          <w:sz w:val="22"/>
          <w:szCs w:val="22"/>
        </w:rPr>
        <w:t>Digital infrastructure for targeting and impact</w:t>
      </w:r>
      <w:r w:rsidRPr="005D0D64">
        <w:rPr>
          <w:rFonts w:ascii="Calibri" w:hAnsi="Calibri" w:eastAsiaTheme="minorEastAsia" w:cs="Calibri"/>
          <w:sz w:val="22"/>
          <w:szCs w:val="22"/>
        </w:rPr>
        <w:t> </w:t>
      </w:r>
    </w:p>
    <w:p w:rsidR="00F42DDE" w:rsidRPr="005D0D64" w:rsidP="738AAFBD">
      <w:pPr>
        <w:numPr>
          <w:ilvl w:val="0"/>
          <w:numId w:val="29"/>
        </w:numPr>
        <w:rPr>
          <w:rFonts w:ascii="Calibri" w:hAnsi="Calibri" w:eastAsiaTheme="minorEastAsia" w:cs="Calibri"/>
          <w:sz w:val="22"/>
          <w:szCs w:val="22"/>
        </w:rPr>
      </w:pPr>
      <w:r>
        <w:fldChar w:fldCharType="begin"/>
      </w:r>
      <w:r>
        <w:instrText xml:space="preserve"> HYPERLINK "https://www.careersandenterprise.co.uk/news/the-benefit-of-using-compassplus-to-track-students-performance/" </w:instrText>
      </w:r>
      <w:r>
        <w:fldChar w:fldCharType="separate"/>
      </w:r>
      <w:r w:rsidRPr="005D0D64">
        <w:rPr>
          <w:rStyle w:val="Hyperlink"/>
          <w:rFonts w:ascii="Calibri" w:hAnsi="Calibri" w:eastAsiaTheme="minorEastAsia" w:cs="Calibri"/>
          <w:sz w:val="22"/>
          <w:szCs w:val="22"/>
        </w:rPr>
        <w:t>Compass+</w:t>
      </w:r>
      <w:r>
        <w:fldChar w:fldCharType="end"/>
      </w:r>
      <w:r w:rsidRPr="005D0D64">
        <w:rPr>
          <w:rFonts w:ascii="Calibri" w:hAnsi="Calibri" w:eastAsiaTheme="minorEastAsia" w:cs="Calibri"/>
          <w:sz w:val="22"/>
          <w:szCs w:val="22"/>
        </w:rPr>
        <w:t> tracks benchmark performance across 94% of secondary schools and &gt;</w:t>
      </w:r>
      <w:r w:rsidRPr="005D0D64">
        <w:rPr>
          <w:rFonts w:ascii="Calibri" w:hAnsi="Calibri" w:eastAsiaTheme="minorEastAsia" w:cs="Calibri"/>
          <w:sz w:val="22"/>
          <w:szCs w:val="22"/>
        </w:rPr>
        <w:t>50</w:t>
      </w:r>
      <w:r w:rsidRPr="005D0D64">
        <w:rPr>
          <w:rFonts w:ascii="Calibri" w:hAnsi="Calibri" w:eastAsiaTheme="minorEastAsia" w:cs="Calibri"/>
          <w:sz w:val="22"/>
          <w:szCs w:val="22"/>
        </w:rPr>
        <w:t>0,000 students on skills development, interests and work readiness. Expansion to enrichment enables real-time targeting, tracking and evaluation. </w:t>
      </w:r>
    </w:p>
    <w:p w:rsidR="00F42DDE" w:rsidRPr="005D0D64" w:rsidP="738AAFBD">
      <w:pPr>
        <w:numPr>
          <w:ilvl w:val="0"/>
          <w:numId w:val="29"/>
        </w:numPr>
        <w:rPr>
          <w:rFonts w:ascii="Calibri" w:hAnsi="Calibri" w:eastAsiaTheme="minorEastAsia" w:cs="Calibri"/>
          <w:sz w:val="22"/>
          <w:szCs w:val="22"/>
        </w:rPr>
      </w:pPr>
      <w:r>
        <w:fldChar w:fldCharType="begin"/>
      </w:r>
      <w:r>
        <w:instrText xml:space="preserve"> HYPERLINK "https://www.careersandenterprise.co.uk/news/ontrackplus-supporting-educators-to-address-risk-of-young-people-becoming-neet/" </w:instrText>
      </w:r>
      <w:r>
        <w:fldChar w:fldCharType="separate"/>
      </w:r>
      <w:r w:rsidRPr="005D0D64">
        <w:rPr>
          <w:rStyle w:val="Hyperlink"/>
          <w:rFonts w:ascii="Calibri" w:hAnsi="Calibri" w:eastAsiaTheme="minorEastAsia" w:cs="Calibri"/>
          <w:sz w:val="22"/>
          <w:szCs w:val="22"/>
        </w:rPr>
        <w:t>OnTrack+</w:t>
      </w:r>
      <w:r>
        <w:fldChar w:fldCharType="end"/>
      </w:r>
      <w:r w:rsidRPr="005D0D64">
        <w:rPr>
          <w:rFonts w:ascii="Calibri" w:hAnsi="Calibri" w:eastAsiaTheme="minorEastAsia" w:cs="Calibri"/>
          <w:sz w:val="22"/>
          <w:szCs w:val="22"/>
        </w:rPr>
        <w:t> (incorporated within C</w:t>
      </w:r>
      <w:r w:rsidRPr="005D0D64">
        <w:rPr>
          <w:rFonts w:ascii="Calibri" w:hAnsi="Calibri" w:eastAsiaTheme="minorEastAsia" w:cs="Calibri"/>
          <w:sz w:val="22"/>
          <w:szCs w:val="22"/>
        </w:rPr>
        <w:t>ompass</w:t>
      </w:r>
      <w:r w:rsidRPr="005D0D64">
        <w:rPr>
          <w:rFonts w:ascii="Calibri" w:hAnsi="Calibri" w:eastAsiaTheme="minorEastAsia" w:cs="Calibri"/>
          <w:sz w:val="22"/>
          <w:szCs w:val="22"/>
        </w:rPr>
        <w:t>+) identifies risk of NEET from KS3, enabling early, personalised intervention.  </w:t>
      </w:r>
    </w:p>
    <w:p w:rsidR="00F42DDE" w:rsidRPr="005D0D64" w:rsidP="738AAFBD">
      <w:pPr>
        <w:numPr>
          <w:ilvl w:val="0"/>
          <w:numId w:val="32"/>
        </w:numPr>
        <w:rPr>
          <w:rFonts w:ascii="Calibri" w:hAnsi="Calibri" w:eastAsiaTheme="minorEastAsia" w:cs="Calibri"/>
          <w:sz w:val="22"/>
          <w:szCs w:val="22"/>
        </w:rPr>
      </w:pPr>
      <w:r w:rsidRPr="005D0D64">
        <w:rPr>
          <w:rFonts w:ascii="Calibri" w:hAnsi="Calibri" w:eastAsiaTheme="minorEastAsia" w:cs="Calibri"/>
          <w:sz w:val="22"/>
          <w:szCs w:val="22"/>
        </w:rPr>
        <w:t>Join</w:t>
      </w:r>
      <w:r w:rsidRPr="005D0D64">
        <w:rPr>
          <w:rFonts w:ascii="Calibri" w:hAnsi="Calibri" w:eastAsiaTheme="minorEastAsia" w:cs="Calibri"/>
          <w:sz w:val="22"/>
          <w:szCs w:val="22"/>
        </w:rPr>
        <w:t>ed up</w:t>
      </w:r>
      <w:r w:rsidRPr="005D0D64">
        <w:rPr>
          <w:rFonts w:ascii="Calibri" w:hAnsi="Calibri" w:eastAsiaTheme="minorEastAsia" w:cs="Calibri"/>
          <w:sz w:val="22"/>
          <w:szCs w:val="22"/>
        </w:rPr>
        <w:t xml:space="preserve"> careers and enrichment experiences offers potential to create a learner-facing tool to capture and showcase enrichment and careers experiences to employers.  </w:t>
      </w:r>
    </w:p>
    <w:p w:rsidR="00F42DDE" w:rsidRPr="005D0D64" w:rsidP="738AAFBD">
      <w:pPr>
        <w:rPr>
          <w:rFonts w:ascii="Calibri" w:hAnsi="Calibri" w:eastAsiaTheme="minorEastAsia" w:cs="Calibri"/>
          <w:b/>
          <w:bCs/>
          <w:color w:val="00797B"/>
          <w:sz w:val="22"/>
          <w:szCs w:val="22"/>
        </w:rPr>
      </w:pPr>
      <w:r w:rsidRPr="005D0D64">
        <w:rPr>
          <w:rFonts w:ascii="Calibri" w:hAnsi="Calibri" w:eastAsiaTheme="minorEastAsia" w:cs="Calibri"/>
          <w:b/>
          <w:bCs/>
          <w:color w:val="00797B"/>
          <w:sz w:val="22"/>
          <w:szCs w:val="22"/>
        </w:rPr>
        <w:t>Wider Government policy</w:t>
      </w:r>
    </w:p>
    <w:p w:rsidR="00F42DDE" w:rsidRPr="005D0D64" w:rsidP="738AAFBD">
      <w:pPr>
        <w:rPr>
          <w:rFonts w:ascii="Calibri" w:hAnsi="Calibri" w:eastAsiaTheme="minorEastAsia" w:cs="Calibri"/>
          <w:b/>
          <w:bCs/>
          <w:sz w:val="22"/>
          <w:szCs w:val="22"/>
        </w:rPr>
      </w:pPr>
      <w:r w:rsidRPr="005D0D64">
        <w:rPr>
          <w:rFonts w:ascii="Calibri" w:hAnsi="Calibri" w:eastAsiaTheme="minorEastAsia" w:cs="Calibri"/>
          <w:sz w:val="22"/>
          <w:szCs w:val="22"/>
        </w:rPr>
        <w:t xml:space="preserve">Several ambitions set out in the </w:t>
      </w:r>
      <w:r w:rsidRPr="005D0D64">
        <w:rPr>
          <w:rFonts w:ascii="Calibri" w:hAnsi="Calibri" w:eastAsiaTheme="minorEastAsia" w:cs="Calibri"/>
          <w:sz w:val="22"/>
          <w:szCs w:val="22"/>
        </w:rPr>
        <w:t>S</w:t>
      </w:r>
      <w:r w:rsidRPr="005D0D64">
        <w:rPr>
          <w:rFonts w:ascii="Calibri" w:hAnsi="Calibri" w:eastAsiaTheme="minorEastAsia" w:cs="Calibri"/>
          <w:sz w:val="22"/>
          <w:szCs w:val="22"/>
        </w:rPr>
        <w:t xml:space="preserve">chools </w:t>
      </w:r>
      <w:r w:rsidRPr="005D0D64">
        <w:rPr>
          <w:rFonts w:ascii="Calibri" w:hAnsi="Calibri" w:eastAsiaTheme="minorEastAsia" w:cs="Calibri"/>
          <w:sz w:val="22"/>
          <w:szCs w:val="22"/>
        </w:rPr>
        <w:t xml:space="preserve">White </w:t>
      </w:r>
      <w:r w:rsidRPr="005D0D64">
        <w:rPr>
          <w:rFonts w:ascii="Calibri" w:hAnsi="Calibri" w:eastAsiaTheme="minorEastAsia" w:cs="Calibri"/>
          <w:sz w:val="22"/>
          <w:szCs w:val="22"/>
        </w:rPr>
        <w:t>P</w:t>
      </w:r>
      <w:r w:rsidRPr="005D0D64">
        <w:rPr>
          <w:rFonts w:ascii="Calibri" w:hAnsi="Calibri" w:eastAsiaTheme="minorEastAsia" w:cs="Calibri"/>
          <w:sz w:val="22"/>
          <w:szCs w:val="22"/>
        </w:rPr>
        <w:t xml:space="preserve">aper </w:t>
      </w:r>
      <w:r w:rsidRPr="005D0D64">
        <w:rPr>
          <w:rFonts w:ascii="Calibri" w:hAnsi="Calibri" w:eastAsiaTheme="minorEastAsia" w:cs="Calibri"/>
          <w:sz w:val="22"/>
          <w:szCs w:val="22"/>
        </w:rPr>
        <w:t xml:space="preserve">would benefit from </w:t>
      </w:r>
      <w:r w:rsidRPr="005D0D64">
        <w:rPr>
          <w:rFonts w:ascii="Calibri" w:hAnsi="Calibri" w:eastAsiaTheme="minorEastAsia" w:cs="Calibri"/>
          <w:sz w:val="22"/>
          <w:szCs w:val="22"/>
        </w:rPr>
        <w:t>further join-up</w:t>
      </w:r>
      <w:r w:rsidRPr="005D0D64">
        <w:rPr>
          <w:rFonts w:ascii="Calibri" w:hAnsi="Calibri" w:eastAsiaTheme="minorEastAsia" w:cs="Calibri"/>
          <w:sz w:val="22"/>
          <w:szCs w:val="22"/>
        </w:rPr>
        <w:t xml:space="preserve"> with the careers system to compound impact and reduce the burden on schools. </w:t>
      </w:r>
      <w:r w:rsidRPr="005D0D64">
        <w:rPr>
          <w:rFonts w:ascii="Calibri" w:hAnsi="Calibri" w:eastAsiaTheme="minorEastAsia" w:cs="Calibri"/>
          <w:b/>
          <w:bCs/>
          <w:sz w:val="22"/>
          <w:szCs w:val="22"/>
        </w:rPr>
        <w:t xml:space="preserve"> </w:t>
      </w:r>
    </w:p>
    <w:p w:rsidR="00F42DDE" w:rsidRPr="005D0D64" w:rsidP="738AAFBD">
      <w:pPr>
        <w:rPr>
          <w:rFonts w:ascii="Calibri" w:hAnsi="Calibri" w:eastAsiaTheme="minorEastAsia" w:cs="Calibri"/>
          <w:color w:val="00797B"/>
          <w:sz w:val="22"/>
          <w:szCs w:val="22"/>
        </w:rPr>
      </w:pPr>
      <w:r w:rsidRPr="005D0D64">
        <w:rPr>
          <w:rFonts w:ascii="Calibri" w:hAnsi="Calibri" w:eastAsiaTheme="minorEastAsia" w:cs="Calibri"/>
          <w:b/>
          <w:bCs/>
          <w:color w:val="00797B"/>
          <w:sz w:val="22"/>
          <w:szCs w:val="22"/>
        </w:rPr>
        <w:t xml:space="preserve">The Schools White Paper </w:t>
      </w:r>
      <w:r w:rsidRPr="005D0D64">
        <w:rPr>
          <w:rFonts w:ascii="Calibri" w:hAnsi="Calibri" w:eastAsiaTheme="minorEastAsia" w:cs="Calibri"/>
          <w:b/>
          <w:bCs/>
          <w:color w:val="00797B"/>
          <w:sz w:val="22"/>
          <w:szCs w:val="22"/>
        </w:rPr>
        <w:t xml:space="preserve">made </w:t>
      </w:r>
      <w:r w:rsidRPr="005D0D64">
        <w:rPr>
          <w:rFonts w:ascii="Calibri" w:hAnsi="Calibri" w:eastAsiaTheme="minorEastAsia" w:cs="Calibri"/>
          <w:b/>
          <w:bCs/>
          <w:color w:val="00797B"/>
          <w:sz w:val="22"/>
          <w:szCs w:val="22"/>
        </w:rPr>
        <w:t>recommend</w:t>
      </w:r>
      <w:r w:rsidRPr="005D0D64">
        <w:rPr>
          <w:rFonts w:ascii="Calibri" w:hAnsi="Calibri" w:eastAsiaTheme="minorEastAsia" w:cs="Calibri"/>
          <w:b/>
          <w:bCs/>
          <w:color w:val="00797B"/>
          <w:sz w:val="22"/>
          <w:szCs w:val="22"/>
        </w:rPr>
        <w:t xml:space="preserve">ations to drive Risk of NEET identification process in schools to support transitions. </w:t>
      </w:r>
      <w:r w:rsidRPr="005D0D64">
        <w:rPr>
          <w:rFonts w:ascii="Calibri" w:hAnsi="Calibri" w:eastAsiaTheme="minorEastAsia" w:cs="Calibri"/>
          <w:color w:val="00797B"/>
          <w:sz w:val="22"/>
          <w:szCs w:val="22"/>
        </w:rPr>
        <w:t>It noted that</w:t>
      </w:r>
      <w:r w:rsidRPr="005D0D64">
        <w:rPr>
          <w:rFonts w:ascii="Calibri" w:hAnsi="Calibri" w:eastAsiaTheme="minorEastAsia" w:cs="Calibri"/>
          <w:color w:val="00797B"/>
          <w:sz w:val="22"/>
          <w:szCs w:val="22"/>
        </w:rPr>
        <w:t>:</w:t>
      </w:r>
    </w:p>
    <w:p w:rsidR="00F42DDE" w:rsidRPr="005D0D64" w:rsidP="738AAFBD">
      <w:pPr>
        <w:pStyle w:val="ListParagraph"/>
        <w:numPr>
          <w:ilvl w:val="0"/>
          <w:numId w:val="19"/>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E</w:t>
      </w:r>
      <w:r w:rsidRPr="005D0D64">
        <w:rPr>
          <w:rFonts w:ascii="Calibri" w:hAnsi="Calibri" w:eastAsiaTheme="minorEastAsia" w:cs="Calibri"/>
          <w:color w:val="00797B"/>
          <w:sz w:val="22"/>
          <w:szCs w:val="22"/>
        </w:rPr>
        <w:t xml:space="preserve">very child should have a planned destination before leaving school. </w:t>
      </w:r>
    </w:p>
    <w:p w:rsidR="00F42DDE" w:rsidRPr="005D0D64" w:rsidP="738AAFBD">
      <w:pPr>
        <w:pStyle w:val="ListParagraph"/>
        <w:numPr>
          <w:ilvl w:val="0"/>
          <w:numId w:val="19"/>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Schools will routinely provide targeted support for those at risk of becoming NEET</w:t>
      </w:r>
    </w:p>
    <w:p w:rsidR="00F42DDE" w:rsidRPr="005D0D64" w:rsidP="738AAFBD">
      <w:pPr>
        <w:pStyle w:val="ListParagraph"/>
        <w:numPr>
          <w:ilvl w:val="0"/>
          <w:numId w:val="19"/>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 xml:space="preserve">Govt will </w:t>
      </w:r>
      <w:r w:rsidRPr="005D0D64">
        <w:rPr>
          <w:rFonts w:ascii="Calibri" w:hAnsi="Calibri" w:eastAsiaTheme="minorEastAsia" w:cs="Calibri"/>
          <w:color w:val="00797B"/>
          <w:sz w:val="22"/>
          <w:szCs w:val="22"/>
        </w:rPr>
        <w:t>improv</w:t>
      </w:r>
      <w:r w:rsidRPr="005D0D64">
        <w:rPr>
          <w:rFonts w:ascii="Calibri" w:hAnsi="Calibri" w:eastAsiaTheme="minorEastAsia" w:cs="Calibri"/>
          <w:color w:val="00797B"/>
          <w:sz w:val="22"/>
          <w:szCs w:val="22"/>
        </w:rPr>
        <w:t>e</w:t>
      </w:r>
      <w:r w:rsidRPr="005D0D64">
        <w:rPr>
          <w:rFonts w:ascii="Calibri" w:hAnsi="Calibri" w:eastAsiaTheme="minorEastAsia" w:cs="Calibri"/>
          <w:color w:val="00797B"/>
          <w:sz w:val="22"/>
          <w:szCs w:val="22"/>
        </w:rPr>
        <w:t xml:space="preserve"> data-sharing between schools, local authorities and post-16 providers</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To support local areas in identifying young people at risk of becoming NEET earlier, the Department for Education has funded the Careers and Enterprise Company to develop a Risk of NEET Indicator </w:t>
      </w:r>
      <w:r w:rsidRPr="005D0D64">
        <w:rPr>
          <w:rFonts w:ascii="Calibri" w:hAnsi="Calibri" w:eastAsiaTheme="minorEastAsia" w:cs="Calibri"/>
          <w:sz w:val="22"/>
          <w:szCs w:val="22"/>
        </w:rPr>
        <w:t xml:space="preserve">(RoNI) </w:t>
      </w:r>
      <w:r w:rsidRPr="005D0D64">
        <w:rPr>
          <w:rFonts w:ascii="Calibri" w:hAnsi="Calibri" w:eastAsiaTheme="minorEastAsia" w:cs="Calibri"/>
          <w:sz w:val="22"/>
          <w:szCs w:val="22"/>
        </w:rPr>
        <w:t>Tool</w:t>
      </w:r>
      <w:r w:rsidRPr="005D0D64">
        <w:rPr>
          <w:rFonts w:ascii="Calibri" w:hAnsi="Calibri" w:eastAsiaTheme="minorEastAsia" w:cs="Calibri"/>
          <w:sz w:val="22"/>
          <w:szCs w:val="22"/>
        </w:rPr>
        <w:t xml:space="preserve">. </w:t>
      </w:r>
    </w:p>
    <w:p w:rsidR="00F42DDE" w:rsidRPr="005D0D64" w:rsidP="738AAFBD">
      <w:pPr>
        <w:rPr>
          <w:rFonts w:ascii="Calibri" w:hAnsi="Calibri" w:eastAsiaTheme="minorEastAsia" w:cs="Calibri"/>
          <w:sz w:val="22"/>
          <w:szCs w:val="22"/>
        </w:rPr>
      </w:pPr>
      <w:r>
        <w:fldChar w:fldCharType="begin"/>
      </w:r>
      <w:r>
        <w:instrText xml:space="preserve"> HYPERLINK "https://www.careersandenterprise.co.uk/news/ontrack-supporting-educators-to-address-risk-of-young-people-becoming-neet" </w:instrText>
      </w:r>
      <w:r>
        <w:fldChar w:fldCharType="separate"/>
      </w:r>
      <w:r w:rsidRPr="005D0D64">
        <w:rPr>
          <w:rStyle w:val="Hyperlink"/>
          <w:rFonts w:ascii="Calibri" w:hAnsi="Calibri" w:eastAsiaTheme="minorEastAsia" w:cs="Calibri"/>
          <w:color w:val="auto"/>
          <w:sz w:val="22"/>
          <w:szCs w:val="22"/>
        </w:rPr>
        <w:t>OnTrack+,</w:t>
      </w:r>
      <w:r>
        <w:fldChar w:fldCharType="end"/>
      </w:r>
      <w:r w:rsidRPr="005D0D64">
        <w:rPr>
          <w:rFonts w:ascii="Calibri" w:hAnsi="Calibri" w:eastAsiaTheme="minorEastAsia" w:cs="Calibri"/>
          <w:sz w:val="22"/>
          <w:szCs w:val="22"/>
        </w:rPr>
        <w:t> launched in February 2026, set within Compass+, enables schools (incl. SEND and AP) to identify learners who may be at risk of becoming NEET from an early stage (beginning of KS3). &gt;1,000 institutions are already using the functionality, with adoption growing rapidly.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DfE have recommend all schools adopt </w:t>
      </w:r>
      <w:r w:rsidRPr="005D0D64">
        <w:rPr>
          <w:rFonts w:ascii="Calibri" w:hAnsi="Calibri" w:eastAsiaTheme="minorEastAsia" w:cs="Calibri"/>
          <w:sz w:val="22"/>
          <w:szCs w:val="22"/>
        </w:rPr>
        <w:t xml:space="preserve">the tool. It will work in tandem with the DfE-launched NCCIS tool for Local Authorities.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To support schools in their strengthened </w:t>
      </w:r>
      <w:r w:rsidRPr="005D0D64">
        <w:rPr>
          <w:rFonts w:ascii="Calibri" w:hAnsi="Calibri" w:eastAsiaTheme="minorEastAsia" w:cs="Calibri"/>
          <w:sz w:val="22"/>
          <w:szCs w:val="22"/>
        </w:rPr>
        <w:t xml:space="preserve">responsibility for destination planning and targeting </w:t>
      </w:r>
      <w:r w:rsidRPr="005D0D64">
        <w:rPr>
          <w:rFonts w:ascii="Calibri" w:hAnsi="Calibri" w:eastAsiaTheme="minorEastAsia" w:cs="Calibri"/>
          <w:sz w:val="22"/>
          <w:szCs w:val="22"/>
        </w:rPr>
        <w:t>support, clear</w:t>
      </w:r>
      <w:r w:rsidRPr="005D0D64">
        <w:rPr>
          <w:rFonts w:ascii="Calibri" w:hAnsi="Calibri" w:eastAsiaTheme="minorEastAsia" w:cs="Calibri"/>
          <w:sz w:val="22"/>
          <w:szCs w:val="22"/>
        </w:rPr>
        <w:t xml:space="preserve"> advice </w:t>
      </w:r>
      <w:r w:rsidRPr="005D0D64">
        <w:rPr>
          <w:rFonts w:ascii="Calibri" w:hAnsi="Calibri" w:eastAsiaTheme="minorEastAsia" w:cs="Calibri"/>
          <w:sz w:val="22"/>
          <w:szCs w:val="22"/>
        </w:rPr>
        <w:t xml:space="preserve">is needed </w:t>
      </w:r>
      <w:r w:rsidRPr="005D0D64">
        <w:rPr>
          <w:rFonts w:ascii="Calibri" w:hAnsi="Calibri" w:eastAsiaTheme="minorEastAsia" w:cs="Calibri"/>
          <w:sz w:val="22"/>
          <w:szCs w:val="22"/>
        </w:rPr>
        <w:t>for</w:t>
      </w:r>
      <w:r w:rsidRPr="005D0D64">
        <w:rPr>
          <w:rFonts w:ascii="Calibri" w:hAnsi="Calibri" w:eastAsiaTheme="minorEastAsia" w:cs="Calibri"/>
          <w:sz w:val="22"/>
          <w:szCs w:val="22"/>
        </w:rPr>
        <w:t xml:space="preserve"> schools and LAs on best practice use of the recommended tools, and support schools to embed a RO</w:t>
      </w:r>
      <w:r w:rsidRPr="005D0D64">
        <w:rPr>
          <w:rFonts w:ascii="Calibri" w:hAnsi="Calibri" w:eastAsiaTheme="minorEastAsia" w:cs="Calibri"/>
          <w:sz w:val="22"/>
          <w:szCs w:val="22"/>
        </w:rPr>
        <w:t>N</w:t>
      </w:r>
      <w:r w:rsidRPr="005D0D64">
        <w:rPr>
          <w:rFonts w:ascii="Calibri" w:hAnsi="Calibri" w:eastAsiaTheme="minorEastAsia" w:cs="Calibri"/>
          <w:sz w:val="22"/>
          <w:szCs w:val="22"/>
        </w:rPr>
        <w:t xml:space="preserve">I approach as part of their whole school destination strategies. </w:t>
      </w:r>
    </w:p>
    <w:p w:rsidR="00F42DDE" w:rsidRPr="005D0D64" w:rsidP="738AAFBD">
      <w:pPr>
        <w:rPr>
          <w:rFonts w:ascii="Calibri" w:hAnsi="Calibri" w:eastAsiaTheme="minorEastAsia" w:cs="Calibri"/>
          <w:color w:val="00797B"/>
          <w:sz w:val="22"/>
          <w:szCs w:val="22"/>
        </w:rPr>
      </w:pPr>
      <w:r w:rsidRPr="005D0D64">
        <w:rPr>
          <w:rFonts w:ascii="Calibri" w:hAnsi="Calibri" w:eastAsiaTheme="minorEastAsia" w:cs="Calibri"/>
          <w:b/>
          <w:bCs/>
          <w:color w:val="00797B"/>
          <w:sz w:val="22"/>
          <w:szCs w:val="22"/>
        </w:rPr>
        <w:t>The Schools White Paper</w:t>
      </w:r>
      <w:r w:rsidRPr="005D0D64">
        <w:rPr>
          <w:rFonts w:ascii="Calibri" w:hAnsi="Calibri" w:eastAsiaTheme="minorEastAsia" w:cs="Calibri"/>
          <w:b/>
          <w:bCs/>
          <w:color w:val="00797B"/>
          <w:sz w:val="22"/>
          <w:szCs w:val="22"/>
        </w:rPr>
        <w:t xml:space="preserve"> made recommendations to support t</w:t>
      </w:r>
      <w:r w:rsidRPr="005D0D64">
        <w:rPr>
          <w:rFonts w:ascii="Calibri" w:hAnsi="Calibri" w:eastAsiaTheme="minorEastAsia" w:cs="Calibri"/>
          <w:b/>
          <w:bCs/>
          <w:color w:val="00797B"/>
          <w:sz w:val="22"/>
          <w:szCs w:val="22"/>
        </w:rPr>
        <w:t>ransitions into KS3</w:t>
      </w:r>
      <w:r w:rsidRPr="005D0D64">
        <w:rPr>
          <w:rFonts w:ascii="Calibri" w:hAnsi="Calibri" w:eastAsiaTheme="minorEastAsia" w:cs="Calibri"/>
          <w:color w:val="00797B"/>
          <w:sz w:val="22"/>
          <w:szCs w:val="22"/>
        </w:rPr>
        <w:t xml:space="preserve">: </w:t>
      </w:r>
      <w:r w:rsidRPr="005D0D64">
        <w:rPr>
          <w:rFonts w:ascii="Calibri" w:hAnsi="Calibri" w:eastAsiaTheme="minorEastAsia" w:cs="Calibri"/>
          <w:color w:val="00797B"/>
          <w:sz w:val="22"/>
          <w:szCs w:val="22"/>
        </w:rPr>
        <w:t>it note</w:t>
      </w:r>
      <w:r w:rsidRPr="005D0D64">
        <w:rPr>
          <w:rFonts w:ascii="Calibri" w:hAnsi="Calibri" w:eastAsiaTheme="minorEastAsia" w:cs="Calibri"/>
          <w:color w:val="00797B"/>
          <w:sz w:val="22"/>
          <w:szCs w:val="22"/>
        </w:rPr>
        <w:t>d that</w:t>
      </w:r>
    </w:p>
    <w:p w:rsidR="00F42DDE" w:rsidRPr="005D0D64" w:rsidP="738AAFBD">
      <w:pPr>
        <w:pStyle w:val="ListParagraph"/>
        <w:numPr>
          <w:ilvl w:val="0"/>
          <w:numId w:val="3"/>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Schools will have an i</w:t>
      </w:r>
      <w:r w:rsidRPr="005D0D64">
        <w:rPr>
          <w:rFonts w:ascii="Calibri" w:hAnsi="Calibri" w:eastAsiaTheme="minorEastAsia" w:cs="Calibri"/>
          <w:color w:val="00797B"/>
          <w:sz w:val="22"/>
          <w:szCs w:val="22"/>
        </w:rPr>
        <w:t>ncreased focus on transitions between each key Stage</w:t>
      </w:r>
    </w:p>
    <w:p w:rsidR="00F42DDE" w:rsidRPr="005D0D64" w:rsidP="738AAFBD">
      <w:pPr>
        <w:pStyle w:val="ListParagraph"/>
        <w:numPr>
          <w:ilvl w:val="0"/>
          <w:numId w:val="3"/>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The advent of RISE teams to support this</w:t>
      </w:r>
    </w:p>
    <w:p w:rsidR="00F42DDE" w:rsidRPr="005D0D64" w:rsidP="738AAFBD">
      <w:pPr>
        <w:rPr>
          <w:rFonts w:ascii="Calibri" w:hAnsi="Calibri" w:eastAsiaTheme="minorEastAsia" w:cs="Calibri"/>
          <w:i/>
          <w:iCs/>
          <w:sz w:val="22"/>
          <w:szCs w:val="22"/>
        </w:rPr>
      </w:pPr>
      <w:r w:rsidRPr="005D0D64">
        <w:rPr>
          <w:rFonts w:ascii="Calibri" w:hAnsi="Calibri" w:eastAsiaTheme="minorEastAsia" w:cs="Calibri"/>
          <w:sz w:val="22"/>
          <w:szCs w:val="22"/>
        </w:rPr>
        <w:t xml:space="preserve">Interim Young People and Work Report highlights </w:t>
      </w:r>
      <w:r w:rsidRPr="005D0D64">
        <w:rPr>
          <w:rFonts w:ascii="Calibri" w:hAnsi="Calibri" w:eastAsiaTheme="minorEastAsia" w:cs="Calibri"/>
          <w:sz w:val="22"/>
          <w:szCs w:val="22"/>
        </w:rPr>
        <w:t>transitions from</w:t>
      </w:r>
      <w:r w:rsidRPr="005D0D64">
        <w:rPr>
          <w:rFonts w:ascii="Calibri" w:hAnsi="Calibri" w:eastAsiaTheme="minorEastAsia" w:cs="Calibri"/>
          <w:sz w:val="22"/>
          <w:szCs w:val="22"/>
        </w:rPr>
        <w:t xml:space="preserve"> primary to secondary a key </w:t>
      </w:r>
      <w:r w:rsidRPr="005D0D64">
        <w:rPr>
          <w:rFonts w:ascii="Calibri" w:hAnsi="Calibri" w:eastAsiaTheme="minorEastAsia" w:cs="Calibri"/>
          <w:sz w:val="22"/>
          <w:szCs w:val="22"/>
        </w:rPr>
        <w:t>fail</w:t>
      </w:r>
      <w:r w:rsidRPr="005D0D64">
        <w:rPr>
          <w:rFonts w:ascii="Calibri" w:hAnsi="Calibri" w:eastAsiaTheme="minorEastAsia" w:cs="Calibri"/>
          <w:sz w:val="22"/>
          <w:szCs w:val="22"/>
        </w:rPr>
        <w:t xml:space="preserve"> point, with those who </w:t>
      </w:r>
      <w:r w:rsidRPr="005D0D64">
        <w:rPr>
          <w:rFonts w:ascii="Calibri" w:hAnsi="Calibri" w:eastAsiaTheme="minorEastAsia" w:cs="Calibri"/>
          <w:sz w:val="22"/>
          <w:szCs w:val="22"/>
        </w:rPr>
        <w:t xml:space="preserve">in need of enhanced support placed at increased risk of NEET. </w:t>
      </w:r>
    </w:p>
    <w:p w:rsidR="00F42DDE" w:rsidRPr="005D0D64" w:rsidP="738AAFBD">
      <w:pPr>
        <w:rPr>
          <w:rFonts w:ascii="Calibri" w:hAnsi="Calibri" w:eastAsiaTheme="minorEastAsia" w:cs="Calibri"/>
          <w:i/>
          <w:iCs/>
          <w:sz w:val="22"/>
          <w:szCs w:val="22"/>
        </w:rPr>
      </w:pPr>
      <w:r w:rsidRPr="005D0D64">
        <w:rPr>
          <w:rFonts w:ascii="Calibri" w:hAnsi="Calibri" w:eastAsiaTheme="minorEastAsia" w:cs="Calibri"/>
          <w:sz w:val="22"/>
          <w:szCs w:val="22"/>
        </w:rPr>
        <w:t>S</w:t>
      </w:r>
      <w:r w:rsidRPr="005D0D64">
        <w:rPr>
          <w:rFonts w:ascii="Calibri" w:hAnsi="Calibri" w:eastAsiaTheme="minorEastAsia" w:cs="Calibri"/>
          <w:sz w:val="22"/>
          <w:szCs w:val="22"/>
        </w:rPr>
        <w:t>cal</w:t>
      </w:r>
      <w:r w:rsidRPr="005D0D64">
        <w:rPr>
          <w:rFonts w:ascii="Calibri" w:hAnsi="Calibri" w:eastAsiaTheme="minorEastAsia" w:cs="Calibri"/>
          <w:sz w:val="22"/>
          <w:szCs w:val="22"/>
        </w:rPr>
        <w:t>ing</w:t>
      </w:r>
      <w:r w:rsidRPr="005D0D64">
        <w:rPr>
          <w:rFonts w:ascii="Calibri" w:hAnsi="Calibri" w:eastAsiaTheme="minorEastAsia" w:cs="Calibri"/>
          <w:sz w:val="22"/>
          <w:szCs w:val="22"/>
        </w:rPr>
        <w:t xml:space="preserve"> and </w:t>
      </w:r>
      <w:r w:rsidRPr="005D0D64">
        <w:rPr>
          <w:rFonts w:ascii="Calibri" w:hAnsi="Calibri" w:eastAsiaTheme="minorEastAsia" w:cs="Calibri"/>
          <w:sz w:val="22"/>
          <w:szCs w:val="22"/>
        </w:rPr>
        <w:t>support</w:t>
      </w:r>
      <w:r w:rsidRPr="005D0D64">
        <w:rPr>
          <w:rFonts w:ascii="Calibri" w:hAnsi="Calibri" w:eastAsiaTheme="minorEastAsia" w:cs="Calibri"/>
          <w:sz w:val="22"/>
          <w:szCs w:val="22"/>
        </w:rPr>
        <w:t>ing</w:t>
      </w:r>
      <w:r w:rsidRPr="005D0D64">
        <w:rPr>
          <w:rFonts w:ascii="Calibri" w:hAnsi="Calibri" w:eastAsiaTheme="minorEastAsia" w:cs="Calibri"/>
          <w:sz w:val="22"/>
          <w:szCs w:val="22"/>
        </w:rPr>
        <w:t xml:space="preserve"> careers-related learning </w:t>
      </w:r>
      <w:r w:rsidRPr="005D0D64">
        <w:rPr>
          <w:rFonts w:ascii="Calibri" w:hAnsi="Calibri" w:eastAsiaTheme="minorEastAsia" w:cs="Calibri"/>
          <w:sz w:val="22"/>
          <w:szCs w:val="22"/>
        </w:rPr>
        <w:t xml:space="preserve">embedded </w:t>
      </w:r>
      <w:r w:rsidRPr="005D0D64">
        <w:rPr>
          <w:rFonts w:ascii="Calibri" w:hAnsi="Calibri" w:eastAsiaTheme="minorEastAsia" w:cs="Calibri"/>
          <w:sz w:val="22"/>
          <w:szCs w:val="22"/>
        </w:rPr>
        <w:t>into</w:t>
      </w:r>
      <w:r w:rsidRPr="005D0D64">
        <w:rPr>
          <w:rFonts w:ascii="Calibri" w:hAnsi="Calibri" w:eastAsiaTheme="minorEastAsia" w:cs="Calibri"/>
          <w:sz w:val="22"/>
          <w:szCs w:val="22"/>
        </w:rPr>
        <w:t xml:space="preserve"> primary settings, with evidence of previous piloting positioned as ‘compelling’ in the interim report.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Primary school educators have </w:t>
      </w:r>
      <w:r>
        <w:fldChar w:fldCharType="begin"/>
      </w:r>
      <w:r>
        <w:instrText xml:space="preserve"> HYPERLINK "https://primaryplatform.careersandenterprise.co.uk/educator-learner-journey" </w:instrText>
      </w:r>
      <w:r>
        <w:fldChar w:fldCharType="separate"/>
      </w:r>
      <w:r w:rsidRPr="005D0D64">
        <w:rPr>
          <w:rStyle w:val="Hyperlink"/>
          <w:rFonts w:ascii="Calibri" w:hAnsi="Calibri" w:eastAsiaTheme="minorEastAsia" w:cs="Calibri"/>
          <w:color w:val="auto"/>
          <w:sz w:val="22"/>
          <w:szCs w:val="22"/>
        </w:rPr>
        <w:t>access to a clearer learner journey</w:t>
      </w:r>
      <w:r>
        <w:fldChar w:fldCharType="end"/>
      </w:r>
      <w:r w:rsidRPr="005D0D64">
        <w:rPr>
          <w:rFonts w:ascii="Calibri" w:hAnsi="Calibri" w:eastAsiaTheme="minorEastAsia" w:cs="Calibri"/>
          <w:sz w:val="22"/>
          <w:szCs w:val="22"/>
        </w:rPr>
        <w:t xml:space="preserve"> with CEC comprising a Careers Impact Maturity Model for Primary Schools and a suite of training. DfE should issue </w:t>
      </w:r>
      <w:r w:rsidRPr="005D0D64">
        <w:rPr>
          <w:rFonts w:ascii="Calibri" w:hAnsi="Calibri" w:eastAsiaTheme="minorEastAsia" w:cs="Calibri"/>
          <w:sz w:val="22"/>
          <w:szCs w:val="22"/>
        </w:rPr>
        <w:t>guidance</w:t>
      </w:r>
      <w:r w:rsidRPr="005D0D64">
        <w:rPr>
          <w:rFonts w:ascii="Calibri" w:hAnsi="Calibri" w:eastAsiaTheme="minorEastAsia" w:cs="Calibri"/>
          <w:sz w:val="22"/>
          <w:szCs w:val="22"/>
        </w:rPr>
        <w:t xml:space="preserve"> </w:t>
      </w:r>
      <w:r w:rsidRPr="005D0D64">
        <w:rPr>
          <w:rFonts w:ascii="Calibri" w:hAnsi="Calibri" w:eastAsiaTheme="minorEastAsia" w:cs="Calibri"/>
          <w:sz w:val="22"/>
          <w:szCs w:val="22"/>
        </w:rPr>
        <w:t>recommending</w:t>
      </w:r>
      <w:r w:rsidRPr="005D0D64">
        <w:rPr>
          <w:rFonts w:ascii="Calibri" w:hAnsi="Calibri" w:eastAsiaTheme="minorEastAsia" w:cs="Calibri"/>
          <w:sz w:val="22"/>
          <w:szCs w:val="22"/>
        </w:rPr>
        <w:t xml:space="preserve"> use of the support </w:t>
      </w:r>
      <w:r w:rsidRPr="005D0D64">
        <w:rPr>
          <w:rFonts w:ascii="Calibri" w:hAnsi="Calibri" w:eastAsiaTheme="minorEastAsia" w:cs="Calibri"/>
          <w:sz w:val="22"/>
          <w:szCs w:val="22"/>
        </w:rPr>
        <w:t>infrastructure and</w:t>
      </w:r>
      <w:r w:rsidRPr="005D0D64">
        <w:rPr>
          <w:rFonts w:ascii="Calibri" w:hAnsi="Calibri" w:eastAsiaTheme="minorEastAsia" w:cs="Calibri"/>
          <w:sz w:val="22"/>
          <w:szCs w:val="22"/>
        </w:rPr>
        <w:t xml:space="preserve"> consider additional investment top </w:t>
      </w:r>
      <w:r w:rsidRPr="005D0D64">
        <w:rPr>
          <w:rFonts w:ascii="Calibri" w:hAnsi="Calibri" w:eastAsiaTheme="minorEastAsia" w:cs="Calibri"/>
          <w:sz w:val="22"/>
          <w:szCs w:val="22"/>
        </w:rPr>
        <w:t>support</w:t>
      </w:r>
      <w:r w:rsidRPr="005D0D64">
        <w:rPr>
          <w:rFonts w:ascii="Calibri" w:hAnsi="Calibri" w:eastAsiaTheme="minorEastAsia" w:cs="Calibri"/>
          <w:sz w:val="22"/>
          <w:szCs w:val="22"/>
        </w:rPr>
        <w:t xml:space="preserve"> schools in embedding good </w:t>
      </w:r>
      <w:r w:rsidRPr="005D0D64">
        <w:rPr>
          <w:rFonts w:ascii="Calibri" w:hAnsi="Calibri" w:eastAsiaTheme="minorEastAsia" w:cs="Calibri"/>
          <w:sz w:val="22"/>
          <w:szCs w:val="22"/>
        </w:rPr>
        <w:t>practice</w:t>
      </w:r>
      <w:r w:rsidRPr="005D0D64">
        <w:rPr>
          <w:rFonts w:ascii="Calibri" w:hAnsi="Calibri" w:eastAsiaTheme="minorEastAsia" w:cs="Calibri"/>
          <w:sz w:val="22"/>
          <w:szCs w:val="22"/>
        </w:rPr>
        <w:t xml:space="preserve"> CRL.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 xml:space="preserve">Opportunity to support data sharing between KS2/3 through OnTrack+ </w:t>
      </w:r>
      <w:r w:rsidRPr="005D0D64">
        <w:rPr>
          <w:rFonts w:ascii="Calibri" w:hAnsi="Calibri" w:eastAsiaTheme="minorEastAsia" w:cs="Calibri"/>
          <w:sz w:val="22"/>
          <w:szCs w:val="22"/>
        </w:rPr>
        <w:t xml:space="preserve">enabling a consistent </w:t>
      </w:r>
      <w:r w:rsidRPr="005D0D64">
        <w:rPr>
          <w:rFonts w:ascii="Calibri" w:hAnsi="Calibri" w:eastAsiaTheme="minorEastAsia" w:cs="Calibri"/>
          <w:sz w:val="22"/>
          <w:szCs w:val="22"/>
        </w:rPr>
        <w:t>understanding</w:t>
      </w:r>
      <w:r w:rsidRPr="005D0D64">
        <w:rPr>
          <w:rFonts w:ascii="Calibri" w:hAnsi="Calibri" w:eastAsiaTheme="minorEastAsia" w:cs="Calibri"/>
          <w:sz w:val="22"/>
          <w:szCs w:val="22"/>
        </w:rPr>
        <w:t xml:space="preserve"> of risk </w:t>
      </w:r>
      <w:r w:rsidRPr="005D0D64">
        <w:rPr>
          <w:rFonts w:ascii="Calibri" w:hAnsi="Calibri" w:eastAsiaTheme="minorEastAsia" w:cs="Calibri"/>
          <w:sz w:val="22"/>
          <w:szCs w:val="22"/>
        </w:rPr>
        <w:t xml:space="preserve">and smooth transitions. </w:t>
      </w:r>
      <w:r w:rsidRPr="005D0D64">
        <w:rPr>
          <w:rFonts w:ascii="Calibri" w:hAnsi="Calibri" w:eastAsiaTheme="minorEastAsia" w:cs="Calibri"/>
          <w:sz w:val="22"/>
          <w:szCs w:val="22"/>
        </w:rPr>
        <w:t xml:space="preserve"> </w:t>
      </w:r>
    </w:p>
    <w:p w:rsidR="00F42DDE" w:rsidRPr="005D0D64" w:rsidP="738AAFBD">
      <w:pPr>
        <w:rPr>
          <w:rFonts w:ascii="Calibri" w:hAnsi="Calibri" w:eastAsiaTheme="minorEastAsia" w:cs="Calibri"/>
          <w:b/>
          <w:bCs/>
          <w:color w:val="00797B"/>
          <w:sz w:val="22"/>
          <w:szCs w:val="22"/>
        </w:rPr>
      </w:pPr>
      <w:r w:rsidRPr="005D0D64">
        <w:rPr>
          <w:rFonts w:ascii="Calibri" w:hAnsi="Calibri" w:eastAsiaTheme="minorEastAsia" w:cs="Calibri"/>
          <w:b/>
          <w:bCs/>
          <w:color w:val="00797B"/>
          <w:sz w:val="22"/>
          <w:szCs w:val="22"/>
        </w:rPr>
        <w:t xml:space="preserve">The Schools White Paper </w:t>
      </w:r>
      <w:r w:rsidRPr="005D0D64">
        <w:rPr>
          <w:rFonts w:ascii="Calibri" w:hAnsi="Calibri" w:eastAsiaTheme="minorEastAsia" w:cs="Calibri"/>
          <w:b/>
          <w:bCs/>
          <w:color w:val="00797B"/>
          <w:sz w:val="22"/>
          <w:szCs w:val="22"/>
        </w:rPr>
        <w:t>made recommendations to improve S</w:t>
      </w:r>
      <w:r w:rsidRPr="005D0D64">
        <w:rPr>
          <w:rFonts w:ascii="Calibri" w:hAnsi="Calibri" w:eastAsiaTheme="minorEastAsia" w:cs="Calibri"/>
          <w:b/>
          <w:bCs/>
          <w:color w:val="00797B"/>
          <w:sz w:val="22"/>
          <w:szCs w:val="22"/>
        </w:rPr>
        <w:t xml:space="preserve">END support: </w:t>
      </w:r>
      <w:r w:rsidRPr="005D0D64">
        <w:rPr>
          <w:rFonts w:ascii="Calibri" w:hAnsi="Calibri" w:eastAsiaTheme="minorEastAsia" w:cs="Calibri"/>
          <w:b/>
          <w:bCs/>
          <w:color w:val="00797B"/>
          <w:sz w:val="22"/>
          <w:szCs w:val="22"/>
        </w:rPr>
        <w:t xml:space="preserve">it noted that </w:t>
      </w:r>
    </w:p>
    <w:p w:rsidR="00F42DDE" w:rsidRPr="005D0D64" w:rsidP="738AAFBD">
      <w:pPr>
        <w:pStyle w:val="ListParagraph"/>
        <w:numPr>
          <w:ilvl w:val="0"/>
          <w:numId w:val="27"/>
        </w:numPr>
        <w:rPr>
          <w:rFonts w:ascii="Calibri" w:hAnsi="Calibri" w:eastAsiaTheme="minorEastAsia" w:cs="Calibri"/>
          <w:color w:val="00797B"/>
          <w:sz w:val="22"/>
          <w:szCs w:val="22"/>
        </w:rPr>
      </w:pPr>
      <w:r w:rsidRPr="005D0D64">
        <w:rPr>
          <w:rFonts w:ascii="Calibri" w:hAnsi="Calibri" w:eastAsiaTheme="minorEastAsia" w:cs="Calibri"/>
          <w:color w:val="00797B"/>
          <w:sz w:val="22"/>
          <w:szCs w:val="22"/>
        </w:rPr>
        <w:t>S</w:t>
      </w:r>
      <w:r w:rsidRPr="005D0D64">
        <w:rPr>
          <w:rFonts w:ascii="Calibri" w:hAnsi="Calibri" w:eastAsiaTheme="minorEastAsia" w:cs="Calibri"/>
          <w:color w:val="00797B"/>
          <w:sz w:val="22"/>
          <w:szCs w:val="22"/>
        </w:rPr>
        <w:t xml:space="preserve">chools will be required to develop an Individual Support Plan. This plan will describe the child’s day-to-day educational provision and the support </w:t>
      </w:r>
      <w:r w:rsidRPr="005D0D64">
        <w:rPr>
          <w:rFonts w:ascii="Calibri" w:hAnsi="Calibri" w:eastAsiaTheme="minorEastAsia" w:cs="Calibri"/>
          <w:color w:val="00797B"/>
          <w:sz w:val="22"/>
          <w:szCs w:val="22"/>
        </w:rPr>
        <w:t>required, and</w:t>
      </w:r>
      <w:r w:rsidRPr="005D0D64">
        <w:rPr>
          <w:rFonts w:ascii="Calibri" w:hAnsi="Calibri" w:eastAsiaTheme="minorEastAsia" w:cs="Calibri"/>
          <w:color w:val="00797B"/>
          <w:sz w:val="22"/>
          <w:szCs w:val="22"/>
        </w:rPr>
        <w:t xml:space="preserve"> will be created collaboratively with parents.</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Nearly </w:t>
      </w:r>
      <w:r>
        <w:fldChar w:fldCharType="begin"/>
      </w:r>
      <w:r>
        <w:instrText xml:space="preserve"> HYPERLINK "https://explore-education-statistics.service.gov.uk/find-statistics/special-educational-needs-in-england/2024-25" </w:instrText>
      </w:r>
      <w:r>
        <w:fldChar w:fldCharType="separate"/>
      </w:r>
      <w:r w:rsidRPr="005D0D64">
        <w:rPr>
          <w:rStyle w:val="Hyperlink"/>
          <w:rFonts w:ascii="Calibri" w:hAnsi="Calibri" w:eastAsiaTheme="minorEastAsia" w:cs="Calibri"/>
          <w:color w:val="auto"/>
          <w:sz w:val="22"/>
          <w:szCs w:val="22"/>
        </w:rPr>
        <w:t>1 in 5 learners</w:t>
      </w:r>
      <w:r>
        <w:fldChar w:fldCharType="end"/>
      </w:r>
      <w:r w:rsidRPr="005D0D64">
        <w:rPr>
          <w:rFonts w:ascii="Calibri" w:hAnsi="Calibri" w:eastAsiaTheme="minorEastAsia" w:cs="Calibri"/>
          <w:sz w:val="22"/>
          <w:szCs w:val="22"/>
        </w:rPr>
        <w:t> (19.6%) in England now receive SEN</w:t>
      </w:r>
      <w:r w:rsidRPr="005D0D64">
        <w:rPr>
          <w:rFonts w:ascii="Calibri" w:hAnsi="Calibri" w:eastAsiaTheme="minorEastAsia" w:cs="Calibri"/>
          <w:sz w:val="22"/>
          <w:szCs w:val="22"/>
          <w:vertAlign w:val="superscript"/>
        </w:rPr>
        <w:t>1</w:t>
      </w:r>
      <w:r w:rsidRPr="005D0D64">
        <w:rPr>
          <w:rFonts w:ascii="Calibri" w:hAnsi="Calibri" w:eastAsiaTheme="minorEastAsia" w:cs="Calibri"/>
          <w:sz w:val="22"/>
          <w:szCs w:val="22"/>
        </w:rPr>
        <w:t> support - 1.7 m pupils, up 5.6% (+93,700) since 2024.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Young people with SEND, low qualifications and from economically disadvantaged backgrounds </w:t>
      </w:r>
      <w:r>
        <w:fldChar w:fldCharType="begin"/>
      </w:r>
      <w:r>
        <w:instrText xml:space="preserve"> HYPERLINK "https://impetus-org.files.svdcdn.com/production/assets/publications/Report/Impetus_YouthJobsGap_ExploringCompoundDisadvantage.pdf?dm=1747140359" </w:instrText>
      </w:r>
      <w:r>
        <w:fldChar w:fldCharType="separate"/>
      </w:r>
      <w:r w:rsidRPr="005D0D64">
        <w:rPr>
          <w:rStyle w:val="Hyperlink"/>
          <w:rFonts w:ascii="Calibri" w:hAnsi="Calibri" w:eastAsiaTheme="minorEastAsia" w:cs="Calibri"/>
          <w:color w:val="auto"/>
          <w:sz w:val="22"/>
          <w:szCs w:val="22"/>
        </w:rPr>
        <w:t>are almost 3 times more likely to be NEET</w:t>
      </w:r>
      <w:r>
        <w:fldChar w:fldCharType="end"/>
      </w:r>
      <w:r w:rsidRPr="005D0D64">
        <w:rPr>
          <w:rFonts w:ascii="Calibri" w:hAnsi="Calibri" w:eastAsiaTheme="minorEastAsia" w:cs="Calibri"/>
          <w:sz w:val="22"/>
          <w:szCs w:val="22"/>
        </w:rPr>
        <w:t>. </w:t>
      </w:r>
      <w:r>
        <w:fldChar w:fldCharType="begin"/>
      </w:r>
      <w:r>
        <w:instrText xml:space="preserve"> HYPERLINK "https://assets.publishing.service.gov.uk/media/67487e8d6f60e776797239a5/Chapter_3-_Special_Educational_Needs.pdf" </w:instrText>
      </w:r>
      <w:r>
        <w:fldChar w:fldCharType="separate"/>
      </w:r>
      <w:r w:rsidRPr="005D0D64">
        <w:rPr>
          <w:rStyle w:val="Hyperlink"/>
          <w:rFonts w:ascii="Calibri" w:hAnsi="Calibri" w:eastAsiaTheme="minorEastAsia" w:cs="Calibri"/>
          <w:color w:val="auto"/>
          <w:sz w:val="22"/>
          <w:szCs w:val="22"/>
        </w:rPr>
        <w:t>Long-term employment outcomes are significantly worse:</w:t>
      </w:r>
      <w:r>
        <w:fldChar w:fldCharType="end"/>
      </w:r>
      <w:r w:rsidRPr="005D0D64">
        <w:rPr>
          <w:rFonts w:ascii="Calibri" w:hAnsi="Calibri" w:eastAsiaTheme="minorEastAsia" w:cs="Calibri"/>
          <w:sz w:val="22"/>
          <w:szCs w:val="22"/>
        </w:rPr>
        <w:t> 33%</w:t>
      </w:r>
      <w:r w:rsidRPr="005D0D64">
        <w:rPr>
          <w:rFonts w:ascii="Calibri" w:hAnsi="Calibri" w:eastAsiaTheme="minorEastAsia" w:cs="Calibri"/>
          <w:sz w:val="22"/>
          <w:szCs w:val="22"/>
        </w:rPr>
        <w:t xml:space="preserve"> of SEN learners are in work 15 years after GCSEs (non-SEN 63%)</w:t>
      </w:r>
    </w:p>
    <w:p w:rsidR="00F42DDE" w:rsidRPr="005D0D64" w:rsidP="738AAFBD">
      <w:pPr>
        <w:rPr>
          <w:rFonts w:ascii="Calibri" w:hAnsi="Calibri" w:eastAsiaTheme="minorEastAsia" w:cs="Calibri"/>
          <w:sz w:val="22"/>
          <w:szCs w:val="22"/>
        </w:rPr>
      </w:pPr>
      <w:r>
        <w:fldChar w:fldCharType="begin"/>
      </w:r>
      <w:r>
        <w:instrText xml:space="preserve"> HYPERLINK "https://www.careersandenterprise.co.uk/evidence-and-reports/insight-briefing-student-career-readiness-202425" </w:instrText>
      </w:r>
      <w:r>
        <w:fldChar w:fldCharType="separate"/>
      </w:r>
      <w:r w:rsidRPr="005D0D64">
        <w:rPr>
          <w:rStyle w:val="Hyperlink"/>
          <w:rFonts w:ascii="Calibri" w:hAnsi="Calibri" w:eastAsiaTheme="minorEastAsia" w:cs="Calibri"/>
          <w:color w:val="auto"/>
          <w:sz w:val="22"/>
          <w:szCs w:val="22"/>
        </w:rPr>
        <w:t>Our data</w:t>
      </w:r>
      <w:r>
        <w:fldChar w:fldCharType="end"/>
      </w:r>
      <w:r w:rsidRPr="005D0D64">
        <w:rPr>
          <w:rFonts w:ascii="Calibri" w:hAnsi="Calibri" w:eastAsiaTheme="minorEastAsia" w:cs="Calibri"/>
          <w:sz w:val="22"/>
          <w:szCs w:val="22"/>
        </w:rPr>
        <w:t xml:space="preserve"> show that despite progress, SEN learners experience a drop off in their career readiness in Year 12 suggesting that the transition to post-16 education is a critical pressure point for </w:t>
      </w:r>
      <w:r w:rsidRPr="005D0D64">
        <w:rPr>
          <w:rFonts w:ascii="Calibri" w:hAnsi="Calibri" w:eastAsiaTheme="minorEastAsia" w:cs="Calibri"/>
          <w:sz w:val="22"/>
          <w:szCs w:val="22"/>
        </w:rPr>
        <w:t>learners.</w:t>
      </w:r>
    </w:p>
    <w:p w:rsidR="00F42DDE" w:rsidRPr="005D0D64" w:rsidP="738AAFBD">
      <w:pPr>
        <w:rPr>
          <w:rFonts w:ascii="Calibri" w:hAnsi="Calibri" w:eastAsiaTheme="minorEastAsia" w:cs="Calibri"/>
          <w:sz w:val="22"/>
          <w:szCs w:val="22"/>
        </w:rPr>
      </w:pPr>
      <w:r>
        <w:fldChar w:fldCharType="begin"/>
      </w:r>
      <w:r>
        <w:instrText xml:space="preserve"> HYPERLINK "https://www.gov.uk/government/publications/careers-guidance-provision-for-young-people-in-schools/careers-guidance-and-access-for-education-and-training-providers" </w:instrText>
      </w:r>
      <w:r>
        <w:fldChar w:fldCharType="separate"/>
      </w:r>
      <w:r w:rsidRPr="005D0D64">
        <w:rPr>
          <w:rStyle w:val="Hyperlink"/>
          <w:rFonts w:ascii="Calibri" w:hAnsi="Calibri" w:eastAsiaTheme="minorEastAsia" w:cs="Calibri"/>
          <w:color w:val="auto"/>
          <w:sz w:val="22"/>
          <w:szCs w:val="22"/>
        </w:rPr>
        <w:t>Updated statutory guidance</w:t>
      </w:r>
      <w:r>
        <w:fldChar w:fldCharType="end"/>
      </w:r>
      <w:r w:rsidRPr="005D0D64">
        <w:rPr>
          <w:rFonts w:ascii="Calibri" w:hAnsi="Calibri" w:eastAsiaTheme="minorEastAsia" w:cs="Calibri"/>
          <w:sz w:val="22"/>
          <w:szCs w:val="22"/>
        </w:rPr>
        <w:t xml:space="preserve"> strengthens the requirement to embed inclusion, personalisation and SEND focus across all 8 Gatsby Benchmarks of world class careers practice.  </w:t>
      </w:r>
    </w:p>
    <w:p w:rsidR="00F42DDE" w:rsidRPr="005D0D64" w:rsidP="738AAFBD">
      <w:pPr>
        <w:rPr>
          <w:rFonts w:ascii="Calibri" w:hAnsi="Calibri" w:eastAsiaTheme="minorEastAsia" w:cs="Calibri"/>
          <w:sz w:val="22"/>
          <w:szCs w:val="22"/>
        </w:rPr>
      </w:pPr>
      <w:r w:rsidRPr="005D0D64">
        <w:rPr>
          <w:rFonts w:ascii="Calibri" w:hAnsi="Calibri" w:eastAsiaTheme="minorEastAsia" w:cs="Calibri"/>
          <w:sz w:val="22"/>
          <w:szCs w:val="22"/>
        </w:rPr>
        <w:t>In order to</w:t>
      </w:r>
      <w:r w:rsidRPr="005D0D64">
        <w:rPr>
          <w:rFonts w:ascii="Calibri" w:hAnsi="Calibri" w:eastAsiaTheme="minorEastAsia" w:cs="Calibri"/>
          <w:sz w:val="22"/>
          <w:szCs w:val="22"/>
        </w:rPr>
        <w:t xml:space="preserve"> strengthen</w:t>
      </w:r>
      <w:r w:rsidRPr="005D0D64">
        <w:rPr>
          <w:rFonts w:ascii="Calibri" w:hAnsi="Calibri" w:eastAsiaTheme="minorEastAsia" w:cs="Calibri"/>
          <w:sz w:val="22"/>
          <w:szCs w:val="22"/>
        </w:rPr>
        <w:t> personalisation and targeting </w:t>
      </w:r>
      <w:r w:rsidRPr="005D0D64">
        <w:rPr>
          <w:rFonts w:ascii="Calibri" w:hAnsi="Calibri" w:eastAsiaTheme="minorEastAsia" w:cs="Calibri"/>
          <w:sz w:val="22"/>
          <w:szCs w:val="22"/>
        </w:rPr>
        <w:t xml:space="preserve">of careers </w:t>
      </w:r>
      <w:r w:rsidRPr="005D0D64">
        <w:rPr>
          <w:rFonts w:ascii="Calibri" w:hAnsi="Calibri" w:eastAsiaTheme="minorEastAsia" w:cs="Calibri"/>
          <w:sz w:val="22"/>
          <w:szCs w:val="22"/>
        </w:rPr>
        <w:t>support for those with the highest needs</w:t>
      </w:r>
      <w:r w:rsidRPr="005D0D64">
        <w:rPr>
          <w:rFonts w:ascii="Calibri" w:hAnsi="Calibri" w:eastAsiaTheme="minorEastAsia" w:cs="Calibri"/>
          <w:sz w:val="22"/>
          <w:szCs w:val="22"/>
        </w:rPr>
        <w:t>, careers planning and strategy should be included in the Individual Support plan process.</w:t>
      </w:r>
    </w:p>
    <w:p w:rsidR="005D0D64" w:rsidRPr="005D0D64" w:rsidP="738AAFBD">
      <w:pPr>
        <w:rPr>
          <w:rFonts w:ascii="Calibri" w:hAnsi="Calibri" w:eastAsiaTheme="minorEastAsia" w:cs="Calibri"/>
          <w:sz w:val="22"/>
          <w:szCs w:val="22"/>
        </w:rPr>
      </w:pPr>
    </w:p>
    <w:p w:rsidR="005D0D64" w:rsidRPr="005D0D64" w:rsidP="738AAFBD">
      <w:pPr>
        <w:rPr>
          <w:rFonts w:ascii="Calibri" w:hAnsi="Calibri" w:eastAsiaTheme="minorEastAsia" w:cs="Calibri"/>
          <w:i/>
          <w:iCs/>
          <w:sz w:val="22"/>
          <w:szCs w:val="22"/>
        </w:rPr>
      </w:pPr>
      <w:r w:rsidRPr="005D0D64">
        <w:rPr>
          <w:rFonts w:ascii="Calibri" w:hAnsi="Calibri" w:eastAsiaTheme="minorEastAsia" w:cs="Calibri"/>
          <w:i/>
          <w:iCs/>
          <w:sz w:val="22"/>
          <w:szCs w:val="22"/>
        </w:rPr>
        <w:t>September 2026</w:t>
      </w:r>
    </w:p>
    <w:sectPr w:rsidSect="00A36852">
      <w:headerReference w:type="default" r:id="rId4"/>
      <w:footerReference w:type="default" r:id="rId5"/>
      <w:headerReference w:type="first" r:id="rId6"/>
      <w:footerReference w:type="first" r:id="rId7"/>
      <w:pgSz w:w="11907" w:h="16839"/>
      <w:pgMar w:top="720" w:right="720" w:bottom="720" w:left="72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485"/>
      <w:gridCol w:w="3485"/>
      <w:gridCol w:w="3485"/>
    </w:tblGrid>
    <w:tr w:rsidTr="738AAFBD">
      <w:tblPrEx>
        <w:tblW w:w="0" w:type="auto"/>
        <w:tblLook w:val="06A0"/>
      </w:tblPrEx>
      <w:trPr>
        <w:trHeight w:val="300"/>
      </w:trPr>
      <w:tc>
        <w:tcPr>
          <w:tcW w:w="3485" w:type="dxa"/>
        </w:tcPr>
        <w:p w:rsidR="00F42DDE" w:rsidP="738AAFBD">
          <w:pPr>
            <w:pStyle w:val="Header"/>
            <w:ind w:left="-115"/>
          </w:pPr>
        </w:p>
      </w:tc>
      <w:tc>
        <w:tcPr>
          <w:tcW w:w="3485" w:type="dxa"/>
        </w:tcPr>
        <w:p w:rsidR="00F42DDE" w:rsidP="738AAFBD">
          <w:pPr>
            <w:pStyle w:val="Header"/>
            <w:jc w:val="center"/>
          </w:pPr>
        </w:p>
      </w:tc>
      <w:tc>
        <w:tcPr>
          <w:tcW w:w="3485" w:type="dxa"/>
        </w:tcPr>
        <w:p w:rsidR="00F42DDE" w:rsidP="738AAFBD">
          <w:pPr>
            <w:pStyle w:val="Header"/>
            <w:ind w:right="-115"/>
            <w:jc w:val="right"/>
          </w:pPr>
        </w:p>
      </w:tc>
    </w:tr>
  </w:tbl>
  <w:p w:rsidR="00F42DDE" w:rsidP="738AAF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485"/>
      <w:gridCol w:w="3485"/>
      <w:gridCol w:w="3485"/>
    </w:tblGrid>
    <w:tr w:rsidTr="738AAFBD">
      <w:tblPrEx>
        <w:tblW w:w="0" w:type="auto"/>
        <w:tblLook w:val="06A0"/>
      </w:tblPrEx>
      <w:trPr>
        <w:trHeight w:val="300"/>
      </w:trPr>
      <w:tc>
        <w:tcPr>
          <w:tcW w:w="3485" w:type="dxa"/>
        </w:tcPr>
        <w:p w:rsidR="00F42DDE" w:rsidP="738AAFBD">
          <w:pPr>
            <w:pStyle w:val="Header"/>
            <w:ind w:left="-115"/>
          </w:pPr>
        </w:p>
      </w:tc>
      <w:tc>
        <w:tcPr>
          <w:tcW w:w="3485" w:type="dxa"/>
        </w:tcPr>
        <w:p w:rsidR="00F42DDE" w:rsidP="738AAFBD">
          <w:pPr>
            <w:pStyle w:val="Header"/>
            <w:jc w:val="center"/>
          </w:pPr>
        </w:p>
      </w:tc>
      <w:tc>
        <w:tcPr>
          <w:tcW w:w="3485" w:type="dxa"/>
        </w:tcPr>
        <w:p w:rsidR="00F42DDE" w:rsidP="738AAFBD">
          <w:pPr>
            <w:pStyle w:val="Header"/>
            <w:ind w:right="-115"/>
            <w:jc w:val="right"/>
          </w:pPr>
        </w:p>
      </w:tc>
    </w:tr>
  </w:tbl>
  <w:p w:rsidR="00F42DDE" w:rsidP="738AAFB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1680"/>
      <w:gridCol w:w="345"/>
    </w:tblGrid>
    <w:tr w:rsidTr="738AAFBD">
      <w:tblPrEx>
        <w:tblW w:w="0" w:type="auto"/>
        <w:tblLook w:val="06A0"/>
      </w:tblPrEx>
      <w:trPr>
        <w:trHeight w:val="300"/>
      </w:trPr>
      <w:tc>
        <w:tcPr>
          <w:tcW w:w="1680" w:type="dxa"/>
        </w:tcPr>
        <w:p w:rsidR="00F42DDE" w:rsidP="738AAFBD">
          <w:pPr>
            <w:pStyle w:val="Header"/>
            <w:ind w:left="-115"/>
          </w:pPr>
        </w:p>
      </w:tc>
      <w:tc>
        <w:tcPr>
          <w:tcW w:w="345" w:type="dxa"/>
        </w:tcPr>
        <w:p w:rsidR="00F42DDE" w:rsidP="738AAFBD">
          <w:pPr>
            <w:pStyle w:val="Header"/>
            <w:jc w:val="center"/>
          </w:pPr>
        </w:p>
      </w:tc>
    </w:tr>
  </w:tbl>
  <w:p w:rsidR="00F42DDE" w:rsidP="738AAF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485"/>
      <w:gridCol w:w="345"/>
      <w:gridCol w:w="6625"/>
    </w:tblGrid>
    <w:tr w:rsidTr="738AAFBD">
      <w:tblPrEx>
        <w:tblW w:w="0" w:type="auto"/>
        <w:tblLook w:val="06A0"/>
      </w:tblPrEx>
      <w:trPr>
        <w:trHeight w:val="300"/>
      </w:trPr>
      <w:tc>
        <w:tcPr>
          <w:tcW w:w="3485" w:type="dxa"/>
        </w:tcPr>
        <w:p w:rsidR="00F42DDE" w:rsidP="738AAFBD">
          <w:pPr>
            <w:pStyle w:val="Header"/>
            <w:ind w:left="-115"/>
          </w:pPr>
        </w:p>
      </w:tc>
      <w:tc>
        <w:tcPr>
          <w:tcW w:w="345" w:type="dxa"/>
        </w:tcPr>
        <w:p w:rsidR="00F42DDE" w:rsidP="738AAFBD">
          <w:pPr>
            <w:pStyle w:val="Header"/>
            <w:jc w:val="center"/>
          </w:pPr>
        </w:p>
      </w:tc>
      <w:tc>
        <w:tcPr>
          <w:tcW w:w="6625" w:type="dxa"/>
        </w:tcPr>
        <w:p w:rsidR="00F42DDE" w:rsidP="005D0D64">
          <w:pPr>
            <w:spacing w:after="0"/>
            <w:jc w:val="right"/>
          </w:pPr>
        </w:p>
      </w:tc>
    </w:tr>
  </w:tbl>
  <w:p w:rsidR="00F42DDE" w:rsidP="738AAF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F2086"/>
    <w:multiLevelType w:val="multilevel"/>
    <w:tmpl w:val="ED04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BE6151"/>
    <w:multiLevelType w:val="multilevel"/>
    <w:tmpl w:val="47BA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C7652D"/>
    <w:multiLevelType w:val="multilevel"/>
    <w:tmpl w:val="745A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BA3B99"/>
    <w:multiLevelType w:val="multilevel"/>
    <w:tmpl w:val="1C9E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EFA3B39"/>
    <w:multiLevelType w:val="multilevel"/>
    <w:tmpl w:val="7D5A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026285F"/>
    <w:multiLevelType w:val="multilevel"/>
    <w:tmpl w:val="23A2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E24D62"/>
    <w:multiLevelType w:val="multilevel"/>
    <w:tmpl w:val="F072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7A9147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AE7550D"/>
    <w:multiLevelType w:val="multilevel"/>
    <w:tmpl w:val="20D4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C342963"/>
    <w:multiLevelType w:val="hybridMultilevel"/>
    <w:tmpl w:val="C8DE68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EA26D7A"/>
    <w:multiLevelType w:val="hybridMultilevel"/>
    <w:tmpl w:val="5B924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5AD04F2"/>
    <w:multiLevelType w:val="multilevel"/>
    <w:tmpl w:val="DE78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619424D"/>
    <w:multiLevelType w:val="hybridMultilevel"/>
    <w:tmpl w:val="7E6C75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63203F3"/>
    <w:multiLevelType w:val="multilevel"/>
    <w:tmpl w:val="600C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2C150A9"/>
    <w:multiLevelType w:val="multilevel"/>
    <w:tmpl w:val="2F2A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C275A4"/>
    <w:multiLevelType w:val="multilevel"/>
    <w:tmpl w:val="D3A0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8EC7F46"/>
    <w:multiLevelType w:val="multilevel"/>
    <w:tmpl w:val="F232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B6D0E64"/>
    <w:multiLevelType w:val="multilevel"/>
    <w:tmpl w:val="651A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3210422"/>
    <w:multiLevelType w:val="multilevel"/>
    <w:tmpl w:val="6F40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3EB3EFE"/>
    <w:multiLevelType w:val="hybridMultilevel"/>
    <w:tmpl w:val="9C363C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15A34EF"/>
    <w:multiLevelType w:val="multilevel"/>
    <w:tmpl w:val="D6B6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A76489"/>
    <w:multiLevelType w:val="multilevel"/>
    <w:tmpl w:val="63D0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574148A"/>
    <w:multiLevelType w:val="multilevel"/>
    <w:tmpl w:val="7248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73137DC"/>
    <w:multiLevelType w:val="multilevel"/>
    <w:tmpl w:val="814C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3101AED"/>
    <w:multiLevelType w:val="multilevel"/>
    <w:tmpl w:val="48BC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4001551"/>
    <w:multiLevelType w:val="multilevel"/>
    <w:tmpl w:val="07EE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6C97588"/>
    <w:multiLevelType w:val="multilevel"/>
    <w:tmpl w:val="7A14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948420F"/>
    <w:multiLevelType w:val="multilevel"/>
    <w:tmpl w:val="E0B4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9F18F4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6DB45415"/>
    <w:multiLevelType w:val="hybridMultilevel"/>
    <w:tmpl w:val="07B895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821B97"/>
    <w:multiLevelType w:val="multilevel"/>
    <w:tmpl w:val="40B82DDA"/>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31">
    <w:nsid w:val="76BC6EE0"/>
    <w:multiLevelType w:val="hybridMultilevel"/>
    <w:tmpl w:val="BC92A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9366E7E"/>
    <w:multiLevelType w:val="hybridMultilevel"/>
    <w:tmpl w:val="4F862A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19"/>
  </w:num>
  <w:num w:numId="4">
    <w:abstractNumId w:val="11"/>
  </w:num>
  <w:num w:numId="5">
    <w:abstractNumId w:val="20"/>
  </w:num>
  <w:num w:numId="6">
    <w:abstractNumId w:val="10"/>
  </w:num>
  <w:num w:numId="7">
    <w:abstractNumId w:val="1"/>
  </w:num>
  <w:num w:numId="8">
    <w:abstractNumId w:val="14"/>
  </w:num>
  <w:num w:numId="9">
    <w:abstractNumId w:val="27"/>
  </w:num>
  <w:num w:numId="10">
    <w:abstractNumId w:val="18"/>
  </w:num>
  <w:num w:numId="11">
    <w:abstractNumId w:val="3"/>
  </w:num>
  <w:num w:numId="12">
    <w:abstractNumId w:val="22"/>
  </w:num>
  <w:num w:numId="13">
    <w:abstractNumId w:val="29"/>
  </w:num>
  <w:num w:numId="14">
    <w:abstractNumId w:val="21"/>
  </w:num>
  <w:num w:numId="15">
    <w:abstractNumId w:val="4"/>
  </w:num>
  <w:num w:numId="16">
    <w:abstractNumId w:val="8"/>
  </w:num>
  <w:num w:numId="17">
    <w:abstractNumId w:val="16"/>
  </w:num>
  <w:num w:numId="18">
    <w:abstractNumId w:val="6"/>
  </w:num>
  <w:num w:numId="19">
    <w:abstractNumId w:val="31"/>
  </w:num>
  <w:num w:numId="20">
    <w:abstractNumId w:val="9"/>
  </w:num>
  <w:num w:numId="21">
    <w:abstractNumId w:val="2"/>
  </w:num>
  <w:num w:numId="22">
    <w:abstractNumId w:val="32"/>
  </w:num>
  <w:num w:numId="23">
    <w:abstractNumId w:val="5"/>
  </w:num>
  <w:num w:numId="24">
    <w:abstractNumId w:val="12"/>
  </w:num>
  <w:num w:numId="25">
    <w:abstractNumId w:val="25"/>
  </w:num>
  <w:num w:numId="26">
    <w:abstractNumId w:val="15"/>
  </w:num>
  <w:num w:numId="27">
    <w:abstractNumId w:val="13"/>
  </w:num>
  <w:num w:numId="28">
    <w:abstractNumId w:val="26"/>
  </w:num>
  <w:num w:numId="29">
    <w:abstractNumId w:val="23"/>
  </w:num>
  <w:num w:numId="30">
    <w:abstractNumId w:val="30"/>
  </w:num>
  <w:num w:numId="31">
    <w:abstractNumId w:val="0"/>
  </w:num>
  <w:num w:numId="32">
    <w:abstractNumId w:val="17"/>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36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6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6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852"/>
    <w:rPr>
      <w:rFonts w:eastAsiaTheme="majorEastAsia" w:cstheme="majorBidi"/>
      <w:color w:val="272727" w:themeColor="text1" w:themeTint="D8"/>
    </w:rPr>
  </w:style>
  <w:style w:type="paragraph" w:styleId="Title">
    <w:name w:val="Title"/>
    <w:basedOn w:val="Normal"/>
    <w:next w:val="Normal"/>
    <w:link w:val="TitleChar"/>
    <w:uiPriority w:val="10"/>
    <w:qFormat/>
    <w:rsid w:val="00A36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852"/>
    <w:pPr>
      <w:spacing w:before="160"/>
      <w:jc w:val="center"/>
    </w:pPr>
    <w:rPr>
      <w:i/>
      <w:iCs/>
      <w:color w:val="404040" w:themeColor="text1" w:themeTint="BF"/>
    </w:rPr>
  </w:style>
  <w:style w:type="character" w:customStyle="1" w:styleId="QuoteChar">
    <w:name w:val="Quote Char"/>
    <w:basedOn w:val="DefaultParagraphFont"/>
    <w:link w:val="Quote"/>
    <w:uiPriority w:val="29"/>
    <w:rsid w:val="00A36852"/>
    <w:rPr>
      <w:i/>
      <w:iCs/>
      <w:color w:val="404040" w:themeColor="text1" w:themeTint="BF"/>
    </w:rPr>
  </w:style>
  <w:style w:type="paragraph" w:styleId="ListParagraph">
    <w:name w:val="List Paragraph"/>
    <w:basedOn w:val="Normal"/>
    <w:uiPriority w:val="34"/>
    <w:qFormat/>
    <w:rsid w:val="00A36852"/>
    <w:pPr>
      <w:ind w:left="720"/>
      <w:contextualSpacing/>
    </w:pPr>
  </w:style>
  <w:style w:type="character" w:styleId="IntenseEmphasis">
    <w:name w:val="Intense Emphasis"/>
    <w:basedOn w:val="DefaultParagraphFont"/>
    <w:uiPriority w:val="21"/>
    <w:qFormat/>
    <w:rsid w:val="00A36852"/>
    <w:rPr>
      <w:i/>
      <w:iCs/>
      <w:color w:val="0F4761" w:themeColor="accent1" w:themeShade="BF"/>
    </w:rPr>
  </w:style>
  <w:style w:type="paragraph" w:styleId="IntenseQuote">
    <w:name w:val="Intense Quote"/>
    <w:basedOn w:val="Normal"/>
    <w:next w:val="Normal"/>
    <w:link w:val="IntenseQuoteChar"/>
    <w:uiPriority w:val="30"/>
    <w:qFormat/>
    <w:rsid w:val="00A36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852"/>
    <w:rPr>
      <w:i/>
      <w:iCs/>
      <w:color w:val="0F4761" w:themeColor="accent1" w:themeShade="BF"/>
    </w:rPr>
  </w:style>
  <w:style w:type="character" w:styleId="IntenseReference">
    <w:name w:val="Intense Reference"/>
    <w:basedOn w:val="DefaultParagraphFont"/>
    <w:uiPriority w:val="32"/>
    <w:qFormat/>
    <w:rsid w:val="00A36852"/>
    <w:rPr>
      <w:b/>
      <w:bCs/>
      <w:smallCaps/>
      <w:color w:val="0F4761" w:themeColor="accent1" w:themeShade="BF"/>
      <w:spacing w:val="5"/>
    </w:rPr>
  </w:style>
  <w:style w:type="character" w:styleId="Hyperlink">
    <w:name w:val="Hyperlink"/>
    <w:basedOn w:val="DefaultParagraphFont"/>
    <w:uiPriority w:val="99"/>
    <w:unhideWhenUsed/>
    <w:rsid w:val="009158C2"/>
    <w:rPr>
      <w:color w:val="467886" w:themeColor="hyperlink"/>
      <w:u w:val="single"/>
    </w:rPr>
  </w:style>
  <w:style w:type="character" w:customStyle="1" w:styleId="UnresolvedMention1">
    <w:name w:val="Unresolved Mention1"/>
    <w:basedOn w:val="DefaultParagraphFont"/>
    <w:uiPriority w:val="99"/>
    <w:semiHidden/>
    <w:unhideWhenUsed/>
    <w:rsid w:val="009158C2"/>
    <w:rPr>
      <w:color w:val="605E5C"/>
      <w:shd w:val="clear" w:color="auto" w:fill="E1DFDD"/>
    </w:rPr>
  </w:style>
  <w:style w:type="character" w:styleId="FollowedHyperlink">
    <w:name w:val="FollowedHyperlink"/>
    <w:basedOn w:val="DefaultParagraphFont"/>
    <w:uiPriority w:val="99"/>
    <w:semiHidden/>
    <w:unhideWhenUsed/>
    <w:rsid w:val="008A72EB"/>
    <w:rPr>
      <w:color w:val="96607D" w:themeColor="followedHyperlink"/>
      <w:u w:val="single"/>
    </w:rPr>
  </w:style>
  <w:style w:type="paragraph" w:styleId="CommentText">
    <w:name w:val="annotation text"/>
    <w:basedOn w:val="Normal"/>
    <w:link w:val="CommentTextChar"/>
    <w:uiPriority w:val="99"/>
    <w:unhideWhenUsed/>
    <w:rsid w:val="00D72556"/>
    <w:pPr>
      <w:spacing w:line="240" w:lineRule="auto"/>
    </w:pPr>
    <w:rPr>
      <w:sz w:val="20"/>
      <w:szCs w:val="20"/>
    </w:rPr>
  </w:style>
  <w:style w:type="character" w:customStyle="1" w:styleId="CommentTextChar">
    <w:name w:val="Comment Text Char"/>
    <w:basedOn w:val="DefaultParagraphFont"/>
    <w:link w:val="CommentText"/>
    <w:uiPriority w:val="99"/>
    <w:rsid w:val="00D72556"/>
    <w:rPr>
      <w:sz w:val="20"/>
      <w:szCs w:val="20"/>
    </w:rPr>
  </w:style>
  <w:style w:type="character" w:styleId="CommentReference">
    <w:name w:val="annotation reference"/>
    <w:basedOn w:val="DefaultParagraphFont"/>
    <w:uiPriority w:val="99"/>
    <w:semiHidden/>
    <w:unhideWhenUsed/>
    <w:rsid w:val="00D72556"/>
    <w:rPr>
      <w:sz w:val="16"/>
      <w:szCs w:val="16"/>
    </w:rPr>
  </w:style>
  <w:style w:type="paragraph" w:styleId="Revision">
    <w:name w:val="Revision"/>
    <w:hidden/>
    <w:uiPriority w:val="99"/>
    <w:semiHidden/>
    <w:rsid w:val="00EB1B4D"/>
    <w:pPr>
      <w:spacing w:after="0" w:line="240" w:lineRule="auto"/>
    </w:pPr>
  </w:style>
  <w:style w:type="paragraph" w:styleId="CommentSubject">
    <w:name w:val="annotation subject"/>
    <w:basedOn w:val="CommentText"/>
    <w:next w:val="CommentText"/>
    <w:link w:val="CommentSubjectChar"/>
    <w:uiPriority w:val="99"/>
    <w:semiHidden/>
    <w:unhideWhenUsed/>
    <w:rsid w:val="002265A2"/>
    <w:rPr>
      <w:b/>
      <w:bCs/>
    </w:rPr>
  </w:style>
  <w:style w:type="character" w:customStyle="1" w:styleId="CommentSubjectChar">
    <w:name w:val="Comment Subject Char"/>
    <w:basedOn w:val="CommentTextChar"/>
    <w:link w:val="CommentSubject"/>
    <w:uiPriority w:val="99"/>
    <w:semiHidden/>
    <w:rsid w:val="002265A2"/>
    <w:rPr>
      <w:b/>
      <w:bCs/>
      <w:sz w:val="20"/>
      <w:szCs w:val="20"/>
    </w:rPr>
  </w:style>
  <w:style w:type="paragraph" w:styleId="Header">
    <w:name w:val="header"/>
    <w:basedOn w:val="Normal"/>
    <w:uiPriority w:val="99"/>
    <w:unhideWhenUsed/>
    <w:rsid w:val="738AAFBD"/>
    <w:pPr>
      <w:tabs>
        <w:tab w:val="center" w:pos="4680"/>
        <w:tab w:val="right" w:pos="9360"/>
      </w:tabs>
      <w:spacing w:after="0" w:line="240" w:lineRule="auto"/>
    </w:pPr>
  </w:style>
  <w:style w:type="paragraph" w:styleId="Footer">
    <w:name w:val="footer"/>
    <w:basedOn w:val="Normal"/>
    <w:uiPriority w:val="99"/>
    <w:unhideWhenUsed/>
    <w:rsid w:val="738AAFB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424df11-8007-46d0-859c-d06b30e927bc}" enabled="0" method="" siteId="{8424df11-8007-46d0-859c-d06b30e927bc}"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ECA0129</dc:title>
  <cp:revision>0</cp:revision>
</cp:coreProperties>
</file>