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26EE2" w:rsidRPr="00E26EE2" w:rsidP="00E26EE2">
      <w:pPr>
        <w:pStyle w:val="Heading1"/>
        <w:spacing w:before="0" w:after="120"/>
        <w:jc w:val="center"/>
        <w:rPr>
          <w:rFonts w:ascii="Calibri" w:hAnsi="Calibri" w:cs="Calibri"/>
          <w:sz w:val="22"/>
          <w:szCs w:val="22"/>
        </w:rPr>
      </w:pPr>
    </w:p>
    <w:p w:rsidR="00E26EE2" w:rsidRPr="00E26EE2" w:rsidP="00E26EE2">
      <w:pPr>
        <w:pStyle w:val="Heading1"/>
        <w:spacing w:before="0" w:after="120"/>
        <w:jc w:val="center"/>
        <w:rPr>
          <w:rFonts w:ascii="Calibri" w:hAnsi="Calibri" w:cs="Calibri"/>
          <w:sz w:val="22"/>
          <w:szCs w:val="22"/>
        </w:rPr>
      </w:pPr>
    </w:p>
    <w:p w:rsidR="00E26EE2" w:rsidRPr="00E26EE2" w:rsidP="00E26EE2">
      <w:pPr>
        <w:pStyle w:val="Heading1"/>
        <w:spacing w:before="0" w:after="120"/>
        <w:jc w:val="center"/>
        <w:rPr>
          <w:rFonts w:ascii="Calibri" w:hAnsi="Calibri" w:cs="Calibri"/>
          <w:sz w:val="22"/>
          <w:szCs w:val="22"/>
        </w:rPr>
      </w:pPr>
    </w:p>
    <w:p w:rsidR="00E26EE2" w:rsidRPr="00E26EE2" w:rsidP="00E26EE2">
      <w:pPr>
        <w:pStyle w:val="Heading1"/>
        <w:spacing w:before="0" w:after="120"/>
        <w:jc w:val="center"/>
        <w:rPr>
          <w:rFonts w:ascii="Calibri" w:hAnsi="Calibri" w:cs="Calibri"/>
          <w:sz w:val="22"/>
          <w:szCs w:val="22"/>
        </w:rPr>
      </w:pPr>
    </w:p>
    <w:p w:rsidR="00E26EE2" w:rsidRPr="00E26EE2" w:rsidP="00E26EE2">
      <w:pPr>
        <w:pStyle w:val="Heading1"/>
        <w:spacing w:before="0" w:after="120"/>
        <w:jc w:val="center"/>
        <w:rPr>
          <w:rFonts w:ascii="Calibri" w:hAnsi="Calibri" w:cs="Calibri"/>
          <w:sz w:val="22"/>
          <w:szCs w:val="22"/>
        </w:rPr>
      </w:pPr>
    </w:p>
    <w:p w:rsidR="00E26EE2" w:rsidP="00E26EE2">
      <w:pPr>
        <w:pStyle w:val="Heading1"/>
        <w:spacing w:before="0" w:after="120"/>
        <w:jc w:val="center"/>
        <w:rPr>
          <w:rFonts w:ascii="Calibri" w:hAnsi="Calibri" w:cs="Calibri"/>
          <w:sz w:val="22"/>
          <w:szCs w:val="22"/>
        </w:rPr>
      </w:pPr>
      <w:r w:rsidRPr="00E26EE2">
        <w:rPr>
          <w:rFonts w:ascii="Calibri" w:hAnsi="Calibri" w:cs="Calibri"/>
          <w:sz w:val="22"/>
          <w:szCs w:val="22"/>
        </w:rPr>
        <w:t xml:space="preserve">Written evidence by </w:t>
      </w:r>
      <w:r w:rsidRPr="00E26EE2">
        <w:rPr>
          <w:rFonts w:ascii="Calibri" w:hAnsi="Calibri" w:cs="Calibri"/>
          <w:sz w:val="22"/>
          <w:szCs w:val="22"/>
        </w:rPr>
        <w:t>Gatsby Charitable Foundation</w:t>
      </w:r>
      <w:r w:rsidRPr="00E26EE2">
        <w:rPr>
          <w:rFonts w:ascii="Calibri" w:hAnsi="Calibri" w:cs="Calibri"/>
          <w:sz w:val="22"/>
          <w:szCs w:val="22"/>
        </w:rPr>
        <w:t xml:space="preserve"> (</w:t>
      </w:r>
      <w:r w:rsidRPr="00E26EE2">
        <w:rPr>
          <w:rFonts w:ascii="Calibri" w:hAnsi="Calibri" w:cs="Calibri"/>
          <w:sz w:val="22"/>
          <w:szCs w:val="22"/>
        </w:rPr>
        <w:t>ECA0126</w:t>
      </w:r>
      <w:r w:rsidRPr="00E26EE2">
        <w:rPr>
          <w:rFonts w:ascii="Calibri" w:hAnsi="Calibri" w:cs="Calibri"/>
          <w:sz w:val="22"/>
          <w:szCs w:val="22"/>
        </w:rPr>
        <w:t>)</w:t>
      </w:r>
    </w:p>
    <w:p w:rsidR="00E26EE2" w:rsidRPr="00E26EE2" w:rsidP="00E26EE2"/>
    <w:p w:rsidR="00E26EE2" w:rsidRPr="00E26EE2" w:rsidP="00E26EE2"/>
    <w:p w:rsidR="00E26EE2" w:rsidRPr="00E26EE2" w:rsidP="00E26EE2">
      <w:pPr>
        <w:rPr>
          <w:b/>
          <w:bCs/>
        </w:rPr>
      </w:pPr>
      <w:r w:rsidRPr="00E26EE2">
        <w:rPr>
          <w:b/>
          <w:bCs/>
        </w:rPr>
        <w:t>Education Committee</w:t>
      </w:r>
    </w:p>
    <w:p w:rsidR="00E26EE2" w:rsidRPr="00E26EE2" w:rsidP="00E26EE2">
      <w:pPr>
        <w:rPr>
          <w:b/>
          <w:bCs/>
        </w:rPr>
      </w:pPr>
      <w:r w:rsidRPr="00E26EE2">
        <w:rPr>
          <w:b/>
          <w:bCs/>
        </w:rPr>
        <w:t>Every Child Achieving and Thriving’ White Paper</w:t>
      </w:r>
    </w:p>
    <w:p w:rsidR="003E3A85" w:rsidRPr="00E26EE2" w:rsidP="00180321">
      <w:pPr>
        <w:pStyle w:val="Heading1"/>
        <w:spacing w:before="0" w:after="120"/>
        <w:rPr>
          <w:rFonts w:ascii="Calibri" w:hAnsi="Calibri" w:cs="Calibri"/>
          <w:sz w:val="22"/>
          <w:szCs w:val="22"/>
          <w:lang w:val="en-GB"/>
        </w:rPr>
      </w:pPr>
      <w:r w:rsidRPr="00E26EE2">
        <w:rPr>
          <w:rFonts w:ascii="Calibri" w:hAnsi="Calibri" w:cs="Calibri"/>
          <w:sz w:val="22"/>
          <w:szCs w:val="22"/>
        </w:rPr>
        <w:t>S</w:t>
      </w:r>
      <w:r w:rsidRPr="00E26EE2">
        <w:rPr>
          <w:rFonts w:ascii="Calibri" w:hAnsi="Calibri" w:cs="Calibri"/>
          <w:sz w:val="22"/>
          <w:szCs w:val="22"/>
        </w:rPr>
        <w:t>u</w:t>
      </w:r>
      <w:r w:rsidRPr="00E26EE2">
        <w:rPr>
          <w:rFonts w:ascii="Calibri" w:hAnsi="Calibri" w:cs="Calibri"/>
          <w:sz w:val="22"/>
          <w:szCs w:val="22"/>
        </w:rPr>
        <w:t>m</w:t>
      </w:r>
      <w:r w:rsidRPr="00E26EE2">
        <w:rPr>
          <w:rFonts w:ascii="Calibri" w:hAnsi="Calibri" w:cs="Calibri"/>
          <w:sz w:val="22"/>
          <w:szCs w:val="22"/>
        </w:rPr>
        <w:t>m</w:t>
      </w:r>
      <w:r w:rsidRPr="00E26EE2">
        <w:rPr>
          <w:rFonts w:ascii="Calibri" w:hAnsi="Calibri" w:cs="Calibri"/>
          <w:sz w:val="22"/>
          <w:szCs w:val="22"/>
        </w:rPr>
        <w:t>a</w:t>
      </w:r>
      <w:r w:rsidRPr="00E26EE2">
        <w:rPr>
          <w:rFonts w:ascii="Calibri" w:hAnsi="Calibri" w:cs="Calibri"/>
          <w:sz w:val="22"/>
          <w:szCs w:val="22"/>
        </w:rPr>
        <w:t>r</w:t>
      </w:r>
      <w:r w:rsidRPr="00E26EE2">
        <w:rPr>
          <w:rFonts w:ascii="Calibri" w:hAnsi="Calibri" w:cs="Calibri"/>
          <w:sz w:val="22"/>
          <w:szCs w:val="22"/>
        </w:rPr>
        <w:t>y</w:t>
      </w:r>
    </w:p>
    <w:p w:rsidR="003E3A85" w:rsidRPr="00E26EE2" w:rsidP="00180321">
      <w:pPr>
        <w:pStyle w:val="Heading1"/>
        <w:numPr>
          <w:ilvl w:val="0"/>
          <w:numId w:val="1"/>
        </w:numPr>
        <w:spacing w:before="0" w:after="120"/>
        <w:rPr>
          <w:rFonts w:ascii="Calibri" w:hAnsi="Calibri" w:cs="Calibri"/>
          <w:b w:val="0"/>
          <w:bCs w:val="0"/>
          <w:sz w:val="22"/>
          <w:szCs w:val="22"/>
          <w:lang w:val="en-GB"/>
        </w:rPr>
      </w:pPr>
      <w:r w:rsidRPr="00E26EE2">
        <w:rPr>
          <w:rFonts w:ascii="Calibri" w:hAnsi="Calibri" w:cs="Calibri"/>
          <w:b w:val="0"/>
          <w:bCs w:val="0"/>
          <w:sz w:val="22"/>
          <w:szCs w:val="22"/>
        </w:rPr>
        <w:t xml:space="preserve">The Gatsby Foundation welcomes the ambitions in the </w:t>
      </w:r>
      <w:r w:rsidRPr="00E26EE2">
        <w:rPr>
          <w:rFonts w:ascii="Calibri" w:hAnsi="Calibri" w:cs="Calibri"/>
          <w:b w:val="0"/>
          <w:bCs w:val="0"/>
          <w:sz w:val="22"/>
          <w:szCs w:val="22"/>
        </w:rPr>
        <w:t>schools</w:t>
      </w:r>
      <w:r w:rsidRPr="00E26EE2">
        <w:rPr>
          <w:rFonts w:ascii="Calibri" w:hAnsi="Calibri" w:cs="Calibri"/>
          <w:b w:val="0"/>
          <w:bCs w:val="0"/>
          <w:sz w:val="22"/>
          <w:szCs w:val="22"/>
        </w:rPr>
        <w:t xml:space="preserve"> white paper, particularly the emphasis on improving outcomes for disadvantaged pupils, strengthening the teacher workforce, broadening enrichment and supporting pupils’ engagement and progression. This submission focuses on the areas where Gatsby has relevant evidence and expertise: STEM teacher supply, subject-specific professional development, enrichment, careers guidance, disadvantage and essential skills. </w:t>
      </w:r>
    </w:p>
    <w:p w:rsidR="003E3A85" w:rsidRPr="00E26EE2" w:rsidP="00180321">
      <w:pPr>
        <w:pStyle w:val="Heading1"/>
        <w:numPr>
          <w:ilvl w:val="0"/>
          <w:numId w:val="1"/>
        </w:numPr>
        <w:spacing w:before="0" w:after="120"/>
        <w:rPr>
          <w:rFonts w:ascii="Calibri" w:hAnsi="Calibri" w:cs="Calibri"/>
          <w:b w:val="0"/>
          <w:bCs w:val="0"/>
          <w:sz w:val="22"/>
          <w:szCs w:val="22"/>
          <w:lang w:val="en-GB"/>
        </w:rPr>
      </w:pPr>
      <w:r w:rsidRPr="00E26EE2">
        <w:rPr>
          <w:rFonts w:ascii="Calibri" w:hAnsi="Calibri" w:cs="Calibri"/>
          <w:b w:val="0"/>
          <w:sz w:val="22"/>
          <w:szCs w:val="22"/>
        </w:rPr>
        <w:t>The white paper’s ambitions depend on schools having enough well-qualified, motivated specialist teachers. Recruitment is important, but it will not be sufficient without a parallel strategy to retain and develop teachers, particularly in shortage subjects and in schools serving disadvantaged communities.</w:t>
      </w:r>
      <w:r w:rsidRPr="00E26EE2">
        <w:rPr>
          <w:rFonts w:ascii="Calibri" w:hAnsi="Calibri" w:cs="Calibri"/>
          <w:b w:val="0"/>
          <w:sz w:val="22"/>
          <w:szCs w:val="22"/>
        </w:rPr>
        <w:t xml:space="preserve"> Targeted financial</w:t>
      </w:r>
      <w:r w:rsidRPr="00E26EE2">
        <w:rPr>
          <w:rFonts w:ascii="Calibri" w:hAnsi="Calibri" w:cs="Calibri"/>
          <w:b w:val="0"/>
          <w:sz w:val="22"/>
          <w:szCs w:val="22"/>
        </w:rPr>
        <w:t xml:space="preserve"> incentives such as bursaries and early-career payments</w:t>
      </w:r>
      <w:r w:rsidRPr="00E26EE2">
        <w:rPr>
          <w:rFonts w:ascii="Calibri" w:hAnsi="Calibri" w:cs="Calibri"/>
          <w:b w:val="0"/>
          <w:sz w:val="22"/>
          <w:szCs w:val="22"/>
        </w:rPr>
        <w:t xml:space="preserve"> are effective. </w:t>
      </w:r>
      <w:r w:rsidRPr="00E26EE2">
        <w:rPr>
          <w:rFonts w:ascii="Calibri" w:hAnsi="Calibri" w:cs="Calibri"/>
          <w:b w:val="0"/>
          <w:sz w:val="22"/>
          <w:szCs w:val="22"/>
        </w:rPr>
        <w:t xml:space="preserve"> </w:t>
      </w:r>
      <w:r w:rsidRPr="00E26EE2">
        <w:rPr>
          <w:rFonts w:ascii="Calibri" w:hAnsi="Calibri" w:cs="Calibri"/>
          <w:b w:val="0"/>
          <w:sz w:val="22"/>
          <w:szCs w:val="22"/>
        </w:rPr>
        <w:t xml:space="preserve">Subject-specific professional development should be treated as part of the teacher supply and retention strategy, not as a separate school improvement activity. </w:t>
      </w:r>
    </w:p>
    <w:p w:rsidR="003E3A85" w:rsidRPr="00E26EE2" w:rsidP="00180321">
      <w:pPr>
        <w:pStyle w:val="Heading1"/>
        <w:numPr>
          <w:ilvl w:val="0"/>
          <w:numId w:val="1"/>
        </w:numPr>
        <w:spacing w:before="0" w:after="120"/>
        <w:rPr>
          <w:rFonts w:ascii="Calibri" w:hAnsi="Calibri" w:cs="Calibri"/>
          <w:b w:val="0"/>
          <w:bCs w:val="0"/>
          <w:sz w:val="22"/>
          <w:szCs w:val="22"/>
          <w:lang w:val="en-GB"/>
        </w:rPr>
      </w:pPr>
      <w:r w:rsidRPr="00E26EE2">
        <w:rPr>
          <w:rFonts w:ascii="Calibri" w:hAnsi="Calibri" w:cs="Calibri"/>
          <w:b w:val="0"/>
          <w:bCs w:val="0"/>
          <w:sz w:val="22"/>
          <w:szCs w:val="22"/>
        </w:rPr>
        <w:t xml:space="preserve">Gatsby welcomes the government’s commitment to </w:t>
      </w:r>
      <w:r w:rsidRPr="00E26EE2">
        <w:rPr>
          <w:rFonts w:ascii="Calibri" w:hAnsi="Calibri" w:cs="Calibri"/>
          <w:b w:val="0"/>
          <w:bCs w:val="0"/>
          <w:sz w:val="22"/>
          <w:szCs w:val="22"/>
        </w:rPr>
        <w:t>recruit</w:t>
      </w:r>
      <w:r w:rsidRPr="00E26EE2">
        <w:rPr>
          <w:rFonts w:ascii="Calibri" w:hAnsi="Calibri" w:cs="Calibri"/>
          <w:b w:val="0"/>
          <w:bCs w:val="0"/>
          <w:sz w:val="22"/>
          <w:szCs w:val="22"/>
        </w:rPr>
        <w:t xml:space="preserve"> </w:t>
      </w:r>
      <w:r w:rsidRPr="00E26EE2">
        <w:rPr>
          <w:rFonts w:ascii="Calibri" w:hAnsi="Calibri" w:cs="Calibri"/>
          <w:b w:val="0"/>
          <w:bCs w:val="0"/>
          <w:sz w:val="22"/>
          <w:szCs w:val="22"/>
        </w:rPr>
        <w:t>6,500 additional</w:t>
      </w:r>
      <w:r w:rsidRPr="00E26EE2">
        <w:rPr>
          <w:rFonts w:ascii="Calibri" w:hAnsi="Calibri" w:cs="Calibri"/>
          <w:b w:val="0"/>
          <w:bCs w:val="0"/>
          <w:sz w:val="22"/>
          <w:szCs w:val="22"/>
        </w:rPr>
        <w:t xml:space="preserve"> teachers, but success should not be judged only by the overall number of teachers recruited. The key test is whether pupils have access to well-qualified specialist teachers in the subjects, phases and schools where shortages are most acute. Progress should therefore be monitored by subject, phase, geograph</w:t>
      </w:r>
      <w:r w:rsidRPr="00E26EE2">
        <w:rPr>
          <w:rFonts w:ascii="Calibri" w:hAnsi="Calibri" w:cs="Calibri"/>
          <w:b w:val="0"/>
          <w:bCs w:val="0"/>
          <w:sz w:val="22"/>
          <w:szCs w:val="22"/>
        </w:rPr>
        <w:t xml:space="preserve">ical </w:t>
      </w:r>
      <w:r w:rsidRPr="00E26EE2">
        <w:rPr>
          <w:rFonts w:ascii="Calibri" w:hAnsi="Calibri" w:cs="Calibri"/>
          <w:b w:val="0"/>
          <w:bCs w:val="0"/>
          <w:sz w:val="22"/>
          <w:szCs w:val="22"/>
        </w:rPr>
        <w:t>location</w:t>
      </w:r>
      <w:r w:rsidRPr="00E26EE2">
        <w:rPr>
          <w:rFonts w:ascii="Calibri" w:hAnsi="Calibri" w:cs="Calibri"/>
          <w:b w:val="0"/>
          <w:bCs w:val="0"/>
          <w:sz w:val="22"/>
          <w:szCs w:val="22"/>
        </w:rPr>
        <w:t xml:space="preserve"> and school context, not only as a national aggregate. </w:t>
      </w:r>
    </w:p>
    <w:p w:rsidR="003E3A85" w:rsidRPr="00E26EE2" w:rsidP="00180321">
      <w:pPr>
        <w:pStyle w:val="Heading1"/>
        <w:numPr>
          <w:ilvl w:val="0"/>
          <w:numId w:val="1"/>
        </w:numPr>
        <w:spacing w:before="0" w:after="120"/>
        <w:rPr>
          <w:rFonts w:ascii="Calibri" w:hAnsi="Calibri" w:cs="Calibri"/>
          <w:b w:val="0"/>
          <w:bCs w:val="0"/>
          <w:sz w:val="22"/>
          <w:szCs w:val="22"/>
          <w:lang w:val="en-GB"/>
        </w:rPr>
      </w:pPr>
      <w:r w:rsidRPr="00E26EE2">
        <w:rPr>
          <w:rFonts w:ascii="Calibri" w:hAnsi="Calibri" w:cs="Calibri"/>
          <w:b w:val="0"/>
          <w:bCs w:val="0"/>
          <w:sz w:val="22"/>
          <w:szCs w:val="22"/>
        </w:rPr>
        <w:t xml:space="preserve">Physics initial teacher training recruitment has increased substantially, but this does not mean that the physics teacher shortage has been resolved. Much of the recent increase has been driven by international trainees, who can face additional barriers to employment in English schools, including visa complexity and </w:t>
      </w:r>
      <w:r w:rsidRPr="00E26EE2">
        <w:rPr>
          <w:rFonts w:ascii="Calibri" w:hAnsi="Calibri" w:cs="Calibri"/>
          <w:b w:val="0"/>
          <w:bCs w:val="0"/>
          <w:sz w:val="22"/>
          <w:szCs w:val="22"/>
        </w:rPr>
        <w:t xml:space="preserve">issues around </w:t>
      </w:r>
      <w:r w:rsidRPr="00E26EE2">
        <w:rPr>
          <w:rFonts w:ascii="Calibri" w:hAnsi="Calibri" w:cs="Calibri"/>
          <w:b w:val="0"/>
          <w:bCs w:val="0"/>
          <w:sz w:val="22"/>
          <w:szCs w:val="22"/>
        </w:rPr>
        <w:t xml:space="preserve">school sponsorship. Government should monitor whether increased recruitment leads to more specialist physics teachers being employed and retained in English schools. </w:t>
      </w:r>
    </w:p>
    <w:p w:rsidR="003E3A85" w:rsidRPr="00E26EE2" w:rsidP="00180321">
      <w:pPr>
        <w:pStyle w:val="Heading1"/>
        <w:numPr>
          <w:ilvl w:val="0"/>
          <w:numId w:val="1"/>
        </w:numPr>
        <w:spacing w:before="0" w:after="120"/>
        <w:rPr>
          <w:rFonts w:ascii="Calibri" w:hAnsi="Calibri" w:cs="Calibri"/>
          <w:b w:val="0"/>
          <w:bCs w:val="0"/>
          <w:sz w:val="22"/>
          <w:szCs w:val="22"/>
          <w:lang w:val="en-GB"/>
        </w:rPr>
      </w:pPr>
      <w:r w:rsidRPr="00E26EE2">
        <w:rPr>
          <w:rFonts w:ascii="Calibri" w:hAnsi="Calibri" w:cs="Calibri"/>
          <w:b w:val="0"/>
          <w:bCs w:val="0"/>
          <w:sz w:val="22"/>
          <w:szCs w:val="22"/>
        </w:rPr>
        <w:t>Enrichment should be implemented as a broad entitlement that genuinely widens opportunity. Access to enrichment is uneven, and pupils with fewer opportunities outside school may rely most heavily on what schools provide. STEM should remain visible within enrichment policy as part of a broad offer. Careers guidance and enrichment should be aligned but not merged: schools cannot meet their statutory careers duties solely through enrichment, and the enrichment entitlement cannot be fulfilled through careers pr</w:t>
      </w:r>
      <w:r w:rsidRPr="00E26EE2">
        <w:rPr>
          <w:rFonts w:ascii="Calibri" w:hAnsi="Calibri" w:cs="Calibri"/>
          <w:b w:val="0"/>
          <w:bCs w:val="0"/>
          <w:sz w:val="22"/>
          <w:szCs w:val="22"/>
        </w:rPr>
        <w:t xml:space="preserve">ovision alone. </w:t>
      </w:r>
    </w:p>
    <w:p w:rsidR="003E3A85" w:rsidRPr="00E26EE2" w:rsidP="00180321">
      <w:pPr>
        <w:pStyle w:val="Heading1"/>
        <w:numPr>
          <w:ilvl w:val="0"/>
          <w:numId w:val="1"/>
        </w:numPr>
        <w:spacing w:before="0" w:after="120"/>
        <w:rPr>
          <w:rFonts w:ascii="Calibri" w:hAnsi="Calibri" w:cs="Calibri"/>
          <w:b w:val="0"/>
          <w:bCs w:val="0"/>
          <w:sz w:val="22"/>
          <w:szCs w:val="22"/>
          <w:lang w:val="en-GB"/>
        </w:rPr>
      </w:pPr>
      <w:r w:rsidRPr="00E26EE2">
        <w:rPr>
          <w:rFonts w:ascii="Calibri" w:hAnsi="Calibri" w:cs="Calibri"/>
          <w:b w:val="0"/>
          <w:bCs w:val="0"/>
          <w:sz w:val="22"/>
          <w:szCs w:val="22"/>
        </w:rPr>
        <w:t xml:space="preserve">The proposed Pupil Engagement Framework should </w:t>
      </w:r>
      <w:r w:rsidRPr="00E26EE2">
        <w:rPr>
          <w:rFonts w:ascii="Calibri" w:hAnsi="Calibri" w:cs="Calibri"/>
          <w:b w:val="0"/>
          <w:bCs w:val="0"/>
          <w:sz w:val="22"/>
          <w:szCs w:val="22"/>
        </w:rPr>
        <w:t>build on</w:t>
      </w:r>
      <w:r w:rsidRPr="00E26EE2">
        <w:rPr>
          <w:rFonts w:ascii="Calibri" w:hAnsi="Calibri" w:cs="Calibri"/>
          <w:b w:val="0"/>
          <w:bCs w:val="0"/>
          <w:sz w:val="22"/>
          <w:szCs w:val="22"/>
        </w:rPr>
        <w:t xml:space="preserve"> existing tools and evidence rather than create unnecessary burdens for schools. Careers guidance infrastructure already provides useful information about career readiness, intended destinations and </w:t>
      </w:r>
      <w:r w:rsidRPr="00E26EE2">
        <w:rPr>
          <w:rFonts w:ascii="Calibri" w:hAnsi="Calibri" w:cs="Calibri"/>
          <w:b w:val="0"/>
          <w:bCs w:val="0"/>
          <w:sz w:val="22"/>
          <w:szCs w:val="22"/>
        </w:rPr>
        <w:t xml:space="preserve">the </w:t>
      </w:r>
      <w:r w:rsidRPr="00E26EE2">
        <w:rPr>
          <w:rFonts w:ascii="Calibri" w:hAnsi="Calibri" w:cs="Calibri"/>
          <w:b w:val="0"/>
          <w:bCs w:val="0"/>
          <w:sz w:val="22"/>
          <w:szCs w:val="22"/>
        </w:rPr>
        <w:t xml:space="preserve">risk of becoming not in education, employment or training. Tools such as the Future Skills Questionnaire, Compass+ and OnTrack+ could help the framework use existing evidence on confidence, motivation, belonging and readiness for transition. </w:t>
      </w:r>
    </w:p>
    <w:p w:rsidR="003E3A85" w:rsidRPr="00E26EE2" w:rsidP="00180321">
      <w:pPr>
        <w:pStyle w:val="Heading1"/>
        <w:numPr>
          <w:ilvl w:val="0"/>
          <w:numId w:val="1"/>
        </w:numPr>
        <w:spacing w:before="0" w:after="120"/>
        <w:rPr>
          <w:rFonts w:ascii="Calibri" w:hAnsi="Calibri" w:cs="Calibri"/>
          <w:b w:val="0"/>
          <w:bCs w:val="0"/>
          <w:sz w:val="22"/>
          <w:szCs w:val="22"/>
          <w:lang w:val="en-GB"/>
        </w:rPr>
      </w:pPr>
      <w:r w:rsidRPr="00E26EE2">
        <w:rPr>
          <w:rFonts w:ascii="Calibri" w:hAnsi="Calibri" w:cs="Calibri"/>
          <w:b w:val="0"/>
          <w:bCs w:val="0"/>
          <w:sz w:val="22"/>
          <w:szCs w:val="22"/>
        </w:rPr>
        <w:t>Disadvantage policy should address opportunity, access and school context as well as attainment. Pupil Premium remains important, but it does not capture the wider social, economic and labour-market context in which schools operate. Forthcoming SchoolDash analysis commissioned by Gatsby suggests that schools can face similar combinations of challenge</w:t>
      </w:r>
      <w:r w:rsidRPr="00E26EE2">
        <w:rPr>
          <w:rFonts w:ascii="Calibri" w:hAnsi="Calibri" w:cs="Calibri"/>
          <w:b w:val="0"/>
          <w:bCs w:val="0"/>
          <w:sz w:val="22"/>
          <w:szCs w:val="22"/>
        </w:rPr>
        <w:t>s</w:t>
      </w:r>
      <w:r w:rsidRPr="00E26EE2">
        <w:rPr>
          <w:rFonts w:ascii="Calibri" w:hAnsi="Calibri" w:cs="Calibri"/>
          <w:b w:val="0"/>
          <w:bCs w:val="0"/>
          <w:sz w:val="22"/>
          <w:szCs w:val="22"/>
        </w:rPr>
        <w:t xml:space="preserve"> even when they are in different regions or local authorities. Place-based analysis should sit alongside pupil-level measures to identify barriers to curriculum breadth, specialist staffing, enrichment and progression. </w:t>
      </w:r>
    </w:p>
    <w:p w:rsidR="003E3A85" w:rsidRPr="00E26EE2" w:rsidP="00180321">
      <w:pPr>
        <w:pStyle w:val="Heading1"/>
        <w:numPr>
          <w:ilvl w:val="0"/>
          <w:numId w:val="1"/>
        </w:numPr>
        <w:spacing w:before="0" w:after="120"/>
        <w:rPr>
          <w:rFonts w:ascii="Calibri" w:hAnsi="Calibri" w:cs="Calibri"/>
          <w:b w:val="0"/>
          <w:sz w:val="22"/>
          <w:szCs w:val="22"/>
        </w:rPr>
      </w:pPr>
      <w:r w:rsidRPr="00E26EE2">
        <w:rPr>
          <w:rFonts w:ascii="Calibri" w:hAnsi="Calibri" w:cs="Calibri"/>
          <w:b w:val="0"/>
          <w:sz w:val="22"/>
          <w:szCs w:val="22"/>
        </w:rPr>
        <w:t>Essential skills should be treated as part of good curriculum design, not as a separate employability add-on. They should be taught explicitly, practised</w:t>
      </w:r>
      <w:r w:rsidRPr="00E26EE2">
        <w:rPr>
          <w:rFonts w:ascii="Calibri" w:hAnsi="Calibri" w:cs="Calibri"/>
          <w:b w:val="0"/>
          <w:sz w:val="22"/>
          <w:szCs w:val="22"/>
        </w:rPr>
        <w:t xml:space="preserve"> across subjects and reinforced through enrichment, careers guidance, employer engagement, work experience and technical education. Implementation should build on existing frameworks, including the Skills Builder Universal Framework and Skills England’s Standard Skills Classification, and avoid creating new terminology, duplication or disproportionate assessment burdens.</w:t>
      </w:r>
    </w:p>
    <w:p w:rsidR="003E3A85" w:rsidRPr="00E26EE2" w:rsidP="00E26EE2">
      <w:pPr>
        <w:spacing w:after="200" w:line="276" w:lineRule="auto"/>
        <w:rPr>
          <w:rFonts w:eastAsiaTheme="majorEastAsia"/>
          <w:b/>
          <w:bCs/>
        </w:rPr>
      </w:pPr>
      <w:r w:rsidRPr="00E26EE2">
        <w:rPr>
          <w:b/>
          <w:bCs/>
        </w:rPr>
        <w:t>About The Gatsby Charitable Foundation and scope of this submission</w:t>
      </w:r>
    </w:p>
    <w:p w:rsidR="003E3A85" w:rsidRPr="00E26EE2">
      <w:pPr>
        <w:pStyle w:val="Numberedevidenceparagraph"/>
        <w:ind w:left="720" w:hanging="720"/>
      </w:pPr>
      <w:r w:rsidRPr="00E26EE2">
        <w:t>1.           The Gatsby Charitable Foundation was set up by David Sainsbury to realise his charitable objectives. These include a commitment to strengthening the country’s science and engineering skills by developing innovative programmes and informing national policy on technical education, skills and good careers guidance.</w:t>
      </w:r>
    </w:p>
    <w:p w:rsidR="003E3A85" w:rsidRPr="00E26EE2">
      <w:pPr>
        <w:pStyle w:val="Numberedevidenceparagraph"/>
        <w:ind w:left="720" w:hanging="720"/>
      </w:pPr>
      <w:r w:rsidRPr="00E26EE2">
        <w:t>2.           The Gatsby Foundation’s ambition is to increase the quality and supply of science, technology, engineering and mathematics (STEM) skills in the UK workforce. This starts in schools: young people need access to high-quality STEM education, taught by well-qualified and motivated subject specialists. Our work in schools therefore focuses on improving access to specialist teaching, practical and technical learning and effective pathways into further study and employment.</w:t>
      </w:r>
    </w:p>
    <w:p w:rsidR="003E3A85" w:rsidRPr="00E26EE2" w:rsidP="000F5F49">
      <w:pPr>
        <w:pStyle w:val="Numberedevidenceparagraph"/>
        <w:spacing w:after="240"/>
        <w:ind w:left="720" w:hanging="720"/>
      </w:pPr>
      <w:r w:rsidRPr="00E26EE2">
        <w:t>3.           This submission does not seek to answer every question in the call for evidence. It focuses on the areas where The Gatsby Foundation has expertise and has commissioned or supported evidence relevant to the Committee’s inquiry. This includes teacher recruitment and retention, STEM teacher supply, subject-specific continuing professional development, early career support for teachers, enrichment</w:t>
      </w:r>
      <w:r w:rsidRPr="00E26EE2">
        <w:t>,</w:t>
      </w:r>
      <w:r w:rsidRPr="00E26EE2">
        <w:t xml:space="preserve"> essential skills and the relationship between disadvantage, opportunity and access to specialist provision. We have also developed and supported national evidence-informed approaches to careers guidance, including the Gatsby Benchmarks, a framework which forms the government-backed standard for young people’s careers guidance. Careers guidance is therefore referred to in this submission where it is directly relevant to the white paper’s aims</w:t>
      </w:r>
      <w:r w:rsidRPr="00E26EE2">
        <w:t>.</w:t>
      </w:r>
      <w:r w:rsidRPr="00E26EE2">
        <w:t xml:space="preserve"> </w:t>
      </w:r>
    </w:p>
    <w:p w:rsidR="003E3A85" w:rsidRPr="00E26EE2">
      <w:pPr>
        <w:pStyle w:val="Heading1"/>
        <w:spacing w:before="0" w:after="120"/>
        <w:rPr>
          <w:rFonts w:ascii="Calibri" w:hAnsi="Calibri" w:cs="Calibri"/>
          <w:sz w:val="22"/>
          <w:szCs w:val="22"/>
        </w:rPr>
      </w:pPr>
      <w:r w:rsidRPr="00E26EE2">
        <w:rPr>
          <w:rFonts w:ascii="Calibri" w:eastAsia="Calibri" w:hAnsi="Calibri" w:cs="Calibri"/>
          <w:sz w:val="22"/>
          <w:szCs w:val="22"/>
        </w:rPr>
        <w:t>Workforce reform: specialist teachers, retention and professional development</w:t>
      </w:r>
    </w:p>
    <w:p w:rsidR="003E3A85" w:rsidRPr="00E26EE2">
      <w:pPr>
        <w:pStyle w:val="Numberedevidenceparagraph"/>
        <w:spacing w:after="240"/>
        <w:ind w:left="720" w:hanging="720"/>
      </w:pPr>
      <w:r w:rsidRPr="00E26EE2">
        <w:t xml:space="preserve">4.           The white paper’s ambitions on curriculum, attainment, enrichment and disadvantage depend on schools having enough well-qualified, motivated specialist teachers. Long-standing teacher shortages make this especially important in STEM subjects. Specialist teachers are more likely to be able to explain complex concepts clearly, use practical work effectively and motivate pupils to </w:t>
      </w:r>
      <w:r w:rsidRPr="00E26EE2">
        <w:t>enjoy</w:t>
      </w:r>
      <w:r w:rsidRPr="00E26EE2">
        <w:t xml:space="preserve"> and continue to study the subject. </w:t>
      </w:r>
    </w:p>
    <w:p w:rsidR="003E3A85" w:rsidRPr="00E26EE2" w:rsidP="00624860">
      <w:pPr>
        <w:pStyle w:val="Heading2"/>
        <w:spacing w:before="0" w:after="120"/>
        <w:ind w:left="720"/>
        <w:rPr>
          <w:rFonts w:ascii="Calibri" w:hAnsi="Calibri" w:cs="Calibri"/>
          <w:szCs w:val="22"/>
        </w:rPr>
      </w:pPr>
      <w:r w:rsidRPr="00E26EE2">
        <w:rPr>
          <w:rFonts w:ascii="Calibri" w:hAnsi="Calibri" w:cs="Calibri"/>
          <w:szCs w:val="22"/>
        </w:rPr>
        <w:t>The 6,500-teacher pledge needs a subject-specific strategy</w:t>
      </w:r>
    </w:p>
    <w:p w:rsidR="003E3A85" w:rsidRPr="00E26EE2" w:rsidP="00673D81">
      <w:pPr>
        <w:pStyle w:val="Numberedevidenceparagraph"/>
        <w:ind w:left="720" w:hanging="720"/>
        <w:rPr>
          <w:lang w:val="en-GB"/>
        </w:rPr>
      </w:pPr>
      <w:r w:rsidRPr="00E26EE2">
        <w:t xml:space="preserve">5.           The Gatsby Foundation welcomes the progress the government is making towards the 6,500-teacher pledge. </w:t>
      </w:r>
      <w:r w:rsidRPr="00E26EE2">
        <w:t xml:space="preserve">However, the overall number recruited does not show whether pupils have better access to stable, well-qualified specialist teachers in the subjects, phases and schools where shortages are most severe. This is particularly important in STEM subjects and in schools serving disadvantaged </w:t>
      </w:r>
      <w:r w:rsidRPr="00E26EE2">
        <w:t>communities.¹</w:t>
      </w:r>
    </w:p>
    <w:p w:rsidR="003E3A85" w:rsidRPr="00E26EE2">
      <w:pPr>
        <w:pStyle w:val="Numberedevidenceparagraph"/>
        <w:ind w:left="720" w:hanging="720"/>
      </w:pPr>
      <w:r w:rsidRPr="00E26EE2">
        <w:t xml:space="preserve">6.           </w:t>
      </w:r>
      <w:r w:rsidRPr="00E26EE2">
        <w:t xml:space="preserve">Modelling commissioned by Gatsby from the National Foundation for Educational Research found that teacher supply varies significantly by subject and requires targeted responses. The most credible and cost-effective approaches combine financial incentives, such as bursaries and early career retention payments, with measures to reduce workload, improve professional development and retain existing </w:t>
      </w:r>
      <w:r w:rsidRPr="00E26EE2">
        <w:t>teachers.²</w:t>
      </w:r>
    </w:p>
    <w:p w:rsidR="003E3A85" w:rsidRPr="00E26EE2">
      <w:pPr>
        <w:pStyle w:val="Numberedevidenceparagraph"/>
        <w:spacing w:after="240"/>
        <w:ind w:left="720" w:hanging="720"/>
      </w:pPr>
      <w:r w:rsidRPr="00E26EE2">
        <w:t xml:space="preserve">7.           </w:t>
      </w:r>
      <w:r w:rsidRPr="00E26EE2">
        <w:t>The government should therefore report progress against the pledge by subject, phase, geography and school context, as well as against the national total.</w:t>
      </w:r>
    </w:p>
    <w:p w:rsidR="003E3A85" w:rsidRPr="00E26EE2" w:rsidP="00624860">
      <w:pPr>
        <w:pStyle w:val="Heading2"/>
        <w:spacing w:before="0" w:after="120"/>
        <w:ind w:left="720"/>
        <w:rPr>
          <w:rFonts w:ascii="Calibri" w:hAnsi="Calibri" w:cs="Calibri"/>
          <w:szCs w:val="22"/>
        </w:rPr>
      </w:pPr>
      <w:r w:rsidRPr="00E26EE2">
        <w:rPr>
          <w:rFonts w:ascii="Calibri" w:hAnsi="Calibri" w:cs="Calibri"/>
          <w:szCs w:val="22"/>
        </w:rPr>
        <w:t>Targeted financial incentives should support recruitment and retention in shortage subjects</w:t>
      </w:r>
    </w:p>
    <w:p w:rsidR="003E3A85" w:rsidRPr="00E26EE2">
      <w:pPr>
        <w:pStyle w:val="Numberedevidenceparagraph"/>
        <w:spacing w:after="240"/>
        <w:ind w:left="720" w:hanging="720"/>
      </w:pPr>
      <w:r w:rsidRPr="00E26EE2">
        <w:t>8.           Gatsby has commissioned research on the effectiveness of financial incentives for teacher recruitment and retention. NFER research on training bursaries found that bursary increases are associated with higher recruitment into initial teacher training, and that the additional teachers recruited as a result tend to complete training, enter teaching and remain in teaching at similar rates to other teachers in their cohort. This suggests that bursaries can increase long-term teacher supply, not onl</w:t>
      </w:r>
      <w:r w:rsidRPr="00E26EE2">
        <w:t>y short-term recruitment.</w:t>
      </w:r>
      <w:r w:rsidRPr="00E26EE2">
        <w:rPr>
          <w:vertAlign w:val="superscript"/>
        </w:rPr>
        <w:t>3</w:t>
      </w:r>
    </w:p>
    <w:p w:rsidR="003E3A85" w:rsidRPr="00E26EE2">
      <w:pPr>
        <w:pStyle w:val="Numberedevidenceparagraph"/>
        <w:spacing w:after="240"/>
        <w:ind w:left="720" w:hanging="720"/>
      </w:pPr>
      <w:r w:rsidRPr="00E26EE2">
        <w:t>9.           Evidence on retention payments found that targeted financial incentives for early-career maths and physics teachers reduced leaving from state-funded teaching while teachers were eligible for payments. This supports the use of targeted early-career payments as part of the retention strategy for shortage subjects.</w:t>
      </w:r>
      <w:r w:rsidRPr="00E26EE2">
        <w:rPr>
          <w:vertAlign w:val="superscript"/>
        </w:rPr>
        <w:t>4</w:t>
      </w:r>
    </w:p>
    <w:p w:rsidR="003E3A85" w:rsidRPr="00E26EE2">
      <w:pPr>
        <w:pStyle w:val="Numberedevidenceparagraph"/>
        <w:spacing w:after="240"/>
        <w:ind w:left="720" w:hanging="720"/>
      </w:pPr>
      <w:r w:rsidRPr="00E26EE2">
        <w:t>10.        Together, this evidence supports a balanced, subject-specific approach to teacher supply: bursaries to support entry into training, early-career payments to support retention, and wider measures to reduce workload and strengthen professional development.</w:t>
      </w:r>
      <w:r w:rsidRPr="00E26EE2">
        <w:rPr>
          <w:vertAlign w:val="superscript"/>
        </w:rPr>
        <w:t>2</w:t>
      </w:r>
      <w:r w:rsidRPr="00E26EE2">
        <w:t xml:space="preserve"> </w:t>
      </w:r>
      <w:r w:rsidRPr="00E26EE2">
        <w:rPr>
          <w:vertAlign w:val="superscript"/>
        </w:rPr>
        <w:t>3</w:t>
      </w:r>
      <w:r w:rsidRPr="00E26EE2">
        <w:t xml:space="preserve"> </w:t>
      </w:r>
      <w:r w:rsidRPr="00E26EE2">
        <w:rPr>
          <w:vertAlign w:val="superscript"/>
        </w:rPr>
        <w:t>4</w:t>
      </w:r>
    </w:p>
    <w:p w:rsidR="003E3A85" w:rsidRPr="00E26EE2" w:rsidP="00624860">
      <w:pPr>
        <w:pStyle w:val="Heading2"/>
        <w:spacing w:before="0" w:after="120"/>
        <w:ind w:left="720"/>
        <w:rPr>
          <w:rFonts w:ascii="Calibri" w:hAnsi="Calibri" w:cs="Calibri"/>
          <w:szCs w:val="22"/>
        </w:rPr>
      </w:pPr>
      <w:r w:rsidRPr="00E26EE2">
        <w:rPr>
          <w:rFonts w:ascii="Calibri" w:eastAsia="Calibri" w:hAnsi="Calibri" w:cs="Calibri"/>
          <w:szCs w:val="22"/>
        </w:rPr>
        <w:t>Subject-specific professional development should be treated as a workforce issue</w:t>
      </w:r>
    </w:p>
    <w:p w:rsidR="003E3A85" w:rsidRPr="00E26EE2">
      <w:pPr>
        <w:pStyle w:val="Numberedevidenceparagraph"/>
        <w:ind w:left="720" w:hanging="720"/>
      </w:pPr>
      <w:r w:rsidRPr="00E26EE2">
        <w:t>11.         Subject-specific professional development should be treated as part of the teacher supply and retention strategy, not as a separate school improvement activity. In STEM, high-quality teaching depends on strong subject knowledge and pedagogical content knowledge: teachers need to sequence concepts well, explain common misconceptions and use practical work effectively. Teachers are also more likely to stay in the profession when they feel confident, effective and able to keep developing.</w:t>
      </w:r>
      <w:r w:rsidRPr="00E26EE2">
        <w:rPr>
          <w:vertAlign w:val="superscript"/>
        </w:rPr>
        <w:t>5</w:t>
      </w:r>
      <w:r w:rsidRPr="00E26EE2">
        <w:t xml:space="preserve"> </w:t>
      </w:r>
      <w:r w:rsidRPr="00E26EE2">
        <w:rPr>
          <w:vertAlign w:val="superscript"/>
        </w:rPr>
        <w:t>6</w:t>
      </w:r>
    </w:p>
    <w:p w:rsidR="003E3A85" w:rsidRPr="00E26EE2">
      <w:pPr>
        <w:pStyle w:val="Numberedevidenceparagraph"/>
        <w:ind w:left="720" w:hanging="720"/>
      </w:pPr>
      <w:r w:rsidRPr="00E26EE2">
        <w:t xml:space="preserve">12.        This support is needed throughout a teacher’s career. The Early Career Teacher Entitlement sets out the training and support teachers should receive at the start of their careers, based on the Initial Teacher Training and Early Career Framework. </w:t>
      </w:r>
      <w:r w:rsidRPr="00E26EE2">
        <w:t xml:space="preserve">Our work has identified three priorities for improving early career support: making training more subject-specific, ensuring schools have the </w:t>
      </w:r>
      <w:r w:rsidRPr="00E26EE2">
        <w:t xml:space="preserve">resources to provide it well, and allowing schools to adapt support to teachers’ needs without losing consistency or quality. </w:t>
      </w:r>
      <w:r w:rsidRPr="00E26EE2">
        <w:t>It also calls for clearer responsibilities for subject leaders and better access to subject-specific support where mentoring cannot provide it.</w:t>
      </w:r>
      <w:r w:rsidRPr="00E26EE2">
        <w:rPr>
          <w:vertAlign w:val="superscript"/>
        </w:rPr>
        <w:t>7</w:t>
      </w:r>
    </w:p>
    <w:p w:rsidR="003E3A85" w:rsidRPr="00E26EE2">
      <w:pPr>
        <w:pStyle w:val="Numberedevidenceparagraph"/>
        <w:ind w:left="720" w:hanging="720"/>
      </w:pPr>
      <w:r w:rsidRPr="00E26EE2">
        <w:t>13.        Teachers working beyond their original specialism also need sustained, subject-specific professional development. Recent Gatsby-funded work shows that this can help teachers build the subject knowledge, teaching expertise and confidence needed to teach well outside their original specialism.</w:t>
      </w:r>
      <w:r w:rsidRPr="00E26EE2">
        <w:rPr>
          <w:vertAlign w:val="superscript"/>
        </w:rPr>
        <w:t>8</w:t>
      </w:r>
    </w:p>
    <w:p w:rsidR="003E3A85" w:rsidRPr="00E26EE2">
      <w:pPr>
        <w:pStyle w:val="Numberedevidenceparagraph"/>
        <w:spacing w:after="240"/>
        <w:ind w:left="720" w:hanging="720"/>
      </w:pPr>
      <w:r w:rsidRPr="00E26EE2">
        <w:t>14.        The Committee should examine how the government treats subject-specific and phase-specific professional development as part of its teacher recruitment and retention strategy, alongside recruitment and financial incentives. This is particularly important in shortage subjects and in schools where teachers may be isolated within small departments or teaching across subject boundaries.</w:t>
      </w:r>
    </w:p>
    <w:p w:rsidR="003E3A85" w:rsidRPr="00E26EE2" w:rsidP="00624860">
      <w:pPr>
        <w:pStyle w:val="Heading2"/>
        <w:spacing w:before="0" w:after="120"/>
        <w:ind w:left="720"/>
        <w:rPr>
          <w:rFonts w:ascii="Calibri" w:hAnsi="Calibri" w:cs="Calibri"/>
          <w:szCs w:val="22"/>
        </w:rPr>
      </w:pPr>
      <w:r w:rsidRPr="00E26EE2">
        <w:rPr>
          <w:rFonts w:ascii="Calibri" w:eastAsia="Calibri" w:hAnsi="Calibri" w:cs="Calibri"/>
          <w:szCs w:val="22"/>
        </w:rPr>
        <w:t>International recruitment has increased physics trainee numbers, but shortages may remain</w:t>
      </w:r>
    </w:p>
    <w:p w:rsidR="003E3A85" w:rsidRPr="00E26EE2">
      <w:pPr>
        <w:pStyle w:val="Numberedevidenceparagraph"/>
        <w:ind w:left="720" w:hanging="720"/>
      </w:pPr>
      <w:r w:rsidRPr="00E26EE2">
        <w:t xml:space="preserve">15.        </w:t>
      </w:r>
      <w:r w:rsidRPr="00E26EE2">
        <w:t xml:space="preserve"> </w:t>
      </w:r>
      <w:r w:rsidRPr="00E26EE2">
        <w:t xml:space="preserve">Physics initial teacher training (ITT) recruitment has increased substantially in recent years. Current 2026-27 recruitment data show physics significantly above the Department for Education (DfE) estimate of how many new trainees are needed. International trainees have driven much of this increase and now make up most </w:t>
      </w:r>
      <w:r w:rsidRPr="00E26EE2">
        <w:t>physics</w:t>
      </w:r>
      <w:r w:rsidRPr="00E26EE2">
        <w:t xml:space="preserve"> trainees while the number of home trainees has grown more modestly. The increase in recruitment is welcome, but it does not mean the physics teacher supply problem has been solved. </w:t>
      </w:r>
    </w:p>
    <w:p w:rsidR="003E3A85" w:rsidRPr="00E26EE2" w:rsidP="00D33D76">
      <w:pPr>
        <w:pStyle w:val="Numberedevidenceparagraph"/>
        <w:ind w:left="720" w:hanging="720"/>
      </w:pPr>
      <w:r w:rsidRPr="00E26EE2">
        <w:t xml:space="preserve">16.        </w:t>
      </w:r>
      <w:r w:rsidRPr="00E26EE2">
        <w:t xml:space="preserve"> </w:t>
      </w:r>
      <w:r w:rsidRPr="00E26EE2">
        <w:t xml:space="preserve">Recruiting a trainee to an ITT course is not the same as securing a specialist physics teacher in an English school. Association for Science Education (ASE) research funded by Gatsby found that international trainees can face </w:t>
      </w:r>
      <w:r w:rsidRPr="00E26EE2">
        <w:t>particular barriers</w:t>
      </w:r>
      <w:r w:rsidRPr="00E26EE2">
        <w:t xml:space="preserve"> to employment in England, including visa complexity and school sponsorship issues. Strong recruitment of international trainees may not lead to the same proportion working in English schools as among domestic trainees.</w:t>
      </w:r>
      <w:r w:rsidRPr="00E26EE2">
        <w:rPr>
          <w:vertAlign w:val="superscript"/>
        </w:rPr>
        <w:t>9</w:t>
      </w:r>
      <w:r w:rsidRPr="00E26EE2">
        <w:t xml:space="preserve"> The decision to withdraw the offer of training bursaries to a wider group of new international physics trainees makes it even more important to monitor the number and profile of physics applicants and entrants next year.</w:t>
      </w:r>
      <w:r w:rsidRPr="00E26EE2">
        <w:rPr>
          <w:vertAlign w:val="superscript"/>
        </w:rPr>
        <w:t>9</w:t>
      </w:r>
      <w:r w:rsidRPr="00E26EE2">
        <w:t xml:space="preserve"> </w:t>
      </w:r>
      <w:r w:rsidRPr="00E26EE2">
        <w:rPr>
          <w:vertAlign w:val="superscript"/>
        </w:rPr>
        <w:t>10</w:t>
      </w:r>
    </w:p>
    <w:p w:rsidR="003E3A85" w:rsidRPr="00E26EE2" w:rsidP="002D49E8">
      <w:pPr>
        <w:pStyle w:val="Numberedevidenceparagraph"/>
        <w:ind w:left="720" w:hanging="720"/>
        <w:rPr>
          <w:lang w:val="en-GB"/>
        </w:rPr>
      </w:pPr>
      <w:r w:rsidRPr="00E26EE2">
        <w:t>17.        There is also a separate issue about the balance of biology, chemistry and physics specialists already working in schools. Recent NFER analysis for the Institute of Physics found that Key Stage 4 general science teaching is much more likely to be taught by biology specialists than physics specialists, and that many schools have no, or only one physics specialist in their science department. Meeting the physics ITT recruitment target would not, on its own, mean that schools have enough physics spe</w:t>
      </w:r>
      <w:r w:rsidRPr="00E26EE2">
        <w:t>cialists to teach physics well, rebalance science departments or support wider access to triple science.</w:t>
      </w:r>
      <w:r w:rsidRPr="00E26EE2">
        <w:rPr>
          <w:vertAlign w:val="superscript"/>
        </w:rPr>
        <w:t>11</w:t>
      </w:r>
    </w:p>
    <w:p w:rsidR="003E3A85" w:rsidRPr="00E26EE2" w:rsidP="002D49E8">
      <w:pPr>
        <w:pStyle w:val="Numberedevidenceparagraph"/>
        <w:spacing w:after="240"/>
        <w:ind w:left="720" w:hanging="720"/>
      </w:pPr>
      <w:r w:rsidRPr="00E26EE2">
        <w:t>18.        The government and the Committee should therefore monitor whether increased recruitment to physics ITT leads to more specialist physics teachers working in English schools. This should include tracking whether trainees gain teaching posts after qualified teacher status, whether they remain in the profession and whether schools have sufficient physics specialists within science departments. It is too early to conclude that the physics teacher shortage has been resolved.</w:t>
      </w:r>
    </w:p>
    <w:p w:rsidR="003E3A85" w:rsidRPr="00E26EE2" w:rsidP="00624860">
      <w:pPr>
        <w:pStyle w:val="Heading2"/>
        <w:spacing w:before="0" w:after="120"/>
        <w:ind w:left="720"/>
        <w:rPr>
          <w:rFonts w:ascii="Calibri" w:hAnsi="Calibri" w:cs="Calibri"/>
          <w:szCs w:val="22"/>
        </w:rPr>
      </w:pPr>
      <w:r w:rsidRPr="00E26EE2">
        <w:rPr>
          <w:rFonts w:ascii="Calibri" w:eastAsia="Calibri" w:hAnsi="Calibri" w:cs="Calibri"/>
          <w:szCs w:val="22"/>
        </w:rPr>
        <w:t>Workforce shortages compound disadvantage</w:t>
      </w:r>
    </w:p>
    <w:p w:rsidR="003E3A85" w:rsidRPr="00E26EE2">
      <w:pPr>
        <w:pStyle w:val="Numberedevidenceparagraph"/>
        <w:spacing w:after="240"/>
        <w:ind w:left="720" w:hanging="720"/>
      </w:pPr>
      <w:r w:rsidRPr="00E26EE2">
        <w:t xml:space="preserve">19.        </w:t>
      </w:r>
      <w:r w:rsidRPr="00E26EE2">
        <w:t xml:space="preserve"> </w:t>
      </w:r>
      <w:r w:rsidRPr="00E26EE2">
        <w:t>Workforce reform should also be connected to disadvantage policy. A strategy to reduce attainment gaps will be weakened if pupils in disadvantaged communities are less likely to be taught by stable, well-qualified specialist teachers. This is particularly important in shortage STEM subjects, where access to specialist teaching affects curriculum breadth, practical work, pupil confidence and progression routes.</w:t>
      </w:r>
      <w:r w:rsidRPr="00E26EE2">
        <w:rPr>
          <w:vertAlign w:val="superscript"/>
        </w:rPr>
        <w:t>12</w:t>
      </w:r>
    </w:p>
    <w:p w:rsidR="003E3A85" w:rsidRPr="00E26EE2" w:rsidP="00624860">
      <w:pPr>
        <w:pStyle w:val="Heading2"/>
        <w:spacing w:before="0" w:after="120"/>
        <w:ind w:left="720"/>
        <w:rPr>
          <w:rFonts w:ascii="Calibri" w:hAnsi="Calibri" w:cs="Calibri"/>
          <w:szCs w:val="22"/>
        </w:rPr>
      </w:pPr>
      <w:r w:rsidRPr="00E26EE2">
        <w:rPr>
          <w:rFonts w:ascii="Calibri" w:eastAsia="Calibri" w:hAnsi="Calibri" w:cs="Calibri"/>
          <w:szCs w:val="22"/>
        </w:rPr>
        <w:t>Policy implications</w:t>
      </w:r>
    </w:p>
    <w:p w:rsidR="003E3A85" w:rsidRPr="00E26EE2">
      <w:pPr>
        <w:pStyle w:val="Numberedevidenceparagraph"/>
        <w:ind w:left="720" w:hanging="720"/>
      </w:pPr>
      <w:r w:rsidRPr="00E26EE2">
        <w:t>20.        The Committee should assess whether workforce reforms are improving access to specialist teachers in the subjects and schools where need is greatest. The government should therefore:</w:t>
      </w:r>
    </w:p>
    <w:p w:rsidR="003E3A85" w:rsidRPr="00E26EE2">
      <w:pPr>
        <w:pStyle w:val="Evidencebullet"/>
        <w:ind w:left="720" w:hanging="720"/>
      </w:pPr>
      <w:r w:rsidRPr="00E26EE2">
        <w:t>•             report progress against the 6,500-teacher pledge by subject, phase, geography and school context and assess whether additional teachers are increasing pupils’ access to stable, well-qualified specialist teaching, particularly in shortage STEM subjects and in schools serving disadvantaged communities</w:t>
      </w:r>
    </w:p>
    <w:p w:rsidR="003E3A85" w:rsidRPr="00E26EE2">
      <w:pPr>
        <w:pStyle w:val="Evidencebullet"/>
        <w:ind w:left="720" w:hanging="720"/>
      </w:pPr>
      <w:r w:rsidRPr="00E26EE2">
        <w:t>•             maintain a subject-specific approach to teacher supply, combining targeted financial incentives with measures to improve retention, reduce workload and strengthen professional development</w:t>
      </w:r>
      <w:r w:rsidRPr="00E26EE2">
        <w:rPr>
          <w:vertAlign w:val="superscript"/>
        </w:rPr>
        <w:t>2</w:t>
      </w:r>
      <w:r w:rsidRPr="00E26EE2">
        <w:t xml:space="preserve"> </w:t>
      </w:r>
      <w:r w:rsidRPr="00E26EE2">
        <w:rPr>
          <w:vertAlign w:val="superscript"/>
        </w:rPr>
        <w:t>3</w:t>
      </w:r>
      <w:r w:rsidRPr="00E26EE2">
        <w:t xml:space="preserve"> </w:t>
      </w:r>
      <w:r w:rsidRPr="00E26EE2">
        <w:rPr>
          <w:vertAlign w:val="superscript"/>
        </w:rPr>
        <w:t>4</w:t>
      </w:r>
    </w:p>
    <w:p w:rsidR="003E3A85" w:rsidRPr="00E26EE2">
      <w:pPr>
        <w:pStyle w:val="Evidencebullet"/>
        <w:ind w:left="720" w:hanging="720"/>
      </w:pPr>
      <w:r w:rsidRPr="00E26EE2">
        <w:t xml:space="preserve">•             treat subject-specific professional development as part of the teacher supply and retention strategy, including for early career teachers, existing specialists and teachers developing expertise outside their original </w:t>
      </w:r>
      <w:r w:rsidRPr="00E26EE2">
        <w:t>specialism</w:t>
      </w:r>
      <w:r w:rsidRPr="00E26EE2">
        <w:rPr>
          <w:vertAlign w:val="superscript"/>
        </w:rPr>
        <w:t>7</w:t>
      </w:r>
      <w:r w:rsidRPr="00E26EE2">
        <w:t xml:space="preserve"> </w:t>
      </w:r>
      <w:r w:rsidRPr="00E26EE2">
        <w:rPr>
          <w:vertAlign w:val="superscript"/>
        </w:rPr>
        <w:t>8</w:t>
      </w:r>
    </w:p>
    <w:p w:rsidR="003E3A85" w:rsidRPr="00E26EE2">
      <w:pPr>
        <w:pStyle w:val="Evidencebullet"/>
        <w:ind w:left="720" w:hanging="720"/>
      </w:pPr>
      <w:r w:rsidRPr="00E26EE2">
        <w:t>•             monitor whether improved physics ITT recruitment is translating into more specialist physics teachers employed and retained in English schools, particularly given the reliance on international trainees and the withdrawal of bursary eligibility for a wider group of new international physics trainees</w:t>
      </w:r>
      <w:r w:rsidRPr="00E26EE2">
        <w:rPr>
          <w:vertAlign w:val="superscript"/>
        </w:rPr>
        <w:t>9</w:t>
      </w:r>
      <w:r w:rsidRPr="00E26EE2">
        <w:t xml:space="preserve"> </w:t>
      </w:r>
      <w:r w:rsidRPr="00E26EE2">
        <w:rPr>
          <w:vertAlign w:val="superscript"/>
        </w:rPr>
        <w:t>10</w:t>
      </w:r>
    </w:p>
    <w:p w:rsidR="003E3A85" w:rsidRPr="00E26EE2">
      <w:pPr>
        <w:pStyle w:val="Evidencebullet"/>
        <w:spacing w:after="240"/>
        <w:ind w:left="720" w:hanging="720"/>
      </w:pPr>
      <w:r w:rsidRPr="00E26EE2">
        <w:t>•             treat specialist teacher supply as part of disadvantage policy, recognising</w:t>
      </w:r>
      <w:r w:rsidRPr="00E26EE2">
        <w:t xml:space="preserve"> that staffing instability, non-specialist teaching and limited access to subject expertise can compound existing inequalities</w:t>
      </w:r>
      <w:r w:rsidRPr="00E26EE2">
        <w:rPr>
          <w:vertAlign w:val="superscript"/>
        </w:rPr>
        <w:t>12</w:t>
      </w:r>
    </w:p>
    <w:p w:rsidR="003E3A85" w:rsidRPr="00E26EE2">
      <w:pPr>
        <w:pStyle w:val="Heading1"/>
        <w:spacing w:before="0" w:after="120"/>
        <w:rPr>
          <w:rFonts w:ascii="Calibri" w:hAnsi="Calibri" w:cs="Calibri"/>
          <w:sz w:val="22"/>
          <w:szCs w:val="22"/>
        </w:rPr>
      </w:pPr>
      <w:r w:rsidRPr="00E26EE2">
        <w:rPr>
          <w:rFonts w:ascii="Calibri" w:eastAsia="Calibri" w:hAnsi="Calibri" w:cs="Calibri"/>
          <w:sz w:val="22"/>
          <w:szCs w:val="22"/>
        </w:rPr>
        <w:t>Enrichment, careers guidance and pupil engagement</w:t>
      </w:r>
    </w:p>
    <w:p w:rsidR="003E3A85" w:rsidRPr="00E26EE2">
      <w:pPr>
        <w:pStyle w:val="Numberedevidenceparagraph"/>
        <w:ind w:left="720" w:hanging="720"/>
      </w:pPr>
      <w:r w:rsidRPr="00E26EE2">
        <w:t>21.        We welcome the ambitions of the government’s enrichment strategy and agree that enrichment plays an important role in the broader benefits of education. A broad enrichment offer can help pupils build confidence, widen horizons, develop relationships and experience school as a place where they can participate, contribute and belong.</w:t>
      </w:r>
    </w:p>
    <w:p w:rsidR="003E3A85" w:rsidRPr="00E26EE2">
      <w:pPr>
        <w:pStyle w:val="Numberedevidenceparagraph"/>
        <w:spacing w:after="240"/>
        <w:ind w:left="720" w:hanging="720"/>
      </w:pPr>
      <w:r w:rsidRPr="00E26EE2">
        <w:t xml:space="preserve">22.        Enrichment is also </w:t>
      </w:r>
      <w:r w:rsidRPr="00E26EE2">
        <w:t>one way</w:t>
      </w:r>
      <w:r w:rsidRPr="00E26EE2">
        <w:t xml:space="preserve"> schools can support pupil engagement. Attendance is important, but engagement is broader than simply physical presence in school. It includes pupils’ sense of belonging, confidence, motivation, participation and purpose and how school connects to their lives and future opportunities. The Pupil Engagement Framework should reflect this broad understanding and use existing evidence about what supports pupils’ confidence, motivation, participation and readiness for future transitions.</w:t>
      </w:r>
    </w:p>
    <w:p w:rsidR="003E3A85" w:rsidRPr="00E26EE2" w:rsidP="00624860">
      <w:pPr>
        <w:pStyle w:val="Heading2"/>
        <w:spacing w:before="0" w:after="120"/>
        <w:ind w:left="720"/>
        <w:rPr>
          <w:rFonts w:ascii="Calibri" w:hAnsi="Calibri" w:cs="Calibri"/>
          <w:szCs w:val="22"/>
        </w:rPr>
      </w:pPr>
      <w:r w:rsidRPr="00E26EE2">
        <w:rPr>
          <w:rFonts w:ascii="Calibri" w:eastAsia="Calibri" w:hAnsi="Calibri" w:cs="Calibri"/>
          <w:szCs w:val="22"/>
        </w:rPr>
        <w:t>Enrichment access is uneven</w:t>
      </w:r>
    </w:p>
    <w:p w:rsidR="003E3A85" w:rsidRPr="00E26EE2">
      <w:pPr>
        <w:pStyle w:val="Numberedevidenceparagraph"/>
        <w:ind w:left="720" w:hanging="720"/>
      </w:pPr>
      <w:r w:rsidRPr="00E26EE2">
        <w:t>23</w:t>
      </w:r>
      <w:r w:rsidRPr="00E26EE2">
        <w:t xml:space="preserve">.        </w:t>
      </w:r>
      <w:r w:rsidRPr="00E26EE2">
        <w:tab/>
      </w:r>
      <w:r w:rsidRPr="00E26EE2">
        <w:t>The</w:t>
      </w:r>
      <w:r w:rsidRPr="00E26EE2">
        <w:t xml:space="preserve"> Gatsby Foundation commissioned SchoolDash</w:t>
      </w:r>
      <w:r w:rsidRPr="00E26EE2">
        <w:t xml:space="preserve"> to examine enrichment provision in mainstream state secondary schools in England using publicly available school website information. The analysis provides an indication rather than a definitive account of provision. It relies on school websites being accurate and up to date, and it does not measure pupil participation. However, it provides useful information about the enrichment opportunities described by </w:t>
      </w:r>
      <w:r w:rsidRPr="00E26EE2">
        <w:t>a large number of</w:t>
      </w:r>
      <w:r w:rsidRPr="00E26EE2">
        <w:t xml:space="preserve"> schools. It found wide variation in provision, with larger schools, urban schools, </w:t>
      </w:r>
      <w:r w:rsidRPr="00E26EE2">
        <w:t>schools with lower levels of deprivation, schools with higher attainment and schools with stronger Ofsted judgements tending to describe a broader range of clubs and societies.</w:t>
      </w:r>
      <w:r w:rsidRPr="00E26EE2">
        <w:rPr>
          <w:vertAlign w:val="superscript"/>
        </w:rPr>
        <w:t>13</w:t>
      </w:r>
    </w:p>
    <w:p w:rsidR="003E3A85" w:rsidRPr="00E26EE2">
      <w:pPr>
        <w:pStyle w:val="Numberedevidenceparagraph"/>
        <w:spacing w:after="240"/>
        <w:ind w:left="720" w:hanging="720"/>
      </w:pPr>
      <w:r w:rsidRPr="00E26EE2">
        <w:t xml:space="preserve">24.       </w:t>
      </w:r>
      <w:r w:rsidRPr="00E26EE2">
        <w:t xml:space="preserve"> </w:t>
      </w:r>
      <w:r w:rsidRPr="00E26EE2">
        <w:t xml:space="preserve"> Pupils do not have equal access to enrichment beyond school. Families with the time, money, networks and transport to do so can often access a wider range of clubs, cultural activities, STEM opportunities</w:t>
      </w:r>
      <w:r w:rsidRPr="00E26EE2">
        <w:t xml:space="preserve"> and</w:t>
      </w:r>
      <w:r w:rsidRPr="00E26EE2">
        <w:t xml:space="preserve"> </w:t>
      </w:r>
      <w:r w:rsidRPr="00E26EE2">
        <w:t>sport</w:t>
      </w:r>
      <w:r w:rsidRPr="00E26EE2">
        <w:t xml:space="preserve"> and outdoor experiences. Some communities may also lack a broad range of local provision beyond school. Pupils without access to paid activities, family </w:t>
      </w:r>
      <w:r w:rsidRPr="00E26EE2">
        <w:t>networks or reliable transport may therefore depend much more heavily on school-based enrichment. If enrichment policy is intended to widen opportunity, it must be designed with these differences in mind.</w:t>
      </w:r>
    </w:p>
    <w:p w:rsidR="003E3A85" w:rsidRPr="00E26EE2" w:rsidP="00624860">
      <w:pPr>
        <w:pStyle w:val="Heading2"/>
        <w:spacing w:before="0" w:after="120"/>
        <w:ind w:left="720"/>
        <w:rPr>
          <w:rFonts w:ascii="Calibri" w:hAnsi="Calibri" w:cs="Calibri"/>
          <w:szCs w:val="22"/>
        </w:rPr>
      </w:pPr>
      <w:r w:rsidRPr="00E26EE2">
        <w:rPr>
          <w:rFonts w:ascii="Calibri" w:eastAsia="Calibri" w:hAnsi="Calibri" w:cs="Calibri"/>
          <w:szCs w:val="22"/>
        </w:rPr>
        <w:t>STEM should remain visible within enrichment policy</w:t>
      </w:r>
    </w:p>
    <w:p w:rsidR="003E3A85" w:rsidRPr="00E26EE2">
      <w:pPr>
        <w:pStyle w:val="Numberedevidenceparagraph"/>
        <w:ind w:left="720" w:hanging="720"/>
      </w:pPr>
      <w:r w:rsidRPr="00E26EE2">
        <w:t xml:space="preserve">25.        </w:t>
      </w:r>
      <w:r w:rsidRPr="00E26EE2">
        <w:t xml:space="preserve"> </w:t>
      </w:r>
      <w:r w:rsidRPr="00E26EE2">
        <w:t>We are concerned that STEM enrichment may be overlooked during the implementation of the national enrichment framework. STEM is not identified as a main category and although STEM clubs are cited under ‘wider life and future skills’, a school could meet the terms of the framework without offering any STEM-focused enrichment.</w:t>
      </w:r>
      <w:r w:rsidRPr="00E26EE2">
        <w:rPr>
          <w:vertAlign w:val="superscript"/>
        </w:rPr>
        <w:t>14</w:t>
      </w:r>
    </w:p>
    <w:p w:rsidR="003E3A85" w:rsidRPr="00E26EE2">
      <w:pPr>
        <w:pStyle w:val="Numberedevidenceparagraph"/>
        <w:ind w:left="720" w:hanging="720"/>
      </w:pPr>
      <w:r w:rsidRPr="00E26EE2">
        <w:t xml:space="preserve">26.        That matters because STEM enrichment offers experiences that are distinct from, and complementary to, classroom science, mathematics, computing and design and technology. STEM enrichment can take many forms. These </w:t>
      </w:r>
      <w:r w:rsidRPr="00E26EE2">
        <w:t>include:</w:t>
      </w:r>
      <w:r w:rsidRPr="00E26EE2">
        <w:t xml:space="preserve"> science, maths</w:t>
      </w:r>
      <w:r w:rsidRPr="00E26EE2">
        <w:t xml:space="preserve"> and computing clubs; engineering challenges; practical investigations; design and technology projects; competitions; museum and university visits; encounters with technicians and activities involving employers. These activities allow pupils to explore STEM by asking questions, developing ideas, solving practical problems and gaining first-hand experience. They help young people experience STEM as something they can participate in, not simply something they are assessed in.</w:t>
      </w:r>
    </w:p>
    <w:p w:rsidR="003E3A85" w:rsidRPr="00E26EE2">
      <w:pPr>
        <w:pStyle w:val="Numberedevidenceparagraph"/>
        <w:ind w:left="720" w:hanging="720"/>
      </w:pPr>
      <w:r w:rsidRPr="00E26EE2">
        <w:t xml:space="preserve">27.       </w:t>
      </w:r>
      <w:r w:rsidRPr="00E26EE2">
        <w:t xml:space="preserve"> </w:t>
      </w:r>
      <w:r w:rsidRPr="00E26EE2">
        <w:t xml:space="preserve"> Pupils with limited access to STEM opportunities beyond school depend most heavily on school-based provision. For these pupils, </w:t>
      </w:r>
      <w:r w:rsidRPr="00E26EE2">
        <w:t>school</w:t>
      </w:r>
      <w:r w:rsidRPr="00E26EE2">
        <w:t xml:space="preserve"> may provide their main access to STEM enrichment and careers guidance. It may be their main opportunity to meet people working in scientific, technical or engineering roles, use specialist equipment and take part in practical projects.</w:t>
      </w:r>
      <w:r w:rsidRPr="00E26EE2">
        <w:t xml:space="preserve"> These experiences can help build pupils’ science capital: their knowledge of STEM, confidence that STEM is “for people like me”, understanding of STEM careers and sense of how STEM shapes the world around them</w:t>
      </w:r>
      <w:r w:rsidRPr="00E26EE2">
        <w:t>.</w:t>
      </w:r>
      <w:r w:rsidRPr="00E26EE2">
        <w:rPr>
          <w:vertAlign w:val="superscript"/>
        </w:rPr>
        <w:t>15 16</w:t>
      </w:r>
    </w:p>
    <w:p w:rsidR="003E3A85" w:rsidRPr="00E26EE2">
      <w:pPr>
        <w:pStyle w:val="Numberedevidenceparagraph"/>
        <w:spacing w:after="240"/>
        <w:ind w:left="720" w:hanging="720"/>
      </w:pPr>
      <w:r w:rsidRPr="00E26EE2">
        <w:t xml:space="preserve">28.       </w:t>
      </w:r>
      <w:r w:rsidRPr="00E26EE2">
        <w:t xml:space="preserve"> </w:t>
      </w:r>
      <w:r w:rsidRPr="00E26EE2">
        <w:t xml:space="preserve"> Our SchoolDash analysis suggests that the STEM enrichment described by schools is not evenly distributed. General science clubs appeared more evenly </w:t>
      </w:r>
      <w:r w:rsidRPr="00E26EE2">
        <w:t xml:space="preserve">spread </w:t>
      </w:r>
      <w:r w:rsidRPr="00E26EE2">
        <w:t xml:space="preserve">but specialist biology, chemistry and physics clubs were relatively rare and were more commonly described by schools </w:t>
      </w:r>
      <w:r w:rsidRPr="00E26EE2">
        <w:t>with lower levels of deprivation, higher attainment and stronger Ofsted judgements. Maths, computing and STEM clubs also showed some of these patterns.</w:t>
      </w:r>
      <w:r w:rsidRPr="00E26EE2">
        <w:rPr>
          <w:vertAlign w:val="superscript"/>
        </w:rPr>
        <w:t>13</w:t>
      </w:r>
    </w:p>
    <w:p w:rsidR="003E3A85" w:rsidRPr="00E26EE2" w:rsidP="00624860">
      <w:pPr>
        <w:pStyle w:val="Heading2"/>
        <w:spacing w:before="0" w:after="120"/>
        <w:ind w:left="720"/>
        <w:rPr>
          <w:rFonts w:ascii="Calibri" w:hAnsi="Calibri" w:cs="Calibri"/>
          <w:szCs w:val="22"/>
        </w:rPr>
      </w:pPr>
      <w:r w:rsidRPr="00E26EE2">
        <w:rPr>
          <w:rFonts w:ascii="Calibri" w:eastAsia="Calibri" w:hAnsi="Calibri" w:cs="Calibri"/>
          <w:szCs w:val="22"/>
        </w:rPr>
        <w:t>Enrichment and careers should be aligned, but distinct</w:t>
      </w:r>
    </w:p>
    <w:p w:rsidR="003E3A85" w:rsidRPr="00E26EE2">
      <w:pPr>
        <w:pStyle w:val="Numberedevidenceparagraph"/>
        <w:ind w:left="720" w:hanging="720"/>
      </w:pPr>
      <w:r w:rsidRPr="00E26EE2">
        <w:t xml:space="preserve">29.       </w:t>
      </w:r>
      <w:r w:rsidRPr="00E26EE2">
        <w:t xml:space="preserve"> </w:t>
      </w:r>
      <w:r w:rsidRPr="00E26EE2">
        <w:t xml:space="preserve"> Whilst enrichment and careers guidance are complementary, they are not the same thing. Enrichment has a broad developmental purpose. It supports pupils’ wellbeing, life skills, enjoyment and sense of belonging. It can also support community participation and wider personal development. Careers guidance has a more specific purpose. It helps pupils make decisions about their future and move successfully into further education, training or employment. It also helps them navigate their working lives. </w:t>
      </w:r>
    </w:p>
    <w:p w:rsidR="003E3A85" w:rsidRPr="00E26EE2">
      <w:pPr>
        <w:pStyle w:val="Numberedevidenceparagraph"/>
        <w:ind w:left="720" w:hanging="720"/>
      </w:pPr>
      <w:r w:rsidRPr="00E26EE2">
        <w:t xml:space="preserve">30.       </w:t>
      </w:r>
      <w:r w:rsidRPr="00E26EE2">
        <w:t xml:space="preserve"> </w:t>
      </w:r>
      <w:r w:rsidRPr="00E26EE2">
        <w:t xml:space="preserve"> Schools cannot meet their statutory obligations around careers guidance solely through enrichment activities and the enrichment entitlement cannot be fulfilled through a </w:t>
      </w:r>
      <w:r w:rsidRPr="00E26EE2">
        <w:t>school’s</w:t>
      </w:r>
      <w:r w:rsidRPr="00E26EE2">
        <w:t xml:space="preserve"> careers programme alone. The government should explain how the enrichment entitlement, curriculum reform, the Gatsby Benchmarks and the proposed Pupil Engagement Framework will work together. The distinct purposes and lines of accountability for enrichment, careers guidance and pupil engagement must remain clear.</w:t>
      </w:r>
      <w:r w:rsidRPr="00E26EE2">
        <w:rPr>
          <w:vertAlign w:val="superscript"/>
        </w:rPr>
        <w:t>17</w:t>
      </w:r>
    </w:p>
    <w:p w:rsidR="003E3A85" w:rsidRPr="00E26EE2">
      <w:pPr>
        <w:pStyle w:val="Numberedevidenceparagraph"/>
        <w:spacing w:after="240"/>
        <w:ind w:left="720" w:hanging="720"/>
      </w:pPr>
      <w:r w:rsidRPr="00E26EE2">
        <w:t xml:space="preserve">31.        </w:t>
      </w:r>
      <w:r w:rsidRPr="00E26EE2">
        <w:t xml:space="preserve"> </w:t>
      </w:r>
      <w:r w:rsidRPr="00E26EE2">
        <w:t xml:space="preserve">This distinction is critical for implementation. </w:t>
      </w:r>
      <w:r w:rsidRPr="00E26EE2">
        <w:t>Careers leaders</w:t>
      </w:r>
      <w:r w:rsidRPr="00E26EE2">
        <w:t xml:space="preserve"> already have a strategic role in developing and managing careers programmes, embedding careers across the institution and supporting transition planning. Careers programmes</w:t>
      </w:r>
      <w:r w:rsidRPr="00E26EE2">
        <w:t xml:space="preserve"> should </w:t>
      </w:r>
      <w:r w:rsidRPr="00E26EE2">
        <w:t>link to</w:t>
      </w:r>
      <w:r w:rsidRPr="00E26EE2">
        <w:t xml:space="preserve"> wider school development priorities, including enrichment where relevant, but careers leaders should not become responsible for the wider enrichment offer by default. That would risk overloading the role, weakening careers provision and creating confusion about accountability.</w:t>
      </w:r>
    </w:p>
    <w:p w:rsidR="003E3A85" w:rsidRPr="00E26EE2" w:rsidP="00624860">
      <w:pPr>
        <w:pStyle w:val="Heading2"/>
        <w:spacing w:before="0" w:after="120"/>
        <w:ind w:left="720"/>
        <w:rPr>
          <w:rFonts w:ascii="Calibri" w:hAnsi="Calibri" w:cs="Calibri"/>
          <w:szCs w:val="22"/>
        </w:rPr>
      </w:pPr>
      <w:r w:rsidRPr="00E26EE2">
        <w:rPr>
          <w:rFonts w:ascii="Calibri" w:eastAsia="Calibri" w:hAnsi="Calibri" w:cs="Calibri"/>
          <w:szCs w:val="22"/>
        </w:rPr>
        <w:t>The Pupil Engagement Framework should build on existing tools</w:t>
      </w:r>
    </w:p>
    <w:p w:rsidR="003E3A85" w:rsidRPr="00E26EE2" w:rsidP="00744D6A">
      <w:pPr>
        <w:pStyle w:val="Numberedevidenceparagraph"/>
        <w:ind w:left="720" w:hanging="720"/>
        <w:rPr>
          <w:lang w:val="en-GB"/>
        </w:rPr>
      </w:pPr>
      <w:r w:rsidRPr="00E26EE2">
        <w:t xml:space="preserve">32.        The Pupil Engagement Framework should </w:t>
      </w:r>
      <w:r w:rsidRPr="00E26EE2">
        <w:t>build on</w:t>
      </w:r>
      <w:r w:rsidRPr="00E26EE2">
        <w:t xml:space="preserve"> established systems and tools schools already use, including those for tracking young people’s careers guidance and skills development. It should avoid creating new measures where existing tools already provide equivalent information and should support a coherent and efficient reporting process for schools. Secondary schools already have access to free tools to measure and provide insights </w:t>
      </w:r>
      <w:r w:rsidRPr="00E26EE2">
        <w:t>on</w:t>
      </w:r>
      <w:r w:rsidRPr="00E26EE2">
        <w:t xml:space="preserve"> career readiness, aspirations, intended destinations and risk of becoming not in education, employment or t</w:t>
      </w:r>
      <w:r w:rsidRPr="00E26EE2">
        <w:t xml:space="preserve">raining (NEET). This includes two tools embedded in Compass+, a digital tool widely used by schools to manage and evaluate their careers </w:t>
      </w:r>
      <w:r w:rsidRPr="00E26EE2">
        <w:t>programmes: the Future Skills Questionnaire, which asks pupils about their career-related knowledge, skills and confidence, and OnTrack+, which helps them identify pupils at risk of becoming NEET and pupils who may need additional support with their next steps.</w:t>
      </w:r>
      <w:r w:rsidRPr="00E26EE2">
        <w:rPr>
          <w:vertAlign w:val="superscript"/>
        </w:rPr>
        <w:t>18</w:t>
      </w:r>
      <w:r w:rsidRPr="00E26EE2">
        <w:t xml:space="preserve"> </w:t>
      </w:r>
      <w:r w:rsidRPr="00E26EE2">
        <w:rPr>
          <w:vertAlign w:val="superscript"/>
        </w:rPr>
        <w:t>19</w:t>
      </w:r>
    </w:p>
    <w:p w:rsidR="003E3A85" w:rsidRPr="00E26EE2">
      <w:pPr>
        <w:pStyle w:val="Numberedevidenceparagraph"/>
        <w:spacing w:after="240"/>
        <w:ind w:left="720" w:hanging="720"/>
      </w:pPr>
      <w:r w:rsidRPr="00E26EE2">
        <w:t>33.        The Future Skills Questionnaire provides a substantial national dataset on pupils’ career readiness: in 2025-26, the Careers &amp; Enterprise Company reported that more than 500,000 young people had completed it. Full analysis is due to follow.</w:t>
      </w:r>
      <w:r w:rsidRPr="00E26EE2">
        <w:rPr>
          <w:vertAlign w:val="superscript"/>
        </w:rPr>
        <w:t>20</w:t>
      </w:r>
      <w:r w:rsidRPr="00E26EE2">
        <w:t xml:space="preserve"> Evidence published by the Careers &amp; Enterprise Company links stronger achievement of the Gatsby Benchmarks with improved outcomes. These include faster improvements in career readiness and essential employability skills, more stable transitions after ages 16 and 18 and a lower risk of being outside education, employment or training – all measures that the future Pupil Engagement Framework should consider and align with, avoiding duplication, where relevant. Consideration </w:t>
      </w:r>
      <w:r w:rsidRPr="00E26EE2">
        <w:t>of existing national measures and d</w:t>
      </w:r>
      <w:r w:rsidRPr="00E26EE2">
        <w:t xml:space="preserve">ata would also help the framework measure further aspects of engagement that schools can act on, including confidence, motivation and belonging. </w:t>
      </w:r>
      <w:r w:rsidRPr="00E26EE2">
        <w:rPr>
          <w:vertAlign w:val="superscript"/>
        </w:rPr>
        <w:t>21</w:t>
      </w:r>
      <w:r w:rsidRPr="00E26EE2">
        <w:t xml:space="preserve"> </w:t>
      </w:r>
      <w:r w:rsidRPr="00E26EE2">
        <w:rPr>
          <w:vertAlign w:val="superscript"/>
        </w:rPr>
        <w:t>22</w:t>
      </w:r>
      <w:r w:rsidRPr="00E26EE2">
        <w:t xml:space="preserve"> </w:t>
      </w:r>
      <w:r w:rsidRPr="00E26EE2">
        <w:rPr>
          <w:vertAlign w:val="superscript"/>
        </w:rPr>
        <w:t>23</w:t>
      </w:r>
    </w:p>
    <w:p w:rsidR="003E3A85" w:rsidRPr="00E26EE2" w:rsidP="00624860">
      <w:pPr>
        <w:pStyle w:val="Heading2"/>
        <w:spacing w:before="0" w:after="120"/>
        <w:ind w:left="720"/>
        <w:rPr>
          <w:rFonts w:ascii="Calibri" w:hAnsi="Calibri" w:cs="Calibri"/>
          <w:szCs w:val="22"/>
        </w:rPr>
      </w:pPr>
      <w:r w:rsidRPr="00E26EE2">
        <w:rPr>
          <w:rFonts w:ascii="Calibri" w:eastAsia="Calibri" w:hAnsi="Calibri" w:cs="Calibri"/>
          <w:szCs w:val="22"/>
        </w:rPr>
        <w:t>Policy implications</w:t>
      </w:r>
    </w:p>
    <w:p w:rsidR="003E3A85" w:rsidRPr="00E26EE2">
      <w:pPr>
        <w:pStyle w:val="Numberedevidenceparagraph"/>
        <w:ind w:left="720" w:hanging="720"/>
      </w:pPr>
      <w:r w:rsidRPr="00E26EE2">
        <w:t xml:space="preserve">34.        </w:t>
      </w:r>
      <w:r w:rsidRPr="00E26EE2">
        <w:t xml:space="preserve"> </w:t>
      </w:r>
      <w:r w:rsidRPr="00E26EE2">
        <w:t xml:space="preserve">The Committee should examine whether the enrichment framework and the proposed Pupil Engagement Framework will broaden </w:t>
      </w:r>
      <w:r w:rsidRPr="00E26EE2">
        <w:t>opportunity</w:t>
      </w:r>
      <w:r w:rsidRPr="00E26EE2">
        <w:t xml:space="preserve"> for all pupils in practice. Its examination should consider whether the government is:</w:t>
      </w:r>
    </w:p>
    <w:p w:rsidR="003E3A85" w:rsidRPr="00E26EE2">
      <w:pPr>
        <w:pStyle w:val="Evidencebullet"/>
        <w:ind w:left="720" w:hanging="720"/>
      </w:pPr>
      <w:r w:rsidRPr="00E26EE2">
        <w:t>•             making clear through implementation guidance, examples and communications that a broad enrichment offer should include subject-rich STEM opportunities, including science, mathematics, computing, engineering, design and technology, practical investigation and technical activity</w:t>
      </w:r>
    </w:p>
    <w:p w:rsidR="003E3A85" w:rsidRPr="00E26EE2">
      <w:pPr>
        <w:pStyle w:val="Evidencebullet"/>
        <w:ind w:left="720" w:hanging="720"/>
      </w:pPr>
      <w:r w:rsidRPr="00E26EE2">
        <w:t>•             monitoring whether pupils have equitable access to enrichment, including STEM enrichment, by disadvantage, geography and school context, rather than relying only on whether schools can list opportunities</w:t>
      </w:r>
    </w:p>
    <w:p w:rsidR="003E3A85" w:rsidRPr="00E26EE2">
      <w:pPr>
        <w:pStyle w:val="Evidencebullet"/>
        <w:ind w:left="720" w:hanging="720"/>
      </w:pPr>
      <w:r w:rsidRPr="00E26EE2">
        <w:t>•             clarifying how enrichment, careers guidance, curriculum reform and the Pupil Engagement Framework are intended to work together, while preserving their distinct purposes and accountabilities</w:t>
      </w:r>
    </w:p>
    <w:p w:rsidR="003E3A85" w:rsidRPr="00E26EE2">
      <w:pPr>
        <w:pStyle w:val="Evidencebullet"/>
        <w:spacing w:after="240"/>
        <w:ind w:left="720" w:hanging="720"/>
      </w:pPr>
      <w:r w:rsidRPr="00E26EE2">
        <w:t>•             aligning the Pupil Engagement Framework with existing tools and evidence, including the Future Skills Questionnaire, OnTrack+, destination data and careers guidance evidence, to avoid duplication and reduce burden on schools</w:t>
      </w:r>
    </w:p>
    <w:p w:rsidR="003E3A85" w:rsidRPr="00E26EE2">
      <w:pPr>
        <w:pStyle w:val="Heading1"/>
        <w:spacing w:before="0" w:after="120"/>
        <w:rPr>
          <w:rFonts w:ascii="Calibri" w:hAnsi="Calibri" w:cs="Calibri"/>
          <w:sz w:val="22"/>
          <w:szCs w:val="22"/>
        </w:rPr>
      </w:pPr>
      <w:r w:rsidRPr="00E26EE2">
        <w:rPr>
          <w:rFonts w:ascii="Calibri" w:eastAsia="Calibri" w:hAnsi="Calibri" w:cs="Calibri"/>
          <w:sz w:val="22"/>
          <w:szCs w:val="22"/>
        </w:rPr>
        <w:t>Reducing disadvantage gaps: opportunity, specialist provision and place</w:t>
      </w:r>
    </w:p>
    <w:p w:rsidR="003E3A85" w:rsidRPr="00E26EE2">
      <w:pPr>
        <w:pStyle w:val="Numberedevidenceparagraph"/>
        <w:ind w:left="720" w:hanging="720"/>
      </w:pPr>
      <w:r w:rsidRPr="00E26EE2">
        <w:t xml:space="preserve">35.        </w:t>
      </w:r>
      <w:r w:rsidRPr="00E26EE2">
        <w:t xml:space="preserve"> </w:t>
      </w:r>
      <w:r w:rsidRPr="00E26EE2">
        <w:t>Disadvantage in education has been approached in different ways. Pupil-level measures, such as Pupil Premium eligibility, identify disadvantaged pupils within schools. Governments have also used area-based designations, such as Opportunity Areas and Education Investment Areas, to target support at places with low social mobility or persistently weak educational outcomes.</w:t>
      </w:r>
    </w:p>
    <w:p w:rsidR="003E3A85" w:rsidRPr="00E26EE2">
      <w:pPr>
        <w:pStyle w:val="Numberedevidenceparagraph"/>
        <w:ind w:left="720" w:hanging="720"/>
      </w:pPr>
      <w:r w:rsidRPr="00E26EE2">
        <w:t xml:space="preserve">36.        </w:t>
      </w:r>
      <w:r w:rsidRPr="00E26EE2">
        <w:t xml:space="preserve"> </w:t>
      </w:r>
      <w:r w:rsidRPr="00E26EE2">
        <w:t>Pupil Premium is useful because it identifies disadvantaged pupils within schools. However, it does not capture the wider context in which a school operates. Social, economic and labour-market conditions can vary widely, even between schools with similar levels of Pupil Premium eligibility. Grouping schools with similar local characteristics can therefore be useful alongside pupil-level measures, particularly where schools in different parts of the country face similar combinations of challenges.</w:t>
      </w:r>
    </w:p>
    <w:p w:rsidR="003E3A85" w:rsidRPr="00E26EE2">
      <w:pPr>
        <w:pStyle w:val="Numberedevidenceparagraph"/>
        <w:ind w:left="720" w:hanging="720"/>
      </w:pPr>
      <w:r w:rsidRPr="00E26EE2">
        <w:t>37.        The Gatsby Foundation has commissioned new analysis from SchoolDash</w:t>
      </w:r>
      <w:r w:rsidRPr="00E26EE2">
        <w:t xml:space="preserve"> to explore whether mainstream state secondary schools can usefully be grouped into clusters according to the broad socioeconomic characteristics of the areas around them, including local deprivation indicators and higher education participation. Due to </w:t>
      </w:r>
      <w:r w:rsidRPr="00E26EE2">
        <w:t>be</w:t>
      </w:r>
      <w:r w:rsidRPr="00E26EE2">
        <w:t xml:space="preserve"> published shortly, the analysis builds on earlier research and is intended to complement, not replace, measures of disadvantage at pupil level. It examines whether schools in similar social and economic contexts face common challenges in staffing, curricu</w:t>
      </w:r>
      <w:r w:rsidRPr="00E26EE2">
        <w:t>lum, enrichment and pupil destinations.</w:t>
      </w:r>
      <w:r w:rsidRPr="00E26EE2">
        <w:rPr>
          <w:vertAlign w:val="superscript"/>
        </w:rPr>
        <w:t>24</w:t>
      </w:r>
    </w:p>
    <w:p w:rsidR="003E3A85" w:rsidRPr="00E26EE2" w:rsidP="00016E27">
      <w:pPr>
        <w:pStyle w:val="Numberedevidenceparagraph"/>
        <w:ind w:left="720" w:hanging="720"/>
      </w:pPr>
      <w:r w:rsidRPr="00E26EE2">
        <w:t xml:space="preserve">38.       </w:t>
      </w:r>
      <w:r w:rsidRPr="00E26EE2">
        <w:t xml:space="preserve"> </w:t>
      </w:r>
      <w:r w:rsidRPr="00E26EE2">
        <w:t xml:space="preserve"> The clusters are generated using factors including local deprivation indicators and higher education participation. Measures such as attainment, attendance, curriculum, destinations and workforce characteristics are analysed</w:t>
      </w:r>
      <w:r w:rsidRPr="00E26EE2">
        <w:t xml:space="preserve"> afterwards, rather than being used to create the clusters. </w:t>
      </w:r>
      <w:r w:rsidRPr="00E26EE2">
        <w:t>The analysis therefore does not simply sort schools by educational outcomes; it tests whether different local social and economic contexts are associated with different patterns of opportunity and challenge. It identifies six broad clusters of mainstream state secondary schools: Affluent Suburban; Affluent High Housing Cost; Suburban Middle England; Urban London; Poor Suburban and Coastal, and Poor Urban. These labels are shorthand descriptions and</w:t>
      </w:r>
      <w:r w:rsidRPr="00E26EE2">
        <w:t xml:space="preserve"> will not describe every school within a cluster. Although some clusters have clear geographic patterns, for example Urban London and Poor Suburban and Coastal, they are not simply regional categories. Their value is that they show how schools in different parts of the country can face similar combinations of challenge because of their local context.</w:t>
      </w:r>
      <w:r w:rsidRPr="00E26EE2">
        <w:rPr>
          <w:vertAlign w:val="superscript"/>
        </w:rPr>
        <w:t>24</w:t>
      </w:r>
    </w:p>
    <w:p w:rsidR="003E3A85" w:rsidRPr="00E26EE2">
      <w:pPr>
        <w:pStyle w:val="Numberedevidenceparagraph"/>
        <w:ind w:left="720" w:hanging="720"/>
      </w:pPr>
      <w:r w:rsidRPr="00E26EE2">
        <w:t xml:space="preserve">39.       </w:t>
      </w:r>
      <w:r w:rsidRPr="00E26EE2">
        <w:t xml:space="preserve"> </w:t>
      </w:r>
      <w:r w:rsidRPr="00E26EE2">
        <w:t xml:space="preserve"> The value of this analysis is that it broadens how disadvantage is understood. Reducing disadvantage gaps requires action on the factors that affect pupils’ access to a broad and high-</w:t>
      </w:r>
      <w:r w:rsidRPr="00E26EE2">
        <w:t>quality education, not only action on attainment. These factors include specialist staffing, curriculum breadth, enrichment, careers guidance and progression routes. A policy approach focused only on attainment data may overlook barriers linked to pupils’ school and local area that affect their opportunities and future outcomes.</w:t>
      </w:r>
    </w:p>
    <w:p w:rsidR="003E3A85" w:rsidRPr="00E26EE2">
      <w:pPr>
        <w:pStyle w:val="Numberedevidenceparagraph"/>
        <w:ind w:left="720" w:hanging="720"/>
      </w:pPr>
      <w:r w:rsidRPr="00E26EE2">
        <w:t xml:space="preserve">40.       </w:t>
      </w:r>
      <w:r w:rsidRPr="00E26EE2">
        <w:t xml:space="preserve"> </w:t>
      </w:r>
      <w:r w:rsidRPr="00E26EE2">
        <w:t xml:space="preserve"> Curriculum and subject participation vary between clusters. The findings suggest that GCSE triple science entry and A-level physics participation vary by income deprivation, while other patterns are less straightforward. Affluent High Housing Cost and Urban London schools have particularly high entry rates for GCSE languages, A-level maths</w:t>
      </w:r>
      <w:r w:rsidRPr="00E26EE2">
        <w:t xml:space="preserve"> and A-level chemistry. Urban London also stands out for A-level computing. By contrast, Poor Suburban and Coastal and Poor Urban schools show weaker patterns of participation in several subject areas, including triple science and STEM subjects.</w:t>
      </w:r>
      <w:r w:rsidRPr="00E26EE2">
        <w:rPr>
          <w:vertAlign w:val="superscript"/>
        </w:rPr>
        <w:t>24</w:t>
      </w:r>
    </w:p>
    <w:p w:rsidR="003E3A85" w:rsidRPr="00E26EE2">
      <w:pPr>
        <w:pStyle w:val="Numberedevidenceparagraph"/>
        <w:ind w:left="720" w:hanging="720"/>
      </w:pPr>
      <w:r w:rsidRPr="00E26EE2">
        <w:t xml:space="preserve">41.       </w:t>
      </w:r>
      <w:r w:rsidRPr="00E26EE2">
        <w:t xml:space="preserve"> </w:t>
      </w:r>
      <w:r w:rsidRPr="00E26EE2">
        <w:t xml:space="preserve"> These differences in subject participation should be considered when assessing educational </w:t>
      </w:r>
      <w:r w:rsidRPr="00E26EE2">
        <w:t>disadvantage</w:t>
      </w:r>
      <w:r w:rsidRPr="00E26EE2">
        <w:t xml:space="preserve">. Pupils’ access to subject-rich curriculum pathways is not only a matter of individual attainment or aspiration. It is also affected by school context, staffing, the opportunities, services and networks available locally and the range of progression routes open to pupils. Lower participation in triple science, A-level physics and other STEM pathways can limit pupils’ later choices. </w:t>
      </w:r>
    </w:p>
    <w:p w:rsidR="003E3A85" w:rsidRPr="00E26EE2" w:rsidP="000675DA">
      <w:pPr>
        <w:pStyle w:val="Numberedevidenceparagraph"/>
        <w:ind w:left="720" w:hanging="720"/>
        <w:rPr>
          <w:lang w:val="en-GB"/>
        </w:rPr>
      </w:pPr>
      <w:r w:rsidRPr="00E26EE2">
        <w:t>42</w:t>
      </w:r>
      <w:r w:rsidRPr="00E26EE2">
        <w:t xml:space="preserve">.       </w:t>
      </w:r>
      <w:r w:rsidRPr="00E26EE2">
        <w:tab/>
      </w:r>
      <w:r w:rsidRPr="00E26EE2">
        <w:t>Specialist</w:t>
      </w:r>
      <w:r w:rsidRPr="00E26EE2">
        <w:t xml:space="preserve"> teacher supply is also part of disadvantage policy. Previous Gatsby-commissioned research found that schools serving more disadvantaged communities were more likely to report recruitment difficulties, rely on non-specialist or supply teachers and experience disruption when posts remained </w:t>
      </w:r>
      <w:r w:rsidRPr="00E26EE2">
        <w:t>vacant.²</w:t>
      </w:r>
      <w:r w:rsidRPr="00E26EE2">
        <w:t>⁵</w:t>
      </w:r>
      <w:r w:rsidRPr="00E26EE2">
        <w:t xml:space="preserve"> </w:t>
      </w:r>
    </w:p>
    <w:p w:rsidR="003E3A85" w:rsidRPr="00E26EE2" w:rsidP="000675DA">
      <w:pPr>
        <w:pStyle w:val="Numberedevidenceparagraph"/>
        <w:ind w:left="720" w:hanging="720"/>
        <w:rPr>
          <w:bCs/>
          <w:lang w:val="en-GB"/>
        </w:rPr>
      </w:pPr>
      <w:r w:rsidRPr="00E26EE2">
        <w:rPr>
          <w:b/>
        </w:rPr>
        <w:t xml:space="preserve">43.        </w:t>
      </w:r>
      <w:r w:rsidRPr="00E26EE2">
        <w:rPr>
          <w:bCs/>
        </w:rPr>
        <w:t>The new SchoolDash</w:t>
      </w:r>
      <w:r w:rsidRPr="00E26EE2">
        <w:rPr>
          <w:bCs/>
        </w:rPr>
        <w:t xml:space="preserve"> analysis adds a local dimension to this evidence. Poorer groups of schools tend to have younger teachers, higher sickness rates and more vacancies. Urban London and Poor Urban schools show </w:t>
      </w:r>
      <w:r w:rsidRPr="00E26EE2">
        <w:rPr>
          <w:bCs/>
        </w:rPr>
        <w:t>particular signs</w:t>
      </w:r>
      <w:r w:rsidRPr="00E26EE2">
        <w:rPr>
          <w:bCs/>
        </w:rPr>
        <w:t xml:space="preserve"> of staff movement and reliance on agency or supply teachers, while Affluent High Housing Cost and Urban London schools have high staff turnover and difficulty retaining teachers in the state </w:t>
      </w:r>
      <w:r w:rsidRPr="00E26EE2">
        <w:rPr>
          <w:bCs/>
        </w:rPr>
        <w:t>system.²</w:t>
      </w:r>
      <w:r w:rsidRPr="00E26EE2">
        <w:rPr>
          <w:bCs/>
        </w:rPr>
        <w:t>⁴</w:t>
      </w:r>
    </w:p>
    <w:p w:rsidR="003E3A85" w:rsidRPr="00E26EE2" w:rsidP="000675DA">
      <w:pPr>
        <w:pStyle w:val="Numberedevidenceparagraph"/>
        <w:ind w:left="720" w:hanging="720"/>
        <w:rPr>
          <w:lang w:val="en-GB"/>
        </w:rPr>
      </w:pPr>
      <w:r w:rsidRPr="00E26EE2">
        <w:rPr>
          <w:b/>
        </w:rPr>
        <w:t xml:space="preserve">44.        </w:t>
      </w:r>
      <w:r w:rsidRPr="00E26EE2">
        <w:rPr>
          <w:bCs/>
        </w:rPr>
        <w:t>The government should therefore monitor not only how many teachers are recruited nationally, but where specialist teachers work and whether schools serving disadvantaged communities can retain them.</w:t>
      </w:r>
    </w:p>
    <w:p w:rsidR="003E3A85" w:rsidRPr="00E26EE2">
      <w:pPr>
        <w:pStyle w:val="Numberedevidenceparagraph"/>
        <w:ind w:left="720" w:hanging="720"/>
      </w:pPr>
      <w:r w:rsidRPr="00E26EE2">
        <w:t xml:space="preserve">45.        </w:t>
      </w:r>
      <w:r w:rsidRPr="00E26EE2">
        <w:t xml:space="preserve"> </w:t>
      </w:r>
      <w:r w:rsidRPr="00E26EE2">
        <w:t xml:space="preserve">Disadvantage policy should also consider pupils’ routes into further education, higher education, training or employment, or whether they become NEET. The findings on pupil destinations suggest that NEET outcomes at 16 and 18 vary by income deprivation, while other destinations show different patterns. At age 16, progression to further education is higher in Suburban Middle England, Poor Suburban and Coastal, and Poor Urban schools. At age 18, progression to higher education is higher in Affluent Suburban, </w:t>
      </w:r>
      <w:r w:rsidRPr="00E26EE2">
        <w:t xml:space="preserve">Affluent High Housing Cost and Urban London schools. These differences do not imply that one route is better than another. Rather, they show that pupils in different contexts may follow different post-school pathways and that all routes need to be high quality, well understood and properly supported. This should prompt scrutiny of whether pupils in different contexts </w:t>
      </w:r>
      <w:r w:rsidRPr="00E26EE2">
        <w:t>have access to the information, guidance, curriculum routes, employer links and post-16 options</w:t>
      </w:r>
      <w:r w:rsidRPr="00E26EE2">
        <w:t xml:space="preserve"> they need.</w:t>
      </w:r>
      <w:r w:rsidRPr="00E26EE2">
        <w:rPr>
          <w:vertAlign w:val="superscript"/>
        </w:rPr>
        <w:t>24</w:t>
      </w:r>
    </w:p>
    <w:p w:rsidR="003E3A85" w:rsidRPr="00E26EE2">
      <w:pPr>
        <w:pStyle w:val="Numberedevidenceparagraph"/>
        <w:ind w:left="720" w:hanging="720"/>
      </w:pPr>
      <w:r w:rsidRPr="00E26EE2">
        <w:t xml:space="preserve">46.        </w:t>
      </w:r>
      <w:r w:rsidRPr="00E26EE2">
        <w:t xml:space="preserve"> </w:t>
      </w:r>
      <w:r w:rsidRPr="00E26EE2">
        <w:t xml:space="preserve">The broader policy implication is that </w:t>
      </w:r>
      <w:r w:rsidRPr="00E26EE2">
        <w:t>disadvantage</w:t>
      </w:r>
      <w:r w:rsidRPr="00E26EE2">
        <w:t xml:space="preserve"> should not be understood through a single measure or outcome. The government should not create a new accountability category or replace existing disadvantage measures. Rather, richer place-based analysis should sit alongside pupil-level measures. Existing measures identify disadvantaged pupils within schools, while wider contextual analysis can help identify where schools face common barriers to specialist staffing, curriculum breadth, enrichment, careers </w:t>
      </w:r>
      <w:r w:rsidRPr="00E26EE2">
        <w:t>guidance and progression.</w:t>
      </w:r>
    </w:p>
    <w:p w:rsidR="003E3A85" w:rsidRPr="00E26EE2">
      <w:pPr>
        <w:pStyle w:val="Numberedevidenceparagraph"/>
        <w:spacing w:after="240"/>
        <w:ind w:left="720" w:hanging="720"/>
      </w:pPr>
      <w:r w:rsidRPr="00E26EE2">
        <w:t xml:space="preserve">47.       </w:t>
      </w:r>
      <w:r w:rsidRPr="00E26EE2">
        <w:t xml:space="preserve"> </w:t>
      </w:r>
      <w:r w:rsidRPr="00E26EE2">
        <w:t xml:space="preserve"> This contextual analysis could help inform the government’s proposed reforms to disadvantage funding – the government is already considering household income data and whether funding should also reflect where a child lives. National reforms will not have the same impact in every school. Schools face different combinations of staffing instability, transport barriers, local labour-market conditions, subject participation patterns and post-16 pathways. The Committee should therefore scrutinise</w:t>
      </w:r>
      <w:r w:rsidRPr="00E26EE2">
        <w:t xml:space="preserve"> whether the reforms take account of differences between schools and local areas, not only national averages. Local and regional bodies, including strategic authorities where they exist, are taking a greater role in shaping education and skills priorities. Place-based analysis could help them identify challenges shared by schools across existing administrative boundaries.</w:t>
      </w:r>
    </w:p>
    <w:p w:rsidR="003E3A85" w:rsidRPr="00E26EE2" w:rsidP="00624860">
      <w:pPr>
        <w:pStyle w:val="Heading2"/>
        <w:spacing w:before="0" w:after="120"/>
        <w:ind w:left="720"/>
        <w:rPr>
          <w:rFonts w:ascii="Calibri" w:hAnsi="Calibri" w:cs="Calibri"/>
          <w:szCs w:val="22"/>
        </w:rPr>
      </w:pPr>
      <w:r w:rsidRPr="00E26EE2">
        <w:rPr>
          <w:rFonts w:ascii="Calibri" w:eastAsia="Calibri" w:hAnsi="Calibri" w:cs="Calibri"/>
          <w:szCs w:val="22"/>
        </w:rPr>
        <w:t>Policy implications</w:t>
      </w:r>
    </w:p>
    <w:p w:rsidR="003E3A85" w:rsidRPr="00E26EE2">
      <w:pPr>
        <w:pStyle w:val="Numberedevidenceparagraph"/>
        <w:ind w:left="720" w:hanging="720"/>
      </w:pPr>
      <w:r w:rsidRPr="00E26EE2">
        <w:t>48.        The Committee should consider whether disadvantage policy addresses opportunity, access and school context, as well as attainment. Its inquiry should consider whether the government is:</w:t>
      </w:r>
    </w:p>
    <w:p w:rsidR="003E3A85" w:rsidRPr="00E26EE2">
      <w:pPr>
        <w:pStyle w:val="Evidencebullet"/>
        <w:ind w:left="720" w:hanging="720"/>
      </w:pPr>
      <w:r w:rsidRPr="00E26EE2">
        <w:t>•             using richer place-based analysis alongside existing pupil-level measures to identify groups of schools facing similar combinations of challenge, including barriers to curriculum breadth, specialist staffing, enrichment and progression</w:t>
      </w:r>
    </w:p>
    <w:p w:rsidR="003E3A85" w:rsidRPr="00E26EE2">
      <w:pPr>
        <w:pStyle w:val="Evidencebullet"/>
        <w:ind w:left="720" w:hanging="720"/>
      </w:pPr>
      <w:r w:rsidRPr="00E26EE2">
        <w:t>•             treating specialist teacher supply as part of its disadvantage policy, particularly in STEM subjects where shortages can affect curriculum quality, practical learning and progression</w:t>
      </w:r>
    </w:p>
    <w:p w:rsidR="003E3A85" w:rsidRPr="00E26EE2">
      <w:pPr>
        <w:pStyle w:val="Evidencebullet"/>
        <w:ind w:left="720" w:hanging="720"/>
      </w:pPr>
      <w:r w:rsidRPr="00E26EE2">
        <w:t>•             monitoring access to subject-rich curriculum pathways, including GCSE triple science, A-level physics and other STEM subjects, by disadvantage, geography and school context</w:t>
      </w:r>
    </w:p>
    <w:p w:rsidR="003E3A85" w:rsidRPr="00E26EE2">
      <w:pPr>
        <w:pStyle w:val="Evidencebullet"/>
        <w:spacing w:after="240"/>
        <w:ind w:left="720" w:hanging="720"/>
      </w:pPr>
      <w:r w:rsidRPr="00E26EE2">
        <w:t>•             ensuring that place-based interventions address the conditions that enable a broad education, including stable specialist teaching, access to practical and technical learning, enrichment, careers guidance and clear progression routes</w:t>
      </w:r>
    </w:p>
    <w:p w:rsidR="003E3A85" w:rsidRPr="00E26EE2">
      <w:pPr>
        <w:pStyle w:val="Heading1"/>
        <w:spacing w:before="0" w:after="120"/>
        <w:rPr>
          <w:rFonts w:ascii="Calibri" w:hAnsi="Calibri" w:cs="Calibri"/>
          <w:sz w:val="22"/>
          <w:szCs w:val="22"/>
        </w:rPr>
      </w:pPr>
      <w:r w:rsidRPr="00E26EE2">
        <w:rPr>
          <w:rFonts w:ascii="Calibri" w:eastAsia="Calibri" w:hAnsi="Calibri" w:cs="Calibri"/>
          <w:sz w:val="22"/>
          <w:szCs w:val="22"/>
        </w:rPr>
        <w:t>Essential skills, curriculum relevance and progression</w:t>
      </w:r>
    </w:p>
    <w:p w:rsidR="003E3A85" w:rsidRPr="00E26EE2" w:rsidP="00282CFD">
      <w:pPr>
        <w:pStyle w:val="Numberedevidenceparagraph"/>
        <w:ind w:left="720" w:hanging="720"/>
        <w:rPr>
          <w:lang w:val="en-GB"/>
        </w:rPr>
      </w:pPr>
      <w:r w:rsidRPr="00E26EE2">
        <w:t xml:space="preserve">49.        </w:t>
      </w:r>
      <w:r w:rsidRPr="00E26EE2">
        <w:rPr>
          <w:lang w:val="en-GB"/>
        </w:rPr>
        <w:t xml:space="preserve"> Essential skills help young people apply knowledge, learn effectively and work with others. Evidence suggests that essential skills support attainment, employment and wellbeing. As transferable skills they should be embedded in effective curriculum design rather than treated as a separate employability add-on.</w:t>
      </w:r>
      <w:r w:rsidRPr="00E26EE2">
        <w:rPr>
          <w:vertAlign w:val="superscript"/>
        </w:rPr>
        <w:t>26</w:t>
      </w:r>
    </w:p>
    <w:p w:rsidR="003E3A85" w:rsidRPr="00E26EE2">
      <w:pPr>
        <w:pStyle w:val="Numberedevidenceparagraph"/>
        <w:ind w:left="720" w:hanging="720"/>
      </w:pPr>
      <w:r w:rsidRPr="00E26EE2">
        <w:rPr>
          <w:lang w:val="en-GB"/>
        </w:rPr>
        <w:t>50.</w:t>
      </w:r>
      <w:r w:rsidRPr="00E26EE2">
        <w:rPr>
          <w:lang w:val="en-GB"/>
        </w:rPr>
        <w:tab/>
      </w:r>
      <w:r w:rsidRPr="00E26EE2">
        <w:rPr>
          <w:lang w:val="en-GB"/>
        </w:rPr>
        <w:t xml:space="preserve">    </w:t>
      </w:r>
      <w:r w:rsidRPr="00E26EE2">
        <w:t>However, they are often poorly defined in the curriculum and schools teach them inconsistently. Pupils, parents, teachers and employers may also understand them differently. The task is not to add more content to an already crowded curriculum, but to make essential skills visible and teachable.</w:t>
      </w:r>
      <w:r w:rsidRPr="00E26EE2">
        <w:t xml:space="preserve">   </w:t>
      </w:r>
      <w:r w:rsidRPr="00E26EE2">
        <w:rPr>
          <w:vertAlign w:val="superscript"/>
        </w:rPr>
        <w:t>27</w:t>
      </w:r>
    </w:p>
    <w:p w:rsidR="003E3A85" w:rsidRPr="00E26EE2">
      <w:pPr>
        <w:pStyle w:val="Numberedevidenceparagraph"/>
        <w:ind w:left="720" w:hanging="720"/>
      </w:pPr>
    </w:p>
    <w:p w:rsidR="003E3A85" w:rsidRPr="00E26EE2">
      <w:pPr>
        <w:pStyle w:val="Numberedevidenceparagraph"/>
        <w:ind w:left="720" w:hanging="720"/>
      </w:pPr>
      <w:r w:rsidRPr="00E26EE2">
        <w:t>51.         A common language matters. Previous attempts to promote ‘employability’, ‘life’ or ‘soft’ skills have often lacked shared definitions, progression and consistent use across education and employment. The Skills Builder Universal Framework provides one well-established model, breaking essential skills into measurable and teachable steps. Skills England has developed the Standard Skills Classification: standardised</w:t>
      </w:r>
      <w:r w:rsidRPr="00E26EE2">
        <w:t xml:space="preserve"> lists of the skills, knowledge and tasks required for UK occupations. These tools provide an opportunity to create a clearer shared language across education, employment and skills policy. Implementation should build on these existing frameworks rather than creating another set of terminology that schools and employers struggle to apply in practice.</w:t>
      </w:r>
      <w:r w:rsidRPr="00E26EE2">
        <w:rPr>
          <w:vertAlign w:val="superscript"/>
        </w:rPr>
        <w:t>28 29</w:t>
      </w:r>
    </w:p>
    <w:p w:rsidR="003E3A85" w:rsidRPr="00E26EE2">
      <w:pPr>
        <w:pStyle w:val="Numberedevidenceparagraph"/>
        <w:ind w:left="720" w:hanging="720"/>
        <w:rPr>
          <w:vertAlign w:val="superscript"/>
        </w:rPr>
      </w:pPr>
    </w:p>
    <w:p w:rsidR="003E3A85" w:rsidRPr="00E26EE2">
      <w:pPr>
        <w:pStyle w:val="Numberedevidenceparagraph"/>
        <w:ind w:left="720" w:hanging="720"/>
        <w:rPr>
          <w:vertAlign w:val="superscript"/>
        </w:rPr>
      </w:pPr>
      <w:r w:rsidRPr="00E26EE2">
        <w:t xml:space="preserve">52.         Skills frameworks also complement the Gatsby Benchmarks for good careers guidance. A framework such as Skills Builder can help pupils identify and articulate the skills they are developing. </w:t>
      </w:r>
      <w:r w:rsidRPr="00E26EE2">
        <w:t xml:space="preserve">Gatsby Benchmark 4, </w:t>
      </w:r>
      <w:r w:rsidRPr="00E26EE2">
        <w:rPr>
          <w:i/>
          <w:iCs/>
        </w:rPr>
        <w:t>Linking curriculum learning to careers</w:t>
      </w:r>
      <w:r w:rsidRPr="00E26EE2">
        <w:t xml:space="preserve">, helps pupils understand how subject knowledge and essential skills are used in the labour market. </w:t>
      </w:r>
      <w:r w:rsidRPr="00E26EE2">
        <w:t>The Future Skills Questionnaire also gives schools a way to understand pupils’ career readiness, including career confidence, skills and preparation for transition. Evidence from the Careers &amp; Enterprise Company found that stronger careers guidance (as measured through the Gatsby Benchmarks) is associated with faster development of essential skills and career readiness. Careers guidance can therefore make the curriculum more relevant without turning subject teaching into narrow occupation-focused learning. </w:t>
      </w:r>
      <w:r w:rsidRPr="00E26EE2">
        <w:rPr>
          <w:vertAlign w:val="superscript"/>
        </w:rPr>
        <w:t>17 18 22</w:t>
      </w:r>
    </w:p>
    <w:p w:rsidR="003E3A85" w:rsidRPr="00E26EE2">
      <w:pPr>
        <w:pStyle w:val="Numberedevidenceparagraph"/>
        <w:ind w:left="720" w:hanging="720"/>
      </w:pPr>
      <w:r w:rsidRPr="00E26EE2">
        <w:t>53.         Essential skills should be acknowledged explicitly, practised repeatedly and linked to real contexts. All subjects provide opportunities to develop essential skills</w:t>
      </w:r>
      <w:r w:rsidRPr="00E26EE2">
        <w:t>,</w:t>
      </w:r>
      <w:r w:rsidRPr="00E26EE2">
        <w:t xml:space="preserve"> although the level and emphasis will vary from subject to subject. Essential skills should also be reinforced through careers guidance, enrichment, technical education and other applied learning. The important point is that essential skills should not be assumed to arise incidentally. Young people with fewer opportunities outside school may benefit most, particularly through building confidence, networks and experience of different workplaces.</w:t>
      </w:r>
      <w:r w:rsidRPr="00E26EE2">
        <w:rPr>
          <w:vertAlign w:val="superscript"/>
        </w:rPr>
        <w:t>26 28</w:t>
      </w:r>
    </w:p>
    <w:p w:rsidR="003E3A85" w:rsidRPr="00E26EE2">
      <w:pPr>
        <w:pStyle w:val="Numberedevidenceparagraph"/>
        <w:ind w:left="720" w:hanging="720"/>
      </w:pPr>
      <w:r w:rsidRPr="00E26EE2">
        <w:t>54.         Assessment should be proportionate and primarily used to support learning. Pupils’ essential skills often depend on what they can regularly do in different situations, including with others, so these skills are not well-suited to a written test.</w:t>
      </w:r>
      <w:r w:rsidRPr="00E26EE2">
        <w:t xml:space="preserve"> </w:t>
      </w:r>
      <w:r w:rsidRPr="00E26EE2">
        <w:t xml:space="preserve">Instead, schools could use several forms of proportionate assessment, including structured self-assessment, for example using the Skills </w:t>
      </w:r>
      <w:r w:rsidRPr="00E26EE2">
        <w:t>Builder questionnaire; teacher assessment; evidence from portfolios or project work; and, where relevant, feedback from employers and other school partners.</w:t>
      </w:r>
      <w:r w:rsidRPr="00E26EE2">
        <w:t xml:space="preserve"> The purpose should be to support progression and help pupils recognise and demonstrate their skills, not to create another qualification with limited labour-market value.</w:t>
      </w:r>
      <w:r w:rsidRPr="00E26EE2">
        <w:rPr>
          <w:vertAlign w:val="superscript"/>
        </w:rPr>
        <w:t>27 30</w:t>
      </w:r>
    </w:p>
    <w:p w:rsidR="003E3A85" w:rsidRPr="00E26EE2" w:rsidP="00371351">
      <w:pPr>
        <w:pStyle w:val="Numberedevidenceparagraph"/>
        <w:spacing w:after="240"/>
        <w:ind w:left="720" w:hanging="720"/>
      </w:pPr>
      <w:r w:rsidRPr="00E26EE2">
        <w:t xml:space="preserve">55.         Essential skills can also form part of a wider strategy to reduce NEET risk. They will not, on their own, overcome weak labour demand, poor health, transport barriers, poverty or a lack of suitable post-16 pathways. However, essential skills can reduce some barriers to young people’s progression, particularly when pupils are supported to recognise, practise and articulate those skills through curriculum learning, careers guidance (including meaningful contact with employers), and enrichment. </w:t>
      </w:r>
      <w:r w:rsidRPr="00E26EE2">
        <w:t>This would support young people to prepare for next steps including supported internships, apprenticeships, specialist SEND provision, vocational pathways for 14- to 16-year-olds, post-16 transition programmes and targeted youth support</w:t>
      </w:r>
      <w:r w:rsidRPr="00E26EE2">
        <w:t>.</w:t>
      </w:r>
      <w:r w:rsidRPr="00E26EE2">
        <w:rPr>
          <w:vertAlign w:val="superscript"/>
        </w:rPr>
        <w:t>26 27</w:t>
      </w:r>
    </w:p>
    <w:p w:rsidR="003E3A85" w:rsidRPr="00E26EE2" w:rsidP="00624860">
      <w:pPr>
        <w:pStyle w:val="Heading2"/>
        <w:spacing w:before="0" w:after="120"/>
        <w:ind w:left="720"/>
        <w:rPr>
          <w:rFonts w:ascii="Calibri" w:hAnsi="Calibri" w:cs="Calibri"/>
          <w:szCs w:val="22"/>
        </w:rPr>
      </w:pPr>
      <w:r w:rsidRPr="00E26EE2">
        <w:rPr>
          <w:rFonts w:ascii="Calibri" w:eastAsia="Calibri" w:hAnsi="Calibri" w:cs="Calibri"/>
          <w:szCs w:val="22"/>
        </w:rPr>
        <w:t>Policy implications</w:t>
      </w:r>
    </w:p>
    <w:p w:rsidR="003E3A85" w:rsidRPr="00E26EE2">
      <w:pPr>
        <w:pStyle w:val="Numberedevidenceparagraph"/>
        <w:ind w:left="720" w:hanging="720"/>
      </w:pPr>
      <w:r w:rsidRPr="00E26EE2">
        <w:t xml:space="preserve">56.        </w:t>
      </w:r>
      <w:r w:rsidRPr="00E26EE2">
        <w:t xml:space="preserve"> </w:t>
      </w:r>
      <w:r w:rsidRPr="00E26EE2">
        <w:t>The Committee may wish to examine whether implementation:</w:t>
      </w:r>
    </w:p>
    <w:p w:rsidR="003E3A85" w:rsidRPr="00E26EE2">
      <w:pPr>
        <w:pStyle w:val="Evidencebullet"/>
        <w:ind w:left="720" w:hanging="720"/>
      </w:pPr>
      <w:r w:rsidRPr="00E26EE2">
        <w:t xml:space="preserve">•             treats essential skills as part of curriculum design, rather than as </w:t>
      </w:r>
      <w:r w:rsidRPr="00E26EE2">
        <w:t>an</w:t>
      </w:r>
      <w:r w:rsidRPr="00E26EE2">
        <w:t xml:space="preserve"> employability add-on</w:t>
      </w:r>
    </w:p>
    <w:p w:rsidR="003E3A85" w:rsidRPr="00E26EE2">
      <w:pPr>
        <w:pStyle w:val="Evidencebullet"/>
        <w:ind w:left="720" w:hanging="720"/>
      </w:pPr>
      <w:r w:rsidRPr="00E26EE2">
        <w:t>•             builds on existing frameworks, including the Skills Builder Universal Framework and the Standard Skills Classification</w:t>
      </w:r>
    </w:p>
    <w:p w:rsidR="003E3A85" w:rsidRPr="00E26EE2">
      <w:pPr>
        <w:pStyle w:val="Evidencebullet"/>
        <w:ind w:left="720" w:hanging="720"/>
      </w:pPr>
      <w:r w:rsidRPr="00E26EE2">
        <w:t xml:space="preserve">•             supports schools and colleges to </w:t>
      </w:r>
      <w:r w:rsidRPr="00E26EE2">
        <w:t>embed</w:t>
      </w:r>
      <w:r w:rsidRPr="00E26EE2">
        <w:t xml:space="preserve">, </w:t>
      </w:r>
      <w:r w:rsidRPr="00E26EE2">
        <w:t xml:space="preserve">teach and develop essential skills across subjects, </w:t>
      </w:r>
      <w:r w:rsidRPr="00E26EE2">
        <w:t>care</w:t>
      </w:r>
      <w:r w:rsidRPr="00E26EE2">
        <w:t>ers guidanc</w:t>
      </w:r>
      <w:r w:rsidRPr="00E26EE2">
        <w:t>e</w:t>
      </w:r>
      <w:r w:rsidRPr="00E26EE2">
        <w:t>,</w:t>
      </w:r>
      <w:r w:rsidRPr="00E26EE2">
        <w:t xml:space="preserve"> </w:t>
      </w:r>
      <w:r w:rsidRPr="00E26EE2">
        <w:t>enrichment and wider school activity</w:t>
      </w:r>
    </w:p>
    <w:p w:rsidR="003E3A85" w:rsidRPr="00E26EE2">
      <w:pPr>
        <w:pStyle w:val="Evidencebullet"/>
        <w:ind w:left="720" w:hanging="720"/>
      </w:pPr>
      <w:r w:rsidRPr="00E26EE2">
        <w:t xml:space="preserve">•             </w:t>
      </w:r>
      <w:r w:rsidRPr="00E26EE2">
        <w:t>ackno</w:t>
      </w:r>
      <w:r w:rsidRPr="00E26EE2">
        <w:t>wledges t</w:t>
      </w:r>
      <w:r w:rsidRPr="00E26EE2">
        <w:t xml:space="preserve">he </w:t>
      </w:r>
      <w:r w:rsidRPr="00E26EE2">
        <w:t xml:space="preserve">links </w:t>
      </w:r>
      <w:r w:rsidRPr="00E26EE2">
        <w:t xml:space="preserve">between </w:t>
      </w:r>
      <w:r w:rsidRPr="00E26EE2">
        <w:t xml:space="preserve">essential skills </w:t>
      </w:r>
      <w:r w:rsidRPr="00E26EE2">
        <w:t>a</w:t>
      </w:r>
      <w:r w:rsidRPr="00E26EE2">
        <w:t>nd</w:t>
      </w:r>
      <w:r w:rsidRPr="00E26EE2">
        <w:t xml:space="preserve"> careers guidance, employer engagement and work-related learning, </w:t>
      </w:r>
      <w:r w:rsidRPr="00E26EE2">
        <w:t>including through</w:t>
      </w:r>
      <w:r w:rsidRPr="00E26EE2">
        <w:t xml:space="preserve"> Gatsby Benchmark 4, so pupils understand where these skills are used and why they are important</w:t>
      </w:r>
    </w:p>
    <w:p w:rsidR="003E3A85" w:rsidRPr="00E26EE2">
      <w:pPr>
        <w:pStyle w:val="Evidencebullet"/>
        <w:ind w:left="720" w:hanging="720"/>
      </w:pPr>
      <w:r w:rsidRPr="00E26EE2">
        <w:t>•             develops proportionate assessment and reporting approaches that support learner progress without creating new high-stakes tests</w:t>
      </w:r>
    </w:p>
    <w:p w:rsidR="003E3A85" w:rsidRPr="00E26EE2">
      <w:pPr>
        <w:pStyle w:val="Evidencebullet"/>
        <w:ind w:left="720" w:hanging="720"/>
      </w:pPr>
      <w:r w:rsidRPr="00E26EE2">
        <w:t>•             ensures essential skills form part of wider support for pupils at risk of becoming NEET, alongside high-quality pathways, careers guidance</w:t>
      </w:r>
      <w:r w:rsidRPr="00E26EE2">
        <w:t xml:space="preserve"> inclu</w:t>
      </w:r>
      <w:r w:rsidRPr="00E26EE2">
        <w:t>ding</w:t>
      </w:r>
      <w:r w:rsidRPr="00E26EE2">
        <w:t xml:space="preserve"> employer links</w:t>
      </w:r>
      <w:r w:rsidRPr="00E26EE2">
        <w:t>,</w:t>
      </w:r>
      <w:r w:rsidRPr="00E26EE2">
        <w:t xml:space="preserve"> and targeted transition support</w:t>
      </w:r>
    </w:p>
    <w:p w:rsidR="003E3A85" w:rsidRPr="00E26EE2">
      <w:pPr>
        <w:pStyle w:val="Heading1"/>
        <w:spacing w:before="240" w:after="120"/>
        <w:rPr>
          <w:rFonts w:ascii="Calibri" w:hAnsi="Calibri" w:cs="Calibri"/>
          <w:sz w:val="22"/>
          <w:szCs w:val="22"/>
        </w:rPr>
      </w:pPr>
      <w:r w:rsidRPr="00E26EE2">
        <w:rPr>
          <w:rFonts w:ascii="Calibri" w:eastAsia="Calibri" w:hAnsi="Calibri" w:cs="Calibri"/>
          <w:sz w:val="22"/>
          <w:szCs w:val="22"/>
        </w:rPr>
        <w:t>References</w:t>
      </w:r>
    </w:p>
    <w:p w:rsidR="003E3A85" w:rsidRPr="00E26EE2">
      <w:pPr>
        <w:pStyle w:val="Referenceparagraph"/>
        <w:rPr>
          <w:sz w:val="22"/>
        </w:rPr>
      </w:pPr>
      <w:r w:rsidRPr="00E26EE2">
        <w:rPr>
          <w:sz w:val="22"/>
        </w:rPr>
        <w:t>1. Department for Education (</w:t>
      </w:r>
      <w:r w:rsidRPr="00E26EE2">
        <w:rPr>
          <w:sz w:val="22"/>
        </w:rPr>
        <w:t>2026) ‘</w:t>
      </w:r>
      <w:r w:rsidRPr="00E26EE2">
        <w:rPr>
          <w:sz w:val="22"/>
        </w:rPr>
        <w:t>Government hits 70% of pledge, two years into this parliament’. https://www.gov.uk/government/news/government-hits-70-of-pledge-two-years-into-this-parliament</w:t>
      </w:r>
    </w:p>
    <w:p w:rsidR="003E3A85" w:rsidRPr="00E26EE2">
      <w:pPr>
        <w:pStyle w:val="Referenceparagraph"/>
        <w:rPr>
          <w:sz w:val="22"/>
        </w:rPr>
      </w:pPr>
      <w:r w:rsidRPr="00E26EE2">
        <w:rPr>
          <w:sz w:val="22"/>
        </w:rPr>
        <w:t>2. National Foundation for Educational Research and Gatsby Charitable Foundation (</w:t>
      </w:r>
      <w:r w:rsidRPr="00E26EE2">
        <w:rPr>
          <w:sz w:val="22"/>
        </w:rPr>
        <w:t>2024) ‘</w:t>
      </w:r>
      <w:r w:rsidRPr="00E26EE2">
        <w:rPr>
          <w:sz w:val="22"/>
        </w:rPr>
        <w:t xml:space="preserve">How to recruit 6,500 new </w:t>
      </w:r>
      <w:r w:rsidRPr="00E26EE2">
        <w:rPr>
          <w:sz w:val="22"/>
        </w:rPr>
        <w:t>teachers’</w:t>
      </w:r>
      <w:r w:rsidRPr="00E26EE2">
        <w:rPr>
          <w:sz w:val="22"/>
        </w:rPr>
        <w:t>. https://www.gatsby.org.uk/education/updates/how-to-recruit-6500-new-teachers/</w:t>
      </w:r>
    </w:p>
    <w:p w:rsidR="003E3A85" w:rsidRPr="00E26EE2">
      <w:pPr>
        <w:pStyle w:val="Referenceparagraph"/>
        <w:rPr>
          <w:sz w:val="22"/>
        </w:rPr>
      </w:pPr>
      <w:r w:rsidRPr="00E26EE2">
        <w:rPr>
          <w:sz w:val="22"/>
        </w:rPr>
        <w:t>3. McLean, D., Tang, S. and Worth, J. (</w:t>
      </w:r>
      <w:r w:rsidRPr="00E26EE2">
        <w:rPr>
          <w:sz w:val="22"/>
        </w:rPr>
        <w:t>2023) ‘</w:t>
      </w:r>
      <w:r w:rsidRPr="00E26EE2">
        <w:rPr>
          <w:sz w:val="22"/>
        </w:rPr>
        <w:t>The impact of training bursaries on teacher recruitment and retention: An evaluation of impact and value for money’. National Foundation for Educational Research. https://www.nfer.ac.uk/publications/the-impact-of-training-bursaries-on-teacher-recruitment-and-retention/</w:t>
      </w:r>
    </w:p>
    <w:p w:rsidR="003E3A85" w:rsidRPr="00E26EE2">
      <w:pPr>
        <w:pStyle w:val="Referenceparagraph"/>
        <w:rPr>
          <w:sz w:val="22"/>
        </w:rPr>
      </w:pPr>
      <w:r w:rsidRPr="00E26EE2">
        <w:rPr>
          <w:sz w:val="22"/>
        </w:rPr>
        <w:t>4. Benhenda</w:t>
      </w:r>
      <w:r w:rsidRPr="00E26EE2">
        <w:rPr>
          <w:sz w:val="22"/>
        </w:rPr>
        <w:t>, A. and Sims, S. (</w:t>
      </w:r>
      <w:r w:rsidRPr="00E26EE2">
        <w:rPr>
          <w:sz w:val="22"/>
        </w:rPr>
        <w:t>2022) ‘</w:t>
      </w:r>
      <w:r w:rsidRPr="00E26EE2">
        <w:rPr>
          <w:sz w:val="22"/>
        </w:rPr>
        <w:t>The effect of financial incentives on the retention of shortage-subject teachers: evidence from England’, CEPEO Working Paper No. 22-04. https://discovery.ucl.ac.uk/id/eprint/10149734/</w:t>
      </w:r>
    </w:p>
    <w:p w:rsidR="003E3A85" w:rsidRPr="00E26EE2">
      <w:pPr>
        <w:pStyle w:val="Referenceparagraph"/>
        <w:rPr>
          <w:sz w:val="22"/>
        </w:rPr>
      </w:pPr>
      <w:r w:rsidRPr="00E26EE2">
        <w:rPr>
          <w:sz w:val="22"/>
        </w:rPr>
        <w:t>5. Cordingley, P., Greany, T., Crisp, B., Seleznyov, S., Bradbury, M. and Perry, T. (2018) ‘Developing Great Subject Teaching: Rapid Evidence Review of Subject-Specific Continuing Professional Development in the UK’, Wellcome Trust. https://discovery.ucl.ac.uk/id/eprint/10049881/</w:t>
      </w:r>
    </w:p>
    <w:p w:rsidR="003E3A85" w:rsidRPr="00E26EE2">
      <w:pPr>
        <w:pStyle w:val="Referenceparagraph"/>
        <w:rPr>
          <w:sz w:val="22"/>
        </w:rPr>
      </w:pPr>
      <w:r w:rsidRPr="00E26EE2">
        <w:rPr>
          <w:sz w:val="22"/>
        </w:rPr>
        <w:t>6. Allen, R. and Sims, S. (2017) ‘Improving Science Teacher Retention: do National STEM Learning Network professional development courses keep science teachers in the classroom?’, Education Datalab and Wellcome Trust. https://cms.wellcome.org/sites/default/files/science-teacher-retention.pdf</w:t>
      </w:r>
    </w:p>
    <w:p w:rsidR="003E3A85" w:rsidRPr="00E26EE2">
      <w:pPr>
        <w:pStyle w:val="Referenceparagraph"/>
        <w:rPr>
          <w:sz w:val="22"/>
        </w:rPr>
      </w:pPr>
      <w:r w:rsidRPr="00E26EE2">
        <w:rPr>
          <w:sz w:val="22"/>
        </w:rPr>
        <w:t>7. Teacher Development Trust and Gatsby Charitable Foundation (</w:t>
      </w:r>
      <w:r w:rsidRPr="00E26EE2">
        <w:rPr>
          <w:sz w:val="22"/>
        </w:rPr>
        <w:t>2024) ‘</w:t>
      </w:r>
      <w:r w:rsidRPr="00E26EE2">
        <w:rPr>
          <w:sz w:val="22"/>
        </w:rPr>
        <w:t>Early Career Framework Review: Exploratory Study Report’. https://www.gatsby.org.uk/app/uploads/sites/2/2025/08/2024-03-06-ecf-review-exploratory-study-report-finalpdf.pdf</w:t>
      </w:r>
    </w:p>
    <w:p w:rsidR="003E3A85" w:rsidRPr="00E26EE2">
      <w:pPr>
        <w:pStyle w:val="Referenceparagraph"/>
        <w:rPr>
          <w:sz w:val="22"/>
        </w:rPr>
      </w:pPr>
      <w:r w:rsidRPr="00E26EE2">
        <w:rPr>
          <w:sz w:val="22"/>
        </w:rPr>
        <w:t>8. Teacher Development Trust, Gatsby Charitable Foundation and The Cultural Education Network, powered by Arts Council England (</w:t>
      </w:r>
      <w:r w:rsidRPr="00E26EE2">
        <w:rPr>
          <w:sz w:val="22"/>
        </w:rPr>
        <w:t>2026) ‘</w:t>
      </w:r>
      <w:r w:rsidRPr="00E26EE2">
        <w:rPr>
          <w:sz w:val="22"/>
        </w:rPr>
        <w:t>Teaching in &amp; beyond Specialism: CPD for teachers in Arts and Science’. https://www.gatsby.org.uk/education/updates/teaching-in-beyond-specialism-cpd-for-teachers-in-arts-and-science/</w:t>
      </w:r>
    </w:p>
    <w:p w:rsidR="003E3A85" w:rsidRPr="00E26EE2">
      <w:pPr>
        <w:pStyle w:val="Referenceparagraph"/>
        <w:rPr>
          <w:sz w:val="22"/>
        </w:rPr>
      </w:pPr>
      <w:r w:rsidRPr="00E26EE2">
        <w:rPr>
          <w:sz w:val="22"/>
        </w:rPr>
        <w:t>9. Association for Science Education and Gatsby Charitable Foundation (</w:t>
      </w:r>
      <w:r w:rsidRPr="00E26EE2">
        <w:rPr>
          <w:sz w:val="22"/>
        </w:rPr>
        <w:t>2026) ‘</w:t>
      </w:r>
      <w:r w:rsidRPr="00E26EE2">
        <w:rPr>
          <w:sz w:val="22"/>
        </w:rPr>
        <w:t>Filling the Gap: evaluating the impact of Government financial incentives on recruiting and retaining international physics teachers in the UK’. https://www.gatsby.org.uk/app/uploads/sites/2/2025/12/filling-the-gap-recruitment-of-international-physics-teachers-ase.pdf</w:t>
      </w:r>
    </w:p>
    <w:p w:rsidR="003E3A85" w:rsidRPr="00E26EE2">
      <w:pPr>
        <w:pStyle w:val="Referenceparagraph"/>
        <w:rPr>
          <w:sz w:val="22"/>
        </w:rPr>
      </w:pPr>
      <w:r w:rsidRPr="00E26EE2">
        <w:rPr>
          <w:sz w:val="22"/>
        </w:rPr>
        <w:t>10. Department for Education (</w:t>
      </w:r>
      <w:r w:rsidRPr="00E26EE2">
        <w:rPr>
          <w:sz w:val="22"/>
        </w:rPr>
        <w:t>2026) ‘</w:t>
      </w:r>
      <w:r w:rsidRPr="00E26EE2">
        <w:rPr>
          <w:sz w:val="22"/>
        </w:rPr>
        <w:t>Initial teacher training bursary funding manual: 2026 to 2027 academic year’. https://www.gov.uk/government/publications/initial-teacher-training-itt-bursary-funding-manual/initial-teacher-training-bursary-funding-manual-2026-to-2027-academic-year</w:t>
      </w:r>
    </w:p>
    <w:p w:rsidR="003E3A85" w:rsidRPr="00E26EE2">
      <w:pPr>
        <w:pStyle w:val="Referenceparagraph"/>
        <w:rPr>
          <w:sz w:val="22"/>
        </w:rPr>
      </w:pPr>
      <w:r w:rsidRPr="00E26EE2">
        <w:rPr>
          <w:sz w:val="22"/>
        </w:rPr>
        <w:t>11. National Foundation for Educational Research (</w:t>
      </w:r>
      <w:r w:rsidRPr="00E26EE2">
        <w:rPr>
          <w:sz w:val="22"/>
        </w:rPr>
        <w:t>2025) ‘</w:t>
      </w:r>
      <w:r w:rsidRPr="00E26EE2">
        <w:rPr>
          <w:sz w:val="22"/>
        </w:rPr>
        <w:t>A widespread lack of specialist physics teachers persists due to recruitment and retention challenges’, blog based on NFER analysis commissioned by the Institute of Physics. https://www.nfer.ac.uk/blogs/a-widespread-lack-of-specialist-physics-teachers-persists-due-to-recruitment-and-retention-challenges/</w:t>
      </w:r>
    </w:p>
    <w:p w:rsidR="003E3A85" w:rsidRPr="00E26EE2">
      <w:pPr>
        <w:pStyle w:val="Referenceparagraph"/>
        <w:rPr>
          <w:sz w:val="22"/>
        </w:rPr>
      </w:pPr>
      <w:r w:rsidRPr="00E26EE2">
        <w:rPr>
          <w:sz w:val="22"/>
        </w:rPr>
        <w:t>12. Teacher Tapp, SchoolDash</w:t>
      </w:r>
      <w:r w:rsidRPr="00E26EE2">
        <w:rPr>
          <w:sz w:val="22"/>
        </w:rPr>
        <w:t xml:space="preserve"> and Gatsby Charitable Foundation (</w:t>
      </w:r>
      <w:r w:rsidRPr="00E26EE2">
        <w:rPr>
          <w:sz w:val="22"/>
        </w:rPr>
        <w:t>2025) ‘</w:t>
      </w:r>
      <w:r w:rsidRPr="00E26EE2">
        <w:rPr>
          <w:sz w:val="22"/>
        </w:rPr>
        <w:t>Teacher Recruitment and Retention in June 2025’. https://www.gatsby.org.uk/app/uploads/sites/2/2025/08/2025-07-08-teacher-recruitment-and-retention-in-june-2025-1.pdf</w:t>
      </w:r>
    </w:p>
    <w:p w:rsidR="003E3A85" w:rsidRPr="00E26EE2">
      <w:pPr>
        <w:pStyle w:val="Referenceparagraph"/>
        <w:rPr>
          <w:sz w:val="22"/>
        </w:rPr>
      </w:pPr>
      <w:r w:rsidRPr="00E26EE2">
        <w:rPr>
          <w:sz w:val="22"/>
        </w:rPr>
        <w:t>13. SchoolDash (2026) ‘The paths to enrichment’, SchoolDash blog, 18 June 2026. https://www.schooldash.com/blog-2606.html#20260618</w:t>
      </w:r>
    </w:p>
    <w:p w:rsidR="003E3A85" w:rsidRPr="00E26EE2">
      <w:pPr>
        <w:pStyle w:val="Referenceparagraph"/>
        <w:rPr>
          <w:sz w:val="22"/>
        </w:rPr>
      </w:pPr>
      <w:r w:rsidRPr="00E26EE2">
        <w:rPr>
          <w:sz w:val="22"/>
        </w:rPr>
        <w:t>14. Department for Education (</w:t>
      </w:r>
      <w:r w:rsidRPr="00E26EE2">
        <w:rPr>
          <w:sz w:val="22"/>
        </w:rPr>
        <w:t>2026) ‘</w:t>
      </w:r>
      <w:r w:rsidRPr="00E26EE2">
        <w:rPr>
          <w:sz w:val="22"/>
        </w:rPr>
        <w:t xml:space="preserve">The enrichment framework for schools and </w:t>
      </w:r>
      <w:r w:rsidRPr="00E26EE2">
        <w:rPr>
          <w:sz w:val="22"/>
        </w:rPr>
        <w:t>colleges’</w:t>
      </w:r>
      <w:r w:rsidRPr="00E26EE2">
        <w:rPr>
          <w:sz w:val="22"/>
        </w:rPr>
        <w:t>. https://www.gov.uk/government/publications/the-enrichment-framework-for-schools-and-colleges</w:t>
      </w:r>
    </w:p>
    <w:p w:rsidR="003E3A85" w:rsidRPr="00E26EE2">
      <w:pPr>
        <w:pStyle w:val="Referenceparagraph"/>
        <w:rPr>
          <w:sz w:val="22"/>
        </w:rPr>
      </w:pPr>
      <w:r w:rsidRPr="00E26EE2">
        <w:rPr>
          <w:sz w:val="22"/>
        </w:rPr>
        <w:t>15. Archer, L., Dawson, E., DeWitt, J., Seakins, A. and Wong, B. (</w:t>
      </w:r>
      <w:r w:rsidRPr="00E26EE2">
        <w:rPr>
          <w:sz w:val="22"/>
        </w:rPr>
        <w:t>2015) ‘</w:t>
      </w:r>
      <w:r w:rsidRPr="00E26EE2">
        <w:rPr>
          <w:sz w:val="22"/>
        </w:rPr>
        <w:t>Science capital: A conceptual, methodological, and empirical argument for extending Bourdieusian notions of capital beyond the arts’, Journal of Research in Science Teaching, 52(7), pp. 922-948. https://doi.org/10.1002/tea.21227</w:t>
      </w:r>
    </w:p>
    <w:p w:rsidR="003E3A85" w:rsidRPr="00E26EE2">
      <w:pPr>
        <w:pStyle w:val="Referenceparagraph"/>
        <w:rPr>
          <w:sz w:val="22"/>
        </w:rPr>
      </w:pPr>
      <w:r w:rsidRPr="00E26EE2">
        <w:rPr>
          <w:sz w:val="22"/>
        </w:rPr>
        <w:t>16. Gatsby Education (</w:t>
      </w:r>
      <w:r w:rsidRPr="00E26EE2">
        <w:rPr>
          <w:sz w:val="22"/>
        </w:rPr>
        <w:t>2026) ‘</w:t>
      </w:r>
      <w:r w:rsidRPr="00E26EE2">
        <w:rPr>
          <w:sz w:val="22"/>
        </w:rPr>
        <w:t>Why STEM belongs in the enrichment conversation’, Gatsby Education Substack, 18 June 2026. https://gatsbyeducation.substack.com/p/why-stem-belongs-in-the-enrichment</w:t>
      </w:r>
    </w:p>
    <w:p w:rsidR="003E3A85" w:rsidRPr="00E26EE2">
      <w:pPr>
        <w:pStyle w:val="Referenceparagraph"/>
        <w:rPr>
          <w:sz w:val="22"/>
        </w:rPr>
      </w:pPr>
      <w:r w:rsidRPr="00E26EE2">
        <w:rPr>
          <w:sz w:val="22"/>
        </w:rPr>
        <w:t>17. Gatsby Charitable Foundation (</w:t>
      </w:r>
      <w:r w:rsidRPr="00E26EE2">
        <w:rPr>
          <w:sz w:val="22"/>
        </w:rPr>
        <w:t>2024) ‘</w:t>
      </w:r>
      <w:r w:rsidRPr="00E26EE2">
        <w:rPr>
          <w:sz w:val="22"/>
        </w:rPr>
        <w:t>Good Career Guidance: The Next 10 Years’. https://www.gatsby.org.uk/app/uploads/sites/2/2025/07/good-career-guidance-the-next-10-years-report-1.pdf</w:t>
      </w:r>
    </w:p>
    <w:p w:rsidR="003E3A85" w:rsidRPr="00E26EE2">
      <w:pPr>
        <w:pStyle w:val="Referenceparagraph"/>
        <w:rPr>
          <w:sz w:val="22"/>
        </w:rPr>
      </w:pPr>
      <w:r w:rsidRPr="00E26EE2">
        <w:rPr>
          <w:sz w:val="22"/>
        </w:rPr>
        <w:t>18. Careers &amp; Enterprise Company, ‘Future Skills Questionnaire’, resource page. https://resources.careersandenterprise.co.uk/resources/future-skills-questionnaire</w:t>
      </w:r>
    </w:p>
    <w:p w:rsidR="003E3A85" w:rsidRPr="00E26EE2">
      <w:pPr>
        <w:pStyle w:val="Referenceparagraph"/>
        <w:rPr>
          <w:sz w:val="22"/>
        </w:rPr>
      </w:pPr>
      <w:r w:rsidRPr="00E26EE2">
        <w:rPr>
          <w:sz w:val="22"/>
        </w:rPr>
        <w:t>19. Careers &amp; Enterprise Company, ‘OnTrack+ Practice Guide’. https://resources.careersandenterprise.co.uk/resources/ontrack-practice-guide</w:t>
      </w:r>
    </w:p>
    <w:p w:rsidR="003E3A85" w:rsidRPr="00E26EE2">
      <w:pPr>
        <w:pStyle w:val="Referenceparagraph"/>
        <w:rPr>
          <w:sz w:val="22"/>
        </w:rPr>
      </w:pPr>
      <w:r w:rsidRPr="00E26EE2">
        <w:rPr>
          <w:sz w:val="22"/>
        </w:rPr>
        <w:t>20. The Careers &amp; Enterprise Company (</w:t>
      </w:r>
      <w:r w:rsidRPr="00E26EE2">
        <w:rPr>
          <w:sz w:val="22"/>
        </w:rPr>
        <w:t>2026) ‘</w:t>
      </w:r>
      <w:r w:rsidRPr="00E26EE2">
        <w:rPr>
          <w:sz w:val="22"/>
        </w:rPr>
        <w:t>500,000 young people share career readiness views’, LinkedIn post, July 2026. https://www.linkedin.com/posts/the-careers-enterprise-company_earlier-today-the-careers-enterprise-company-activity-7480631420617424896-U13L</w:t>
      </w:r>
    </w:p>
    <w:p w:rsidR="003E3A85" w:rsidRPr="00E26EE2">
      <w:pPr>
        <w:pStyle w:val="Referenceparagraph"/>
        <w:rPr>
          <w:sz w:val="22"/>
        </w:rPr>
      </w:pPr>
      <w:r w:rsidRPr="00E26EE2">
        <w:rPr>
          <w:sz w:val="22"/>
        </w:rPr>
        <w:t>21. Careers &amp; Enterprise Company (</w:t>
      </w:r>
      <w:r w:rsidRPr="00E26EE2">
        <w:rPr>
          <w:sz w:val="22"/>
        </w:rPr>
        <w:t>2025) ‘</w:t>
      </w:r>
      <w:r w:rsidRPr="00E26EE2">
        <w:rPr>
          <w:sz w:val="22"/>
        </w:rPr>
        <w:t>Insight briefing: Student career readiness 2024/25’. https://www.careersandenterprise.co.uk/evidence-and-reports/insight-briefing-student-career-readiness-202425</w:t>
      </w:r>
    </w:p>
    <w:p w:rsidR="003E3A85" w:rsidRPr="00E26EE2">
      <w:pPr>
        <w:pStyle w:val="Referenceparagraph"/>
        <w:rPr>
          <w:sz w:val="22"/>
        </w:rPr>
      </w:pPr>
      <w:r w:rsidRPr="00E26EE2">
        <w:rPr>
          <w:sz w:val="22"/>
        </w:rPr>
        <w:t>22. Careers &amp; Enterprise Company (</w:t>
      </w:r>
      <w:r w:rsidRPr="00E26EE2">
        <w:rPr>
          <w:sz w:val="22"/>
        </w:rPr>
        <w:t>2025) ‘</w:t>
      </w:r>
      <w:r w:rsidRPr="00E26EE2">
        <w:rPr>
          <w:sz w:val="22"/>
        </w:rPr>
        <w:t xml:space="preserve">Career readiness through time: longitudinal analysis links careers provision to improved career readiness and essential </w:t>
      </w:r>
      <w:r w:rsidRPr="00E26EE2">
        <w:rPr>
          <w:sz w:val="22"/>
        </w:rPr>
        <w:t>skills’</w:t>
      </w:r>
      <w:r w:rsidRPr="00E26EE2">
        <w:rPr>
          <w:sz w:val="22"/>
        </w:rPr>
        <w:t>. https://www.careersandenterprise.co.uk/sites/cweb/files/qnbbzpwr/apr25_career-readiness-through-time.pdf</w:t>
      </w:r>
    </w:p>
    <w:p w:rsidR="003E3A85" w:rsidRPr="00E26EE2">
      <w:pPr>
        <w:pStyle w:val="Referenceparagraph"/>
        <w:rPr>
          <w:sz w:val="22"/>
        </w:rPr>
      </w:pPr>
      <w:r w:rsidRPr="00E26EE2">
        <w:rPr>
          <w:sz w:val="22"/>
        </w:rPr>
        <w:t>23. Careers &amp; Enterprise Company (</w:t>
      </w:r>
      <w:r w:rsidRPr="00E26EE2">
        <w:rPr>
          <w:sz w:val="22"/>
        </w:rPr>
        <w:t>2025) ‘</w:t>
      </w:r>
      <w:r w:rsidRPr="00E26EE2">
        <w:rPr>
          <w:sz w:val="22"/>
        </w:rPr>
        <w:t xml:space="preserve">Right students, right jobs: how career readiness shapes students’ industry </w:t>
      </w:r>
      <w:r w:rsidRPr="00E26EE2">
        <w:rPr>
          <w:sz w:val="22"/>
        </w:rPr>
        <w:t>interests’</w:t>
      </w:r>
      <w:r w:rsidRPr="00E26EE2">
        <w:rPr>
          <w:sz w:val="22"/>
        </w:rPr>
        <w:t>. https://www.careersandenterprise.co.uk/sites/cweb/files/v2mfbt3l/right-students-right-jobs.pdf</w:t>
      </w:r>
    </w:p>
    <w:p w:rsidR="003E3A85" w:rsidRPr="00E26EE2">
      <w:pPr>
        <w:pStyle w:val="Referenceparagraph"/>
        <w:rPr>
          <w:sz w:val="22"/>
        </w:rPr>
      </w:pPr>
      <w:r w:rsidRPr="00E26EE2">
        <w:rPr>
          <w:sz w:val="22"/>
        </w:rPr>
        <w:t>24. SchoolDash</w:t>
      </w:r>
      <w:r w:rsidRPr="00E26EE2">
        <w:rPr>
          <w:sz w:val="22"/>
        </w:rPr>
        <w:t xml:space="preserve"> and Gatsby Charitable Foundation (forthcoming), ‘Understanding school and community deprivation among secondary </w:t>
      </w:r>
      <w:r w:rsidRPr="00E26EE2">
        <w:rPr>
          <w:sz w:val="22"/>
        </w:rPr>
        <w:t>schools’</w:t>
      </w:r>
      <w:r w:rsidRPr="00E26EE2">
        <w:rPr>
          <w:sz w:val="22"/>
        </w:rPr>
        <w:t>.</w:t>
      </w:r>
    </w:p>
    <w:p w:rsidR="003E3A85" w:rsidRPr="00E26EE2">
      <w:pPr>
        <w:pStyle w:val="Referenceparagraph"/>
        <w:rPr>
          <w:sz w:val="22"/>
        </w:rPr>
      </w:pPr>
      <w:r w:rsidRPr="00E26EE2">
        <w:rPr>
          <w:sz w:val="22"/>
        </w:rPr>
        <w:t>25. Teacher Tapp, SchoolDash</w:t>
      </w:r>
      <w:r w:rsidRPr="00E26EE2">
        <w:rPr>
          <w:sz w:val="22"/>
        </w:rPr>
        <w:t xml:space="preserve"> and Gatsby Charitable Foundation (2024 and 2025</w:t>
      </w:r>
      <w:r w:rsidRPr="00E26EE2">
        <w:rPr>
          <w:sz w:val="22"/>
        </w:rPr>
        <w:t>), ‘</w:t>
      </w:r>
      <w:r w:rsidRPr="00E26EE2">
        <w:rPr>
          <w:sz w:val="22"/>
        </w:rPr>
        <w:t>Teacher Recruitment and Retention in 2024’ and ‘Teacher Recruitment and Retention in June 2025’. https://teachertapp.com/content/uploads/2024/06/Teacher-Tapp-Final-Teacher-Recruitment-and-Retention-in-2024.pdf; https://www.gatsby.org.uk/app/uploads/sites/2/2025/08/2025-07-08-teacher-recruitment-and-retention-in-june-2025-1.pdf</w:t>
      </w:r>
    </w:p>
    <w:p w:rsidR="003E3A85" w:rsidRPr="00E26EE2">
      <w:pPr>
        <w:pStyle w:val="Referenceparagraph"/>
        <w:rPr>
          <w:sz w:val="22"/>
        </w:rPr>
      </w:pPr>
      <w:r w:rsidRPr="00E26EE2">
        <w:rPr>
          <w:sz w:val="22"/>
        </w:rPr>
        <w:t>26. Centre for Education and Youth and Skills Builder Partnership (2020) ‘How do essential skills influence life outcomes?’ https://www.cfey.org/wp-content/uploads/2020/09/How-do-essential-skills-influence-life-outcomes-3.pdf</w:t>
      </w:r>
    </w:p>
    <w:p w:rsidR="003E3A85" w:rsidRPr="00E26EE2">
      <w:pPr>
        <w:pStyle w:val="Referenceparagraph"/>
        <w:rPr>
          <w:sz w:val="22"/>
        </w:rPr>
      </w:pPr>
      <w:r w:rsidRPr="00E26EE2">
        <w:rPr>
          <w:sz w:val="22"/>
        </w:rPr>
        <w:t>27. Field, S. (</w:t>
      </w:r>
      <w:r w:rsidRPr="00E26EE2">
        <w:rPr>
          <w:sz w:val="22"/>
        </w:rPr>
        <w:t>2022) ‘</w:t>
      </w:r>
      <w:r w:rsidRPr="00E26EE2">
        <w:rPr>
          <w:sz w:val="22"/>
        </w:rPr>
        <w:t>Transferable competences and personal, social and employability (PSE) qualifications: some international evidence’, report to Gatsby Charitable Foundation. https://www.gatsby.org.uk/app/uploads/sites/2/2025/07/international-comparisons-transferable-and-pse-skills.pdf</w:t>
      </w:r>
    </w:p>
    <w:p w:rsidR="003E3A85" w:rsidRPr="00E26EE2">
      <w:pPr>
        <w:pStyle w:val="Referenceparagraph"/>
        <w:rPr>
          <w:sz w:val="22"/>
        </w:rPr>
      </w:pPr>
      <w:r w:rsidRPr="00E26EE2">
        <w:rPr>
          <w:sz w:val="22"/>
        </w:rPr>
        <w:t xml:space="preserve">28. Skills Builder </w:t>
      </w:r>
      <w:r w:rsidRPr="00E26EE2">
        <w:rPr>
          <w:sz w:val="22"/>
        </w:rPr>
        <w:t>Partnership, ‘</w:t>
      </w:r>
      <w:r w:rsidRPr="00E26EE2">
        <w:rPr>
          <w:sz w:val="22"/>
        </w:rPr>
        <w:t>Skills Builder Universal Framework’. https://www.skillsbuilder.uk/universal-framework</w:t>
      </w:r>
    </w:p>
    <w:p w:rsidR="003E3A85" w:rsidRPr="00E26EE2">
      <w:pPr>
        <w:pStyle w:val="Referenceparagraph"/>
        <w:rPr>
          <w:sz w:val="22"/>
        </w:rPr>
      </w:pPr>
      <w:r w:rsidRPr="00E26EE2">
        <w:rPr>
          <w:sz w:val="22"/>
        </w:rPr>
        <w:t>29. Skills England (</w:t>
      </w:r>
      <w:r w:rsidRPr="00E26EE2">
        <w:rPr>
          <w:sz w:val="22"/>
        </w:rPr>
        <w:t>2026) ‘</w:t>
      </w:r>
      <w:r w:rsidRPr="00E26EE2">
        <w:rPr>
          <w:sz w:val="22"/>
        </w:rPr>
        <w:t>UK Standard Skills Classification: Core Skills Explorer’. https://skillsclassification.org/core-skills</w:t>
      </w:r>
    </w:p>
    <w:p w:rsidR="003E3A85" w:rsidRPr="00E26EE2">
      <w:pPr>
        <w:pStyle w:val="Referenceparagraph"/>
        <w:rPr>
          <w:sz w:val="22"/>
        </w:rPr>
      </w:pPr>
      <w:r w:rsidRPr="00E26EE2">
        <w:rPr>
          <w:sz w:val="22"/>
        </w:rPr>
        <w:t xml:space="preserve">30. Skills Builder </w:t>
      </w:r>
      <w:r w:rsidRPr="00E26EE2">
        <w:rPr>
          <w:sz w:val="22"/>
        </w:rPr>
        <w:t>Partnership, ‘</w:t>
      </w:r>
      <w:r w:rsidRPr="00E26EE2">
        <w:rPr>
          <w:sz w:val="22"/>
        </w:rPr>
        <w:t xml:space="preserve">Skills Builder Principles’. </w:t>
      </w:r>
      <w:r>
        <w:fldChar w:fldCharType="begin"/>
      </w:r>
      <w:r>
        <w:instrText xml:space="preserve"> HYPERLINK "https://www.skillsbuilder.uk/principles" </w:instrText>
      </w:r>
      <w:r>
        <w:fldChar w:fldCharType="separate"/>
      </w:r>
      <w:r w:rsidRPr="00E26EE2" w:rsidR="00E26EE2">
        <w:rPr>
          <w:rStyle w:val="Hyperlink"/>
          <w:sz w:val="22"/>
        </w:rPr>
        <w:t>https://www.skillsbuilder.uk/principles</w:t>
      </w:r>
      <w:r>
        <w:fldChar w:fldCharType="end"/>
      </w:r>
    </w:p>
    <w:p w:rsidR="00E26EE2" w:rsidRPr="00E26EE2">
      <w:pPr>
        <w:pStyle w:val="Referenceparagraph"/>
        <w:rPr>
          <w:sz w:val="22"/>
        </w:rPr>
      </w:pPr>
    </w:p>
    <w:p w:rsidR="00E26EE2" w:rsidRPr="00E26EE2">
      <w:pPr>
        <w:pStyle w:val="Referenceparagraph"/>
        <w:rPr>
          <w:i/>
          <w:iCs/>
          <w:sz w:val="22"/>
        </w:rPr>
      </w:pPr>
      <w:r w:rsidRPr="00E26EE2">
        <w:rPr>
          <w:i/>
          <w:iCs/>
          <w:sz w:val="22"/>
        </w:rPr>
        <w:t>September 2026</w:t>
      </w:r>
    </w:p>
    <w:sectPr>
      <w:headerReference w:type="default" r:id="rId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A8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A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40DC6799"/>
    <w:multiLevelType w:val="multilevel"/>
    <w:tmpl w:val="5830C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47E252D"/>
    <w:multiLevelType w:val="multilevel"/>
    <w:tmpl w:val="DB2A6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7081B71"/>
    <w:multiLevelType w:val="multilevel"/>
    <w:tmpl w:val="D94E3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66044F4"/>
    <w:multiLevelType w:val="multilevel"/>
    <w:tmpl w:val="F38CC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1"/>
  </w:num>
  <w:num w:numId="4">
    <w:abstractNumId w:val="3"/>
  </w:num>
  <w:num w:numId="5">
    <w:abstractNumId w:val="5"/>
  </w:num>
  <w:num w:numId="6">
    <w:abstractNumId w:val="0"/>
  </w:num>
  <w:num w:numId="7">
    <w:abstractNumId w:val="4"/>
  </w:num>
  <w:num w:numId="8">
    <w:abstractNumId w:val="10"/>
  </w:num>
  <w:num w:numId="9">
    <w:abstractNumId w:val="12"/>
  </w:num>
  <w:num w:numId="10">
    <w:abstractNumId w:val="2"/>
  </w:num>
  <w:num w:numId="11">
    <w:abstractNumId w:val="11"/>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C693F"/>
    <w:pPr>
      <w:spacing w:after="120" w:line="259" w:lineRule="auto"/>
    </w:pPr>
    <w:rPr>
      <w:rFonts w:ascii="Calibri" w:eastAsia="Calibri" w:hAnsi="Calibri" w:cs="Calibri"/>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2"/>
      </w:numPr>
      <w:spacing w:after="80"/>
      <w:contextualSpacing/>
    </w:pPr>
  </w:style>
  <w:style w:type="paragraph" w:styleId="ListBullet2">
    <w:name w:val="List Bullet 2"/>
    <w:basedOn w:val="Normal"/>
    <w:uiPriority w:val="99"/>
    <w:unhideWhenUsed/>
    <w:rsid w:val="00326F90"/>
    <w:pPr>
      <w:numPr>
        <w:numId w:val="13"/>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2"/>
      </w:numPr>
      <w:contextualSpacing/>
    </w:pPr>
  </w:style>
  <w:style w:type="paragraph" w:styleId="ListNumber2">
    <w:name w:val="List Number 2"/>
    <w:basedOn w:val="Normal"/>
    <w:uiPriority w:val="99"/>
    <w:unhideWhenUsed/>
    <w:rsid w:val="0029639D"/>
    <w:pPr>
      <w:numPr>
        <w:numId w:val="4"/>
      </w:numPr>
      <w:contextualSpacing/>
    </w:pPr>
  </w:style>
  <w:style w:type="paragraph" w:styleId="ListNumber3">
    <w:name w:val="List Number 3"/>
    <w:basedOn w:val="Normal"/>
    <w:uiPriority w:val="99"/>
    <w:unhideWhenUsed/>
    <w:rsid w:val="0029639D"/>
    <w:pPr>
      <w:numPr>
        <w:numId w:val="10"/>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paragraph">
    <w:name w:val="Reference paragraph"/>
    <w:basedOn w:val="Normal"/>
    <w:pPr>
      <w:spacing w:after="60" w:line="240" w:lineRule="auto"/>
      <w:ind w:left="475" w:hanging="475"/>
    </w:pPr>
    <w:rPr>
      <w:sz w:val="18"/>
    </w:rPr>
  </w:style>
  <w:style w:type="paragraph" w:customStyle="1" w:styleId="Numberedevidenceparagraph">
    <w:name w:val="Numbered evidence paragraph"/>
    <w:basedOn w:val="Normal"/>
    <w:pPr>
      <w:tabs>
        <w:tab w:val="left" w:pos="518"/>
      </w:tabs>
      <w:ind w:left="518" w:hanging="518"/>
    </w:pPr>
  </w:style>
  <w:style w:type="paragraph" w:customStyle="1" w:styleId="Evidencebullet">
    <w:name w:val="Evidence bullet"/>
    <w:basedOn w:val="Normal"/>
    <w:pPr>
      <w:spacing w:after="60"/>
      <w:ind w:left="835" w:hanging="346"/>
    </w:pPr>
  </w:style>
  <w:style w:type="character" w:styleId="CommentReference">
    <w:name w:val="annotation reference"/>
    <w:basedOn w:val="DefaultParagraphFont"/>
    <w:uiPriority w:val="99"/>
    <w:semiHidden/>
    <w:unhideWhenUsed/>
    <w:rsid w:val="009348D9"/>
    <w:rPr>
      <w:sz w:val="16"/>
      <w:szCs w:val="16"/>
    </w:rPr>
  </w:style>
  <w:style w:type="paragraph" w:styleId="CommentText">
    <w:name w:val="annotation text"/>
    <w:basedOn w:val="Normal"/>
    <w:link w:val="CommentTextChar"/>
    <w:uiPriority w:val="99"/>
    <w:unhideWhenUsed/>
    <w:rsid w:val="009348D9"/>
    <w:pPr>
      <w:spacing w:line="240" w:lineRule="auto"/>
    </w:pPr>
    <w:rPr>
      <w:sz w:val="20"/>
      <w:szCs w:val="20"/>
    </w:rPr>
  </w:style>
  <w:style w:type="character" w:customStyle="1" w:styleId="CommentTextChar">
    <w:name w:val="Comment Text Char"/>
    <w:basedOn w:val="DefaultParagraphFont"/>
    <w:link w:val="CommentText"/>
    <w:uiPriority w:val="99"/>
    <w:rsid w:val="009348D9"/>
    <w:rPr>
      <w:rFonts w:ascii="Arial" w:eastAsia="Times New Roman" w:hAnsi="Arial"/>
      <w:sz w:val="20"/>
      <w:szCs w:val="20"/>
    </w:rPr>
  </w:style>
  <w:style w:type="paragraph" w:styleId="CommentSubject">
    <w:name w:val="annotation subject"/>
    <w:basedOn w:val="CommentText"/>
    <w:next w:val="CommentText"/>
    <w:link w:val="CommentSubjectChar"/>
    <w:uiPriority w:val="99"/>
    <w:semiHidden/>
    <w:unhideWhenUsed/>
    <w:rsid w:val="009348D9"/>
    <w:rPr>
      <w:b/>
      <w:bCs/>
    </w:rPr>
  </w:style>
  <w:style w:type="character" w:customStyle="1" w:styleId="CommentSubjectChar">
    <w:name w:val="Comment Subject Char"/>
    <w:basedOn w:val="CommentTextChar"/>
    <w:link w:val="CommentSubject"/>
    <w:uiPriority w:val="99"/>
    <w:semiHidden/>
    <w:rsid w:val="009348D9"/>
    <w:rPr>
      <w:rFonts w:ascii="Arial" w:eastAsia="Times New Roman" w:hAnsi="Arial"/>
      <w:b/>
      <w:bCs/>
      <w:sz w:val="20"/>
      <w:szCs w:val="20"/>
    </w:rPr>
  </w:style>
  <w:style w:type="paragraph" w:styleId="Revision">
    <w:name w:val="Revision"/>
    <w:hidden/>
    <w:uiPriority w:val="99"/>
    <w:semiHidden/>
    <w:rsid w:val="009348D9"/>
    <w:pPr>
      <w:spacing w:after="0" w:line="240" w:lineRule="auto"/>
    </w:pPr>
    <w:rPr>
      <w:rFonts w:ascii="Arial" w:eastAsia="Times New Roman" w:hAnsi="Arial"/>
      <w:sz w:val="21"/>
    </w:rPr>
  </w:style>
  <w:style w:type="character" w:customStyle="1" w:styleId="Mention1">
    <w:name w:val="Mention1"/>
    <w:basedOn w:val="DefaultParagraphFont"/>
    <w:uiPriority w:val="99"/>
    <w:unhideWhenUsed/>
    <w:rsid w:val="00644180"/>
    <w:rPr>
      <w:color w:val="2B579A"/>
      <w:shd w:val="clear" w:color="auto" w:fill="E1DFDD"/>
    </w:rPr>
  </w:style>
  <w:style w:type="character" w:styleId="Hyperlink">
    <w:name w:val="Hyperlink"/>
    <w:basedOn w:val="DefaultParagraphFont"/>
    <w:uiPriority w:val="99"/>
    <w:unhideWhenUsed/>
    <w:rsid w:val="00E26EE2"/>
    <w:rPr>
      <w:color w:val="0000FF" w:themeColor="hyperlink"/>
      <w:u w:val="single"/>
    </w:rPr>
  </w:style>
  <w:style w:type="character" w:customStyle="1" w:styleId="UnresolvedMention">
    <w:name w:val="Unresolved Mention"/>
    <w:basedOn w:val="DefaultParagraphFont"/>
    <w:uiPriority w:val="99"/>
    <w:rsid w:val="00E26E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00C9F-BC91-4719-A640-10A1C038FECA}">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ECA0126</dc:title>
  <cp:revision>0</cp:revision>
</cp:coreProperties>
</file>