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04B05" w:rsidRPr="00304B05" w:rsidP="00304B05">
      <w:pPr>
        <w:jc w:val="center"/>
        <w:rPr>
          <w:rFonts w:ascii="Calibri" w:hAnsi="Calibri" w:cs="Calibri"/>
          <w:b/>
          <w:bCs/>
        </w:rPr>
      </w:pPr>
      <w:r w:rsidRPr="00304B05">
        <w:rPr>
          <w:rFonts w:ascii="Calibri" w:hAnsi="Calibri" w:cs="Calibri"/>
          <w:b/>
          <w:bCs/>
        </w:rPr>
        <w:t xml:space="preserve">Written evidence by </w:t>
      </w:r>
      <w:r w:rsidRPr="00304B05">
        <w:rPr>
          <w:rFonts w:ascii="Calibri" w:hAnsi="Calibri" w:cs="Calibri"/>
          <w:b/>
          <w:bCs/>
        </w:rPr>
        <w:t>Renaissance (incorporating GL Assessment)</w:t>
      </w:r>
      <w:r w:rsidRPr="00304B05">
        <w:rPr>
          <w:rFonts w:ascii="Calibri" w:hAnsi="Calibri" w:cs="Calibri"/>
          <w:b/>
          <w:bCs/>
        </w:rPr>
        <w:t xml:space="preserve"> (</w:t>
      </w:r>
      <w:r w:rsidRPr="00304B05">
        <w:rPr>
          <w:rFonts w:ascii="Calibri" w:hAnsi="Calibri" w:cs="Calibri"/>
          <w:b/>
          <w:bCs/>
        </w:rPr>
        <w:t>ECA0123</w:t>
      </w:r>
      <w:r w:rsidRPr="00304B05">
        <w:rPr>
          <w:rFonts w:ascii="Calibri" w:hAnsi="Calibri" w:cs="Calibri"/>
          <w:b/>
          <w:bCs/>
        </w:rPr>
        <w:t>)</w:t>
      </w:r>
    </w:p>
    <w:p w:rsidR="00304B05" w:rsidRPr="00304B05" w:rsidP="00304B05">
      <w:pPr>
        <w:rPr>
          <w:rFonts w:ascii="Calibri" w:hAnsi="Calibri" w:cs="Calibri"/>
          <w:b/>
          <w:bCs/>
        </w:rPr>
      </w:pPr>
    </w:p>
    <w:p w:rsidR="00304B05" w:rsidRPr="00304B05" w:rsidP="00304B05">
      <w:pPr>
        <w:rPr>
          <w:rFonts w:ascii="Calibri" w:hAnsi="Calibri" w:cs="Calibri"/>
          <w:b/>
          <w:bCs/>
        </w:rPr>
      </w:pPr>
      <w:r w:rsidRPr="00304B05">
        <w:rPr>
          <w:rFonts w:ascii="Calibri" w:hAnsi="Calibri" w:cs="Calibri"/>
          <w:b/>
          <w:bCs/>
        </w:rPr>
        <w:t>Education Committee</w:t>
      </w:r>
    </w:p>
    <w:p w:rsidR="00304B05" w:rsidRPr="00304B05" w:rsidP="00304B05">
      <w:pPr>
        <w:rPr>
          <w:rFonts w:ascii="Calibri" w:hAnsi="Calibri" w:cs="Calibri"/>
          <w:b/>
          <w:bCs/>
        </w:rPr>
      </w:pPr>
      <w:r w:rsidRPr="00304B05">
        <w:rPr>
          <w:rFonts w:ascii="Calibri" w:hAnsi="Calibri" w:cs="Calibri"/>
          <w:b/>
          <w:bCs/>
        </w:rPr>
        <w:t>Every Child Achieving and Thriving’ White Paper</w:t>
      </w:r>
    </w:p>
    <w:p w:rsidR="00AE3590" w:rsidRPr="00304B05" w:rsidP="00BC146A">
      <w:pPr>
        <w:rPr>
          <w:rFonts w:ascii="Calibri" w:hAnsi="Calibri" w:cs="Calibri"/>
          <w:b/>
          <w:bCs/>
        </w:rPr>
      </w:pPr>
      <w:r w:rsidRPr="00304B05">
        <w:rPr>
          <w:rFonts w:ascii="Calibri" w:hAnsi="Calibri" w:cs="Calibri"/>
          <w:b/>
          <w:bCs/>
        </w:rPr>
        <w:t xml:space="preserve">Introduction to Renaissance and GL </w:t>
      </w:r>
    </w:p>
    <w:p w:rsidR="00AE3590" w:rsidRPr="00304B05" w:rsidP="00BC146A">
      <w:pPr>
        <w:rPr>
          <w:rFonts w:ascii="Calibri" w:hAnsi="Calibri" w:cs="Calibri"/>
        </w:rPr>
      </w:pPr>
      <w:r w:rsidRPr="00304B05">
        <w:rPr>
          <w:rFonts w:ascii="Calibri" w:hAnsi="Calibri" w:cs="Calibri"/>
        </w:rPr>
        <w:t xml:space="preserve">Renaissance is a global leader in edtech with a clear mission: to accelerate learning for all children and adults of all ability levels and ethnic and social backgrounds, worldwide. From its beginnings in 1986, Renaissance has grown and now, each year, millions of books are read and online assessments completed by tens of thousands of schools around the world using Renaissance solutions. </w:t>
      </w:r>
    </w:p>
    <w:p w:rsidR="00AE3590" w:rsidRPr="00304B05" w:rsidP="00BC146A">
      <w:pPr>
        <w:rPr>
          <w:rFonts w:ascii="Calibri" w:hAnsi="Calibri" w:cs="Calibri"/>
        </w:rPr>
      </w:pPr>
      <w:r w:rsidRPr="00304B05">
        <w:rPr>
          <w:rFonts w:ascii="Calibri" w:hAnsi="Calibri" w:cs="Calibri"/>
        </w:rPr>
        <w:t>GL Education became a Renaissance company in 2023. Together, we are creating something new: a connected suite of products that help teachers accurately identify student needs and adapt teaching to ensure all students build the skills they need for success. Our educational assessments are designed to show teachers where students are in their learning, highlight their strengths and challenges, and help pinpoint areas of need. Our teaching and learning tools then help teachers tailor their teaching to meet the</w:t>
      </w:r>
      <w:r w:rsidRPr="00304B05">
        <w:rPr>
          <w:rFonts w:ascii="Calibri" w:hAnsi="Calibri" w:cs="Calibri"/>
        </w:rPr>
        <w:t xml:space="preserve"> needs of each child. When our products are used together, they provide a continuous cycle for improving teaching, learning and outcomes, helping schools and school groups deliver measurable success at scale. </w:t>
      </w:r>
    </w:p>
    <w:p w:rsidR="00AE3590" w:rsidRPr="00304B05" w:rsidP="00BC146A">
      <w:pPr>
        <w:rPr>
          <w:rFonts w:ascii="Calibri" w:hAnsi="Calibri" w:cs="Calibri"/>
        </w:rPr>
      </w:pPr>
      <w:r w:rsidRPr="00304B05">
        <w:rPr>
          <w:rFonts w:ascii="Calibri" w:hAnsi="Calibri" w:cs="Calibri"/>
        </w:rPr>
        <w:t xml:space="preserve">Teachers trust our established products – including Accelerated Reader, </w:t>
      </w:r>
      <w:r w:rsidRPr="00304B05">
        <w:rPr>
          <w:rFonts w:ascii="Calibri" w:hAnsi="Calibri" w:cs="Calibri"/>
        </w:rPr>
        <w:t xml:space="preserve">Star Assessments, </w:t>
      </w:r>
      <w:r w:rsidRPr="00304B05">
        <w:rPr>
          <w:rFonts w:ascii="Calibri" w:hAnsi="Calibri" w:cs="Calibri"/>
        </w:rPr>
        <w:t>CAT4, PASS</w:t>
      </w:r>
      <w:r w:rsidRPr="00304B05">
        <w:rPr>
          <w:rFonts w:ascii="Calibri" w:hAnsi="Calibri" w:cs="Calibri"/>
        </w:rPr>
        <w:t xml:space="preserve"> </w:t>
      </w:r>
      <w:r w:rsidRPr="00304B05">
        <w:rPr>
          <w:rFonts w:ascii="Calibri" w:hAnsi="Calibri" w:cs="Calibri"/>
        </w:rPr>
        <w:t>and Nearpod – because they work. We can offer more support, better solutions and deeper analysis of what makes a difference in education. Every solution we create still aims to make teaching more effective and learning more achievable.</w:t>
      </w:r>
    </w:p>
    <w:p w:rsidR="00AE3590" w:rsidRPr="00304B05" w:rsidP="00946437">
      <w:pPr>
        <w:pStyle w:val="elementtoproof"/>
        <w:rPr>
          <w:rFonts w:ascii="Calibri" w:hAnsi="Calibri" w:cs="Calibri"/>
          <w:color w:val="000000"/>
          <w:sz w:val="22"/>
          <w:szCs w:val="22"/>
        </w:rPr>
      </w:pPr>
      <w:r w:rsidRPr="00304B05">
        <w:rPr>
          <w:rFonts w:ascii="Calibri" w:hAnsi="Calibri" w:cs="Calibri"/>
          <w:color w:val="000000"/>
          <w:sz w:val="22"/>
          <w:szCs w:val="22"/>
        </w:rPr>
        <w:t>We are happy to engage with the Select Committee should Members require further insight, expertise</w:t>
      </w:r>
      <w:r w:rsidRPr="00304B05">
        <w:rPr>
          <w:rFonts w:ascii="Calibri" w:hAnsi="Calibri" w:cs="Calibri"/>
          <w:color w:val="000000"/>
          <w:sz w:val="22"/>
          <w:szCs w:val="22"/>
        </w:rPr>
        <w:t>,</w:t>
      </w:r>
      <w:r w:rsidRPr="00304B05">
        <w:rPr>
          <w:rFonts w:ascii="Calibri" w:hAnsi="Calibri" w:cs="Calibri"/>
          <w:color w:val="000000"/>
          <w:sz w:val="22"/>
          <w:szCs w:val="22"/>
        </w:rPr>
        <w:t xml:space="preserve"> and research.</w:t>
      </w:r>
      <w:r w:rsidRPr="00304B05">
        <w:rPr>
          <w:rFonts w:ascii="Calibri" w:hAnsi="Calibri" w:cs="Calibri"/>
          <w:color w:val="000000"/>
          <w:sz w:val="22"/>
          <w:szCs w:val="22"/>
        </w:rPr>
        <w:t xml:space="preserve">  Our thoughts below set out how assessments can be used to best effect in a few </w:t>
      </w:r>
      <w:r w:rsidRPr="00304B05">
        <w:rPr>
          <w:rFonts w:ascii="Calibri" w:hAnsi="Calibri" w:cs="Calibri"/>
          <w:color w:val="000000"/>
          <w:sz w:val="22"/>
          <w:szCs w:val="22"/>
        </w:rPr>
        <w:t>keys</w:t>
      </w:r>
      <w:r w:rsidRPr="00304B05">
        <w:rPr>
          <w:rFonts w:ascii="Calibri" w:hAnsi="Calibri" w:cs="Calibri"/>
          <w:color w:val="000000"/>
          <w:sz w:val="22"/>
          <w:szCs w:val="22"/>
        </w:rPr>
        <w:t xml:space="preserve"> areas of education reform </w:t>
      </w:r>
      <w:r w:rsidRPr="00304B05">
        <w:rPr>
          <w:rFonts w:ascii="Calibri" w:hAnsi="Calibri" w:cs="Calibri"/>
          <w:color w:val="000000"/>
          <w:sz w:val="22"/>
          <w:szCs w:val="22"/>
        </w:rPr>
        <w:t>in order to</w:t>
      </w:r>
      <w:r w:rsidRPr="00304B05">
        <w:rPr>
          <w:rFonts w:ascii="Calibri" w:hAnsi="Calibri" w:cs="Calibri"/>
          <w:color w:val="000000"/>
          <w:sz w:val="22"/>
          <w:szCs w:val="22"/>
        </w:rPr>
        <w:t xml:space="preserve"> make progress on attainment and pupil wellbeing. </w:t>
      </w:r>
    </w:p>
    <w:p w:rsidR="00AE3590" w:rsidRPr="00304B05" w:rsidP="00946437">
      <w:pPr>
        <w:pStyle w:val="elementtoproof"/>
        <w:rPr>
          <w:rFonts w:ascii="Calibri" w:hAnsi="Calibri" w:cs="Calibri"/>
          <w:color w:val="000000"/>
          <w:sz w:val="22"/>
          <w:szCs w:val="22"/>
        </w:rPr>
      </w:pPr>
    </w:p>
    <w:p w:rsidR="00AE3590" w:rsidRPr="00304B05" w:rsidP="00A85F70">
      <w:pPr>
        <w:pStyle w:val="Body"/>
        <w:rPr>
          <w:rFonts w:cs="Calibri"/>
          <w:lang w:val="en-GB"/>
        </w:rPr>
      </w:pPr>
    </w:p>
    <w:p w:rsidR="00AE3590" w:rsidRPr="00304B05" w:rsidP="00A85F70">
      <w:pPr>
        <w:pStyle w:val="Heading"/>
        <w:rPr>
          <w:rFonts w:cs="Calibri"/>
          <w:sz w:val="22"/>
          <w:szCs w:val="22"/>
          <w:lang w:val="en-GB"/>
        </w:rPr>
      </w:pPr>
      <w:r w:rsidRPr="00304B05">
        <w:rPr>
          <w:rFonts w:cs="Calibri"/>
          <w:sz w:val="22"/>
          <w:szCs w:val="22"/>
          <w:lang w:val="en-GB"/>
        </w:rPr>
        <w:t xml:space="preserve">Assessment </w:t>
      </w:r>
      <w:r w:rsidRPr="00304B05">
        <w:rPr>
          <w:rFonts w:cs="Calibri"/>
          <w:sz w:val="22"/>
          <w:szCs w:val="22"/>
          <w:lang w:val="en-GB"/>
        </w:rPr>
        <w:t>and the importance of reading</w:t>
      </w:r>
    </w:p>
    <w:p w:rsidR="00AE3590" w:rsidRPr="00304B05" w:rsidP="00A85F70">
      <w:pPr>
        <w:pStyle w:val="Body"/>
        <w:rPr>
          <w:rFonts w:cs="Calibri"/>
          <w:lang w:val="en-GB"/>
        </w:rPr>
      </w:pPr>
    </w:p>
    <w:p w:rsidR="00AE3590" w:rsidRPr="00304B05" w:rsidP="00A85F70">
      <w:pPr>
        <w:pStyle w:val="Body"/>
        <w:spacing w:after="240" w:line="259" w:lineRule="auto"/>
        <w:rPr>
          <w:rFonts w:cs="Calibri"/>
          <w:lang w:val="en-GB"/>
        </w:rPr>
      </w:pPr>
      <w:r w:rsidRPr="00304B05">
        <w:rPr>
          <w:rFonts w:cs="Calibri"/>
          <w:lang w:val="en-GB"/>
        </w:rPr>
        <w:t xml:space="preserve">Comprehensive and consistent (but not too frequent) programmes of formative assessment provide a means through which teachers can highlight factors which prevent stumbling blocks and target interventions to improve educational attainment. Assessments are also critical in helping to uncover the ‘hard to spot’ children as confidence and engagement are intrinsically linked to educational attainment. The right data can make a huge difference to supporting </w:t>
      </w:r>
      <w:r w:rsidRPr="00304B05">
        <w:rPr>
          <w:rFonts w:cs="Calibri"/>
          <w:lang w:val="en-GB"/>
        </w:rPr>
        <w:t>a pupil’s progress and be enormously beneficial to teachers.  Indeed, 75% of teachers state that assessment data has helped to identify pupil issues such as dyslexia</w:t>
      </w:r>
      <w:r>
        <w:rPr>
          <w:rStyle w:val="FootnoteReference"/>
          <w:rFonts w:cs="Calibri"/>
          <w:lang w:val="en-GB"/>
        </w:rPr>
        <w:footnoteReference w:id="2"/>
      </w:r>
      <w:r w:rsidRPr="00304B05">
        <w:rPr>
          <w:rFonts w:cs="Calibri"/>
          <w:lang w:val="en-GB"/>
        </w:rPr>
        <w:t>.</w:t>
      </w:r>
    </w:p>
    <w:p w:rsidR="00AE3590" w:rsidRPr="00304B05" w:rsidP="00A85F70">
      <w:pPr>
        <w:pStyle w:val="Body"/>
        <w:spacing w:after="240" w:line="259" w:lineRule="auto"/>
        <w:rPr>
          <w:rFonts w:cs="Calibri"/>
          <w:u w:color="000000"/>
          <w:lang w:val="en-GB"/>
        </w:rPr>
      </w:pPr>
      <w:r w:rsidRPr="00304B05">
        <w:rPr>
          <w:rFonts w:cs="Calibri"/>
          <w:u w:color="000000"/>
          <w:lang w:val="en-GB"/>
        </w:rPr>
        <w:t xml:space="preserve">Reading is a critical skill, underpinning most subjects, and is rightly </w:t>
      </w:r>
      <w:r w:rsidRPr="00304B05">
        <w:rPr>
          <w:rFonts w:cs="Calibri"/>
          <w:u w:color="000000"/>
          <w:lang w:val="en-GB"/>
        </w:rPr>
        <w:t xml:space="preserve">considered </w:t>
      </w:r>
      <w:r w:rsidRPr="00304B05">
        <w:rPr>
          <w:rFonts w:cs="Calibri"/>
          <w:u w:color="000000"/>
          <w:lang w:val="en-GB"/>
        </w:rPr>
        <w:t>a core subject</w:t>
      </w:r>
      <w:r w:rsidRPr="00304B05">
        <w:rPr>
          <w:rFonts w:cs="Calibri"/>
          <w:i/>
          <w:iCs/>
          <w:u w:color="000000"/>
          <w:lang w:val="en-GB"/>
        </w:rPr>
        <w:t xml:space="preserve">. </w:t>
      </w:r>
      <w:r w:rsidRPr="00304B05">
        <w:rPr>
          <w:rFonts w:cs="Calibri"/>
          <w:u w:color="000000"/>
          <w:lang w:val="en-GB"/>
        </w:rPr>
        <w:t xml:space="preserve">As highlighted by Ann Mroz, former editor of the Tes, if pupils leave primary school without the necessary reading skills, their education at secondary level, which is premised on a certain level of reading and comprehension, will suffer immediately: </w:t>
      </w:r>
      <w:r w:rsidRPr="00304B05">
        <w:rPr>
          <w:rFonts w:cs="Calibri"/>
          <w:u w:color="000000"/>
          <w:rtl/>
          <w:lang w:val="en-GB"/>
        </w:rPr>
        <w:t>“</w:t>
      </w:r>
      <w:r w:rsidRPr="00304B05">
        <w:rPr>
          <w:rFonts w:cs="Calibri"/>
          <w:u w:color="000000"/>
          <w:lang w:val="en-GB"/>
        </w:rPr>
        <w:t>Reading is not a nice to have – it is a vital life skill.”</w:t>
      </w:r>
    </w:p>
    <w:p w:rsidR="00AE3590" w:rsidRPr="00304B05" w:rsidP="00A85F70">
      <w:pPr>
        <w:pStyle w:val="Body"/>
        <w:spacing w:after="160" w:line="259" w:lineRule="auto"/>
        <w:rPr>
          <w:rFonts w:cs="Calibri"/>
          <w:u w:color="000000"/>
          <w:lang w:val="en-GB"/>
        </w:rPr>
      </w:pPr>
      <w:r w:rsidRPr="00304B05">
        <w:rPr>
          <w:rFonts w:cs="Calibri"/>
          <w:u w:color="000000"/>
          <w:lang w:val="en-GB"/>
        </w:rPr>
        <w:t xml:space="preserve">Many students are </w:t>
      </w:r>
      <w:r w:rsidRPr="00304B05">
        <w:rPr>
          <w:rFonts w:cs="Calibri"/>
          <w:u w:color="000000"/>
          <w:rtl/>
          <w:lang w:val="en-GB"/>
        </w:rPr>
        <w:t>‘</w:t>
      </w:r>
      <w:r w:rsidRPr="00304B05">
        <w:rPr>
          <w:rFonts w:cs="Calibri"/>
          <w:u w:color="000000"/>
          <w:lang w:val="en-GB"/>
        </w:rPr>
        <w:t xml:space="preserve">invisible but struggling’ readers – students who can read enough to get </w:t>
      </w:r>
      <w:r w:rsidRPr="00304B05">
        <w:rPr>
          <w:rFonts w:cs="Calibri"/>
          <w:u w:color="000000"/>
          <w:lang w:val="en-GB"/>
        </w:rPr>
        <w:t>by but</w:t>
      </w:r>
      <w:r w:rsidRPr="00304B05">
        <w:rPr>
          <w:rFonts w:cs="Calibri"/>
          <w:u w:color="000000"/>
          <w:lang w:val="en-GB"/>
        </w:rPr>
        <w:t xml:space="preserve"> have gaps in their comprehension skills so struggle.</w:t>
      </w:r>
      <w:r>
        <w:rPr>
          <w:rFonts w:cs="Calibri"/>
          <w:u w:color="000000"/>
          <w:vertAlign w:val="superscript"/>
          <w:lang w:val="en-GB"/>
        </w:rPr>
        <w:footnoteReference w:id="3"/>
      </w:r>
      <w:r w:rsidRPr="00304B05">
        <w:rPr>
          <w:rFonts w:cs="Calibri"/>
          <w:u w:color="000000"/>
          <w:lang w:val="en-GB"/>
        </w:rPr>
        <w:t xml:space="preserve"> 71% of teachers think that there has been an increase in reluctant readers and 67% say they have noticed that reading ability tends to stall among average or below average students in KS3, leaving them unable to fully access GCSEs.  81% of teachers agree that if students cannot read at the expected level for their year group, they will not be able to access the curriculum. Further analysis in April suggested that teachers believe that an </w:t>
      </w:r>
      <w:r w:rsidRPr="00304B05">
        <w:rPr>
          <w:rFonts w:cs="Calibri"/>
          <w:u w:color="000000"/>
          <w:lang w:val="en-GB"/>
        </w:rPr>
        <w:t>average of half a day per week is lost helping students to read, with this not limited to English lessons.</w:t>
      </w:r>
      <w:r>
        <w:rPr>
          <w:rFonts w:cs="Calibri"/>
          <w:u w:color="000000"/>
          <w:vertAlign w:val="superscript"/>
          <w:lang w:val="en-GB"/>
        </w:rPr>
        <w:footnoteReference w:id="4"/>
      </w:r>
      <w:r w:rsidRPr="00304B05">
        <w:rPr>
          <w:rFonts w:cs="Calibri"/>
          <w:u w:color="000000"/>
          <w:lang w:val="en-GB"/>
        </w:rPr>
        <w:t xml:space="preserve"> Unlocking this problem early on is essential to ensure that pupils progress in line with expectations. </w:t>
      </w:r>
    </w:p>
    <w:p w:rsidR="00AE3590" w:rsidRPr="00304B05" w:rsidP="00A85F70">
      <w:pPr>
        <w:rPr>
          <w:rFonts w:ascii="Calibri" w:hAnsi="Calibri" w:cs="Calibri"/>
        </w:rPr>
      </w:pPr>
      <w:r w:rsidRPr="00304B05">
        <w:rPr>
          <w:rFonts w:ascii="Calibri" w:hAnsi="Calibri" w:cs="Calibri"/>
        </w:rPr>
        <w:t xml:space="preserve">Our Accelerated Reader (AR) programme is designed to promote reading for pleasure whilst supporting language development, academic achievement, and emotional growth. The programme motivates students to read books matched to their ability and then complete online quizzes and assessments, helping teachers track reading progress and identify comprehension and individual student needs.  </w:t>
      </w:r>
    </w:p>
    <w:p w:rsidR="00AE3590" w:rsidRPr="00304B05" w:rsidP="00A85F70">
      <w:pPr>
        <w:rPr>
          <w:rFonts w:ascii="Calibri" w:hAnsi="Calibri" w:cs="Calibri"/>
        </w:rPr>
      </w:pPr>
      <w:r w:rsidRPr="00304B05">
        <w:rPr>
          <w:rFonts w:ascii="Calibri" w:hAnsi="Calibri" w:cs="Calibri"/>
        </w:rPr>
        <w:t>A computer-adaptive assessment identifies each student’s reading level in around 20 minutes, enabling teachers to recommend appropriately challenging books. For struggling readers, selecting accessible texts they can successfully complete is often highly motivating.</w:t>
      </w:r>
    </w:p>
    <w:p w:rsidR="00AE3590" w:rsidRPr="00304B05" w:rsidP="00A85F70">
      <w:pPr>
        <w:rPr>
          <w:rFonts w:ascii="Calibri" w:hAnsi="Calibri" w:cs="Calibri"/>
        </w:rPr>
      </w:pPr>
      <w:r w:rsidRPr="00304B05">
        <w:rPr>
          <w:rFonts w:ascii="Calibri" w:hAnsi="Calibri" w:cs="Calibri"/>
        </w:rPr>
        <w:t xml:space="preserve">Students then take a short, engaging quiz on each book. Results are shared instantly with students, teachers, and parents, providing clear insight into progress. Points earned contribute to personalised targets, encouraging continued reading. </w:t>
      </w:r>
      <w:r w:rsidRPr="00304B05">
        <w:rPr>
          <w:rFonts w:ascii="Calibri" w:hAnsi="Calibri" w:cs="Calibri"/>
          <w:u w:color="000000"/>
        </w:rPr>
        <w:t>Analysis has suggested a strong positive correlation between use of AR and beneficial student outcomes.</w:t>
      </w:r>
      <w:r>
        <w:rPr>
          <w:rFonts w:ascii="Calibri" w:hAnsi="Calibri" w:cs="Calibri"/>
          <w:u w:color="000000"/>
          <w:vertAlign w:val="superscript"/>
        </w:rPr>
        <w:footnoteReference w:id="5"/>
      </w:r>
      <w:r w:rsidRPr="00304B05">
        <w:rPr>
          <w:rFonts w:ascii="Calibri" w:hAnsi="Calibri" w:cs="Calibri"/>
          <w:u w:color="000000"/>
        </w:rPr>
        <w:t xml:space="preserve"> </w:t>
      </w:r>
    </w:p>
    <w:p w:rsidR="00AE3590" w:rsidRPr="00304B05" w:rsidP="00A85F70">
      <w:pPr>
        <w:pStyle w:val="Body"/>
        <w:spacing w:after="160" w:line="259" w:lineRule="auto"/>
        <w:rPr>
          <w:rFonts w:cs="Calibri"/>
          <w:kern w:val="2"/>
          <w:u w:color="000000"/>
          <w:lang w:val="en-GB"/>
        </w:rPr>
      </w:pPr>
      <w:r w:rsidRPr="00304B05">
        <w:rPr>
          <w:rFonts w:cs="Calibri"/>
          <w:kern w:val="2"/>
          <w:u w:color="000000"/>
          <w:lang w:val="en-GB"/>
        </w:rPr>
        <w:t xml:space="preserve">The teacher can test the student’s comprehension of the text with an engaging, online, multiple-choice quiz on the book – with the results shared instantly with the student, their teacher and even their parents or guardians. For the most struggling readers, this is sometimes the first ‘test’ in which they have shown marked </w:t>
      </w:r>
      <w:r w:rsidRPr="00304B05">
        <w:rPr>
          <w:rFonts w:cs="Calibri"/>
          <w:kern w:val="2"/>
          <w:u w:color="000000"/>
          <w:lang w:val="en-GB"/>
        </w:rPr>
        <w:t>progression.</w:t>
      </w:r>
      <w:r w:rsidRPr="00304B05">
        <w:rPr>
          <w:rFonts w:cs="Calibri"/>
          <w:kern w:val="2"/>
          <w:u w:color="000000"/>
          <w:lang w:val="en-GB"/>
        </w:rPr>
        <w:t xml:space="preserve"> Meanwhile, the points earned for successfully passing the quiz count towards the student’s individual target set by their teacher – and this again motivates and encourages them to go on reading more books, take more quizzes and earn more points.  Analysis has suggested a strong positive correlation between use of AR and beneficial student outcomes, with this scaling upwards based on the quality of implementation.</w:t>
      </w:r>
      <w:r>
        <w:rPr>
          <w:rFonts w:cs="Calibri"/>
          <w:kern w:val="2"/>
          <w:u w:color="000000"/>
          <w:vertAlign w:val="superscript"/>
          <w:lang w:val="en-GB"/>
        </w:rPr>
        <w:footnoteReference w:id="6"/>
      </w:r>
      <w:r w:rsidRPr="00304B05">
        <w:rPr>
          <w:rFonts w:cs="Calibri"/>
          <w:kern w:val="2"/>
          <w:u w:color="000000"/>
          <w:lang w:val="en-GB"/>
        </w:rPr>
        <w:t xml:space="preserve"> </w:t>
      </w:r>
    </w:p>
    <w:p w:rsidR="00AE3590" w:rsidRPr="00304B05" w:rsidP="00A85F70">
      <w:pPr>
        <w:pStyle w:val="Body"/>
        <w:spacing w:after="160" w:line="259" w:lineRule="auto"/>
        <w:rPr>
          <w:rFonts w:cs="Calibri"/>
          <w:kern w:val="2"/>
          <w:u w:color="000000"/>
          <w:lang w:val="en-GB"/>
        </w:rPr>
      </w:pPr>
      <w:r w:rsidRPr="00304B05">
        <w:rPr>
          <w:rFonts w:cs="Calibri"/>
          <w:kern w:val="2"/>
          <w:u w:color="000000"/>
          <w:lang w:val="en-GB"/>
        </w:rPr>
        <w:t xml:space="preserve">Furthermore, not only does reading influence academic attainment, </w:t>
      </w:r>
      <w:r w:rsidRPr="00304B05">
        <w:rPr>
          <w:rFonts w:cs="Calibri"/>
          <w:kern w:val="2"/>
          <w:u w:color="000000"/>
          <w:lang w:val="en-GB"/>
        </w:rPr>
        <w:t>it</w:t>
      </w:r>
      <w:r w:rsidRPr="00304B05">
        <w:rPr>
          <w:rFonts w:cs="Calibri"/>
          <w:kern w:val="2"/>
          <w:u w:color="000000"/>
          <w:lang w:val="en-GB"/>
        </w:rPr>
        <w:t xml:space="preserve"> can also </w:t>
      </w:r>
      <w:r w:rsidRPr="00304B05">
        <w:rPr>
          <w:rFonts w:cs="Calibri"/>
          <w:kern w:val="2"/>
          <w:u w:color="000000"/>
          <w:lang w:val="en-GB"/>
        </w:rPr>
        <w:t>shape pupil behaviour in the classroom. Senior leaders in an inner-city secondary academy found leadership meetings being dominated by discussions about an emerging spike in negative behaviour of Year 9 boys. Typically, what started as low-level disruption in lessons quickly escalated to unrest in non-contact times, with increasing incidents of disruption and defiance in corridors between lessons and at break times.</w:t>
      </w:r>
    </w:p>
    <w:p w:rsidR="00AE3590" w:rsidRPr="00304B05" w:rsidP="00A85F70">
      <w:pPr>
        <w:pStyle w:val="Body"/>
        <w:spacing w:after="160" w:line="259" w:lineRule="auto"/>
        <w:rPr>
          <w:rFonts w:cs="Calibri"/>
          <w:u w:color="000000"/>
          <w:lang w:val="en-GB"/>
        </w:rPr>
      </w:pPr>
      <w:r w:rsidRPr="00304B05">
        <w:rPr>
          <w:rFonts w:cs="Calibri"/>
          <w:u w:color="000000"/>
          <w:lang w:val="en-GB"/>
        </w:rPr>
        <w:t xml:space="preserve">Their assessment data provided guidance on the issue. For this group of 30 boys, there was a high correlation between a rapid increase in negative behaviour and a dip in mean Standardised Age Scores (SAS) in their most recent New Group Reading Test (NGRT) results. Simply put, they were no longer average </w:t>
      </w:r>
      <w:r w:rsidRPr="00304B05">
        <w:rPr>
          <w:rFonts w:cs="Calibri"/>
          <w:u w:color="000000"/>
          <w:lang w:val="en-GB"/>
        </w:rPr>
        <w:t>students and</w:t>
      </w:r>
      <w:r w:rsidRPr="00304B05">
        <w:rPr>
          <w:rFonts w:cs="Calibri"/>
          <w:u w:color="000000"/>
          <w:lang w:val="en-GB"/>
        </w:rPr>
        <w:t xml:space="preserve"> now struggled to access the rising level of work in lessons because of emerging reading difficulties and thus were anxious about the perceived challenges ahead. </w:t>
      </w:r>
    </w:p>
    <w:p w:rsidR="00AE3590" w:rsidRPr="00304B05" w:rsidP="00A85F70">
      <w:pPr>
        <w:pStyle w:val="Body"/>
        <w:spacing w:after="160" w:line="259" w:lineRule="auto"/>
        <w:rPr>
          <w:rFonts w:cs="Calibri"/>
          <w:u w:color="000000"/>
          <w:lang w:val="en-GB"/>
        </w:rPr>
      </w:pPr>
      <w:r w:rsidRPr="00304B05">
        <w:rPr>
          <w:rFonts w:cs="Calibri"/>
          <w:u w:color="000000"/>
          <w:lang w:val="en-GB"/>
        </w:rPr>
        <w:t>The school designed an intervention programme in response, with a view to re-sitting the NGRT at the end of the twelve weeks. The impact was palpable. Within the first eight weeks, negative behaviours had started to reduce and more interestingly, positive behaviour points for these students were increasing. Anecdotally, they were re-engaging again.  By mid-July of that academic year, all but a handful had graduated</w:t>
      </w:r>
      <w:r w:rsidRPr="00304B05">
        <w:rPr>
          <w:rFonts w:cs="Calibri"/>
          <w:u w:color="000000"/>
          <w:rtl/>
          <w:lang w:val="en-GB"/>
        </w:rPr>
        <w:t xml:space="preserve"> </w:t>
      </w:r>
      <w:r w:rsidRPr="00304B05">
        <w:rPr>
          <w:rFonts w:cs="Calibri"/>
          <w:u w:color="000000"/>
          <w:lang w:val="en-GB"/>
        </w:rPr>
        <w:t>from their reading interventions, behaviour patterns had returned to normal and, most importantly, that cohort of young people were excited about starting their new courses in September. Thus, assessment not only can increase the reading capabilities of students but can also provide a source of data to identify the deeper roots of behavioural issues. At the same time, this case study demonstrates the foundational place of reading skills in the curriculum.</w:t>
      </w:r>
      <w:r>
        <w:rPr>
          <w:rStyle w:val="FootnoteReference"/>
          <w:rFonts w:cs="Calibri"/>
          <w:u w:color="000000"/>
          <w:lang w:val="en-GB"/>
        </w:rPr>
        <w:footnoteReference w:id="7"/>
      </w:r>
    </w:p>
    <w:p w:rsidR="00AE3590" w:rsidRPr="00304B05" w:rsidP="00A85F70">
      <w:pPr>
        <w:pStyle w:val="Body"/>
        <w:rPr>
          <w:rFonts w:cs="Calibri"/>
          <w:b/>
          <w:bCs/>
          <w:u w:val="single"/>
          <w:lang w:val="en-GB"/>
        </w:rPr>
      </w:pPr>
      <w:r w:rsidRPr="00304B05">
        <w:rPr>
          <w:rFonts w:cs="Calibri"/>
          <w:b/>
          <w:bCs/>
          <w:u w:val="single"/>
          <w:lang w:val="en-GB"/>
        </w:rPr>
        <w:t>Assessment nationally</w:t>
      </w:r>
    </w:p>
    <w:p w:rsidR="00AE3590" w:rsidRPr="00304B05" w:rsidP="00A85F70">
      <w:pPr>
        <w:pStyle w:val="Body"/>
        <w:rPr>
          <w:rFonts w:cs="Calibri"/>
          <w:b/>
          <w:bCs/>
          <w:u w:val="single"/>
          <w:lang w:val="en-GB"/>
        </w:rPr>
      </w:pPr>
    </w:p>
    <w:p w:rsidR="00AE3590" w:rsidRPr="00304B05" w:rsidP="00A85F70">
      <w:pPr>
        <w:pStyle w:val="Body"/>
        <w:spacing w:after="160" w:line="259" w:lineRule="auto"/>
        <w:rPr>
          <w:rFonts w:cs="Calibri"/>
          <w:u w:color="000000"/>
          <w:lang w:val="en-GB"/>
        </w:rPr>
      </w:pPr>
      <w:r w:rsidRPr="00304B05">
        <w:rPr>
          <w:rFonts w:cs="Calibri"/>
          <w:u w:color="000000"/>
          <w:lang w:val="en-GB"/>
        </w:rPr>
        <w:t xml:space="preserve">Assessment data can also provide a macrocosmic look at the performance of students across the country, while also providing the capacity to subdivide students into certain categories to enable comparative analysis of the respective groups. </w:t>
      </w:r>
    </w:p>
    <w:p w:rsidR="00AE3590" w:rsidRPr="00304B05" w:rsidP="00A85F70">
      <w:pPr>
        <w:pStyle w:val="Body"/>
        <w:spacing w:after="160" w:line="259" w:lineRule="auto"/>
        <w:rPr>
          <w:rFonts w:cs="Calibri"/>
          <w:b/>
          <w:bCs/>
          <w:i/>
          <w:iCs/>
          <w:u w:color="000000"/>
          <w:lang w:val="en-GB"/>
        </w:rPr>
      </w:pPr>
      <w:r w:rsidRPr="00304B05">
        <w:rPr>
          <w:rFonts w:cs="Calibri"/>
          <w:u w:color="000000"/>
          <w:lang w:val="en-GB"/>
        </w:rPr>
        <w:t xml:space="preserve">Our recent research (which was a continuation of work originally commissioned in 2020 by the Department for Education) with the Education Policy Institute (EPI), </w:t>
      </w:r>
      <w:r w:rsidRPr="00304B05">
        <w:rPr>
          <w:rFonts w:cs="Calibri"/>
          <w:b/>
          <w:bCs/>
          <w:i/>
          <w:iCs/>
          <w:u w:color="000000"/>
          <w:lang w:val="en-GB"/>
        </w:rPr>
        <w:t xml:space="preserve">Measuring the outcomes of different pupil groups using Star Assessments 2022/23, </w:t>
      </w:r>
      <w:r w:rsidRPr="00304B05">
        <w:rPr>
          <w:rFonts w:cs="Calibri"/>
          <w:u w:color="000000"/>
          <w:lang w:val="en-GB"/>
        </w:rPr>
        <w:t>does precisely this.</w:t>
      </w:r>
      <w:r>
        <w:rPr>
          <w:rFonts w:cs="Calibri"/>
          <w:u w:color="000000"/>
          <w:vertAlign w:val="superscript"/>
          <w:lang w:val="en-GB"/>
        </w:rPr>
        <w:footnoteReference w:id="8"/>
      </w:r>
      <w:r w:rsidRPr="00304B05">
        <w:rPr>
          <w:rFonts w:cs="Calibri"/>
          <w:u w:color="000000"/>
          <w:lang w:val="en-GB"/>
        </w:rPr>
        <w:t xml:space="preserve"> With data premised on our Star Assessments in maths and reading, the EPI report analyses the educational recoveries of various groups to the pandemic. Star Assessment data allow us to accurately assess the average capacity of students by setting the raw scores against months of learning. From this, we can then judge the learning differential between different student groups, in average month difference.</w:t>
      </w:r>
    </w:p>
    <w:p w:rsidR="00AE3590" w:rsidRPr="00304B05" w:rsidP="00A85F70">
      <w:pPr>
        <w:pStyle w:val="Body"/>
        <w:spacing w:after="160" w:line="259" w:lineRule="auto"/>
        <w:rPr>
          <w:rFonts w:cs="Calibri"/>
          <w:u w:color="000000"/>
          <w:lang w:val="en-GB"/>
        </w:rPr>
      </w:pPr>
      <w:r w:rsidRPr="00304B05">
        <w:rPr>
          <w:rFonts w:cs="Calibri"/>
          <w:u w:color="000000"/>
          <w:lang w:val="en-GB"/>
        </w:rPr>
        <w:t>This technique enabled us to judge that girls, for example, were more adversely affected by the pandemic than boys. In primary reading, the gap between girls and boys narrowed by a month and in primary maths, the gap widened by two months, to make a 2.9-month</w:t>
      </w:r>
      <w:r w:rsidRPr="00304B05">
        <w:rPr>
          <w:rFonts w:cs="Calibri"/>
          <w:u w:color="000000"/>
          <w:lang w:val="en-GB"/>
        </w:rPr>
        <w:t xml:space="preserve"> difference in favour of boys against girls. The same is true in secondary education, where the reading gap narrowed by 1.2 months, and the maths gap, which, unlike in primary education, is in favour of girls, narrowed by 3.6 months. The research has enabled us to make similar judgements on geographic region, SEND status, ethnicity and English as an additional language </w:t>
      </w:r>
      <w:r w:rsidRPr="00304B05">
        <w:rPr>
          <w:rFonts w:cs="Calibri"/>
          <w:u w:color="000000"/>
          <w:lang w:val="en-GB"/>
        </w:rPr>
        <w:t>students</w:t>
      </w:r>
      <w:r w:rsidRPr="00304B05">
        <w:rPr>
          <w:rFonts w:cs="Calibri"/>
          <w:u w:color="000000"/>
          <w:lang w:val="en-GB"/>
        </w:rPr>
        <w:t>. This data can be used to inform national and regional educational policy, enabling decision makers to target specific areas and gr</w:t>
      </w:r>
      <w:r w:rsidRPr="00304B05">
        <w:rPr>
          <w:rFonts w:cs="Calibri"/>
          <w:u w:color="000000"/>
          <w:lang w:val="en-GB"/>
        </w:rPr>
        <w:t>oups of need.</w:t>
      </w:r>
    </w:p>
    <w:p w:rsidR="00AE3590" w:rsidRPr="00304B05" w:rsidP="00A85F70">
      <w:pPr>
        <w:pStyle w:val="Body"/>
        <w:rPr>
          <w:rFonts w:cs="Calibri"/>
          <w:b/>
          <w:bCs/>
          <w:u w:val="single"/>
          <w:lang w:val="en-GB"/>
        </w:rPr>
      </w:pPr>
      <w:r w:rsidRPr="00304B05">
        <w:rPr>
          <w:rFonts w:cs="Calibri"/>
          <w:b/>
          <w:bCs/>
          <w:u w:val="single"/>
          <w:lang w:val="en-GB"/>
        </w:rPr>
        <w:t>Quality over quantity</w:t>
      </w:r>
    </w:p>
    <w:p w:rsidR="00AE3590" w:rsidRPr="00304B05" w:rsidP="00A85F70">
      <w:pPr>
        <w:pStyle w:val="Body"/>
        <w:rPr>
          <w:rFonts w:cs="Calibri"/>
          <w:b/>
          <w:bCs/>
          <w:u w:val="single"/>
          <w:lang w:val="en-GB"/>
        </w:rPr>
      </w:pPr>
    </w:p>
    <w:p w:rsidR="00AE3590" w:rsidRPr="00304B05" w:rsidP="00A85F70">
      <w:pPr>
        <w:pStyle w:val="Body"/>
        <w:rPr>
          <w:rFonts w:cs="Calibri"/>
          <w:lang w:val="en-GB"/>
        </w:rPr>
      </w:pPr>
      <w:r w:rsidRPr="00304B05">
        <w:rPr>
          <w:rFonts w:cs="Calibri"/>
          <w:lang w:val="en-GB"/>
        </w:rPr>
        <w:t xml:space="preserve">It is essential that we do not overburden students and teachers with assessments. </w:t>
      </w:r>
      <w:r w:rsidRPr="00304B05">
        <w:rPr>
          <w:rFonts w:cs="Calibri"/>
          <w:lang w:val="en-GB"/>
        </w:rPr>
        <w:t>In order for</w:t>
      </w:r>
      <w:r w:rsidRPr="00304B05">
        <w:rPr>
          <w:rFonts w:cs="Calibri"/>
          <w:lang w:val="en-GB"/>
        </w:rPr>
        <w:t xml:space="preserve"> assessment to be successful it should only be used for one purpose at any one time. This approach also means that schools do not require much assessment to identify any anomalies.  </w:t>
      </w:r>
    </w:p>
    <w:p w:rsidR="00AE3590" w:rsidRPr="00304B05" w:rsidP="00A85F70">
      <w:pPr>
        <w:pStyle w:val="Body"/>
        <w:rPr>
          <w:rFonts w:cs="Calibri"/>
          <w:lang w:val="en-GB"/>
        </w:rPr>
      </w:pPr>
    </w:p>
    <w:p w:rsidR="00AE3590" w:rsidRPr="00304B05" w:rsidP="00A85F70">
      <w:pPr>
        <w:pStyle w:val="Body"/>
        <w:rPr>
          <w:rFonts w:cs="Calibri"/>
          <w:lang w:val="en-GB"/>
        </w:rPr>
      </w:pPr>
      <w:r w:rsidRPr="00304B05">
        <w:rPr>
          <w:rFonts w:cs="Calibri"/>
          <w:lang w:val="en-GB"/>
        </w:rPr>
        <w:t>There are many ways to implement assessment programmes into schools. Whichever model is chosen, success will be based on ensuring that the fundamentals of assessment are followed so schools need to be clear on what they want to achieve, involve staff and support staff in their use of the data, and be clear that data is just the start of the process.</w:t>
      </w:r>
    </w:p>
    <w:p w:rsidR="00AE3590" w:rsidRPr="00304B05" w:rsidP="00A85F70">
      <w:pPr>
        <w:pStyle w:val="Body"/>
        <w:rPr>
          <w:rFonts w:cs="Calibri"/>
          <w:lang w:val="en-GB"/>
        </w:rPr>
      </w:pPr>
    </w:p>
    <w:p w:rsidR="00AE3590" w:rsidRPr="00304B05" w:rsidP="00A85F70">
      <w:pPr>
        <w:pStyle w:val="Body"/>
        <w:rPr>
          <w:rFonts w:cs="Calibri"/>
          <w:lang w:val="en-GB"/>
        </w:rPr>
      </w:pPr>
      <w:r w:rsidRPr="00304B05">
        <w:rPr>
          <w:rFonts w:cs="Calibri"/>
          <w:lang w:val="en-GB"/>
        </w:rPr>
        <w:t xml:space="preserve">Given the continued focus on teacher workload, our advice to schools is that assessments should be used sparingly as repeating the same assessment more than a few times a year will not add any </w:t>
      </w:r>
      <w:r w:rsidRPr="00304B05">
        <w:rPr>
          <w:rFonts w:cs="Calibri"/>
          <w:lang w:val="en-GB"/>
        </w:rPr>
        <w:t>extra insight and will only add to teacher workload. Indeed, our own research shows that 41% of teachers believe that three to four tests per year for each class is sufficient to allow them to do their job well.</w:t>
      </w:r>
    </w:p>
    <w:p w:rsidR="00AE3590" w:rsidRPr="00304B05" w:rsidP="00A85F70">
      <w:pPr>
        <w:pStyle w:val="Body"/>
        <w:rPr>
          <w:rFonts w:cs="Calibri"/>
          <w:lang w:val="en-GB"/>
        </w:rPr>
      </w:pPr>
    </w:p>
    <w:p w:rsidR="00AE3590" w:rsidRPr="00304B05" w:rsidP="00A85F70">
      <w:pPr>
        <w:pStyle w:val="Body"/>
        <w:rPr>
          <w:rFonts w:cs="Calibri"/>
          <w:lang w:val="en-GB"/>
        </w:rPr>
      </w:pPr>
      <w:r w:rsidRPr="00304B05">
        <w:rPr>
          <w:rFonts w:cs="Calibri"/>
          <w:lang w:val="en-GB"/>
        </w:rPr>
        <w:t xml:space="preserve">Assessments should be ‘smart’ – they should be infrequent, easy to use, and cumulative, allowing teachers to build profiles of children over several years. Smart data is not an end </w:t>
      </w:r>
      <w:r w:rsidRPr="00304B05">
        <w:rPr>
          <w:rFonts w:cs="Calibri"/>
          <w:lang w:val="en-GB"/>
        </w:rPr>
        <w:t>in itself but</w:t>
      </w:r>
      <w:r w:rsidRPr="00304B05">
        <w:rPr>
          <w:rFonts w:cs="Calibri"/>
          <w:lang w:val="en-GB"/>
        </w:rPr>
        <w:t xml:space="preserve"> it provides enough information for a teacher to help a student. And the assessment should provide this data easily, concisely and accessibly, so teachers do not need to spend hours inputting or analysing it.</w:t>
      </w:r>
    </w:p>
    <w:p w:rsidR="00AE3590" w:rsidRPr="00304B05" w:rsidP="00A85F70">
      <w:pPr>
        <w:pStyle w:val="Body"/>
        <w:rPr>
          <w:rFonts w:cs="Calibri"/>
          <w:lang w:val="en-GB"/>
        </w:rPr>
      </w:pPr>
    </w:p>
    <w:p w:rsidR="00AE3590" w:rsidRPr="00304B05" w:rsidP="008B2929">
      <w:pPr>
        <w:pStyle w:val="Body"/>
        <w:rPr>
          <w:rFonts w:cs="Calibri"/>
          <w:b/>
          <w:bCs/>
          <w:u w:val="single"/>
          <w:lang w:val="en-GB"/>
        </w:rPr>
      </w:pPr>
      <w:r w:rsidRPr="00304B05">
        <w:rPr>
          <w:rFonts w:cs="Calibri"/>
          <w:b/>
          <w:bCs/>
          <w:u w:val="single"/>
          <w:lang w:val="en-GB"/>
        </w:rPr>
        <w:t>Attendance</w:t>
      </w:r>
    </w:p>
    <w:p w:rsidR="00AE3590" w:rsidRPr="00304B05" w:rsidP="008B2929">
      <w:pPr>
        <w:pStyle w:val="Body"/>
        <w:rPr>
          <w:rFonts w:cs="Calibri"/>
          <w:b/>
          <w:bCs/>
          <w:u w:val="single"/>
          <w:lang w:val="en-GB"/>
        </w:rPr>
      </w:pPr>
    </w:p>
    <w:p w:rsidR="00AE3590" w:rsidRPr="00304B05" w:rsidP="008B2929">
      <w:pPr>
        <w:pStyle w:val="Body"/>
        <w:spacing w:after="160" w:line="259" w:lineRule="auto"/>
        <w:rPr>
          <w:rFonts w:cs="Calibri"/>
          <w:kern w:val="2"/>
          <w:u w:color="000000"/>
          <w:lang w:val="en-GB"/>
        </w:rPr>
      </w:pPr>
      <w:r w:rsidRPr="00304B05">
        <w:rPr>
          <w:rFonts w:cs="Calibri"/>
          <w:kern w:val="2"/>
          <w:u w:color="000000"/>
          <w:lang w:val="en-GB"/>
        </w:rPr>
        <w:t>A</w:t>
      </w:r>
      <w:r w:rsidRPr="00304B05">
        <w:rPr>
          <w:rFonts w:cs="Calibri"/>
          <w:kern w:val="2"/>
          <w:u w:color="000000"/>
          <w:lang w:val="en-GB"/>
        </w:rPr>
        <w:t>ssessment can go beyond directly informing schools on learning progress and help resolve some of the other issues facing schools. Attendance is a key example here. Over the last few years, it has become clear that for any vulnerable child, being out of school can have a serious impact not only on their educational attainment but on their physical, mental and emotional wellbeing.</w:t>
      </w:r>
    </w:p>
    <w:p w:rsidR="00AE3590" w:rsidRPr="00304B05" w:rsidP="006368BD">
      <w:pPr>
        <w:pStyle w:val="Default"/>
        <w:rPr>
          <w:rFonts w:ascii="Calibri" w:hAnsi="Calibri" w:cs="Calibri"/>
          <w:color w:val="000000" w:themeColor="text1"/>
          <w:sz w:val="22"/>
          <w:szCs w:val="22"/>
        </w:rPr>
      </w:pPr>
      <w:r w:rsidRPr="00304B05">
        <w:rPr>
          <w:rFonts w:ascii="Calibri" w:hAnsi="Calibri" w:cs="Calibri"/>
          <w:color w:val="000000" w:themeColor="text1"/>
          <w:sz w:val="22"/>
          <w:szCs w:val="22"/>
        </w:rPr>
        <w:t>Data published from the UK national attendance figures</w:t>
      </w:r>
      <w:r>
        <w:rPr>
          <w:rStyle w:val="FootnoteReference"/>
          <w:rFonts w:ascii="Calibri" w:hAnsi="Calibri" w:cs="Calibri"/>
          <w:color w:val="000000" w:themeColor="text1"/>
          <w:sz w:val="22"/>
          <w:szCs w:val="22"/>
        </w:rPr>
        <w:footnoteReference w:id="9"/>
      </w:r>
      <w:r w:rsidRPr="00304B05">
        <w:rPr>
          <w:rFonts w:ascii="Calibri" w:hAnsi="Calibri" w:cs="Calibri"/>
          <w:color w:val="000000" w:themeColor="text1"/>
          <w:sz w:val="22"/>
          <w:szCs w:val="22"/>
        </w:rPr>
        <w:t xml:space="preserve"> shows that pupils are experiencing absence at a much higher rate than before the pandemic. As of </w:t>
      </w:r>
      <w:r w:rsidRPr="00304B05">
        <w:rPr>
          <w:rFonts w:ascii="Calibri" w:hAnsi="Calibri" w:cs="Calibri"/>
          <w:color w:val="000000" w:themeColor="text1"/>
          <w:sz w:val="22"/>
          <w:szCs w:val="22"/>
        </w:rPr>
        <w:t>June 2026</w:t>
      </w:r>
      <w:r w:rsidRPr="00304B05">
        <w:rPr>
          <w:rFonts w:ascii="Calibri" w:hAnsi="Calibri" w:cs="Calibri"/>
          <w:color w:val="000000" w:themeColor="text1"/>
          <w:sz w:val="22"/>
          <w:szCs w:val="22"/>
        </w:rPr>
        <w:t xml:space="preserve">, overall absence rates were sitting at </w:t>
      </w:r>
      <w:r w:rsidRPr="00304B05">
        <w:rPr>
          <w:rFonts w:ascii="Calibri" w:hAnsi="Calibri" w:cs="Calibri"/>
          <w:color w:val="000000" w:themeColor="text1"/>
          <w:sz w:val="22"/>
          <w:szCs w:val="22"/>
        </w:rPr>
        <w:t>11.87</w:t>
      </w:r>
      <w:r w:rsidRPr="00304B05">
        <w:rPr>
          <w:rFonts w:ascii="Calibri" w:hAnsi="Calibri" w:cs="Calibri"/>
          <w:color w:val="000000" w:themeColor="text1"/>
          <w:sz w:val="22"/>
          <w:szCs w:val="22"/>
        </w:rPr>
        <w:t xml:space="preserve">%, of which </w:t>
      </w:r>
      <w:r w:rsidRPr="00304B05">
        <w:rPr>
          <w:rFonts w:ascii="Calibri" w:hAnsi="Calibri" w:cs="Calibri"/>
          <w:color w:val="000000" w:themeColor="text1"/>
          <w:sz w:val="22"/>
          <w:szCs w:val="22"/>
        </w:rPr>
        <w:t>18.66</w:t>
      </w:r>
      <w:r w:rsidRPr="00304B05">
        <w:rPr>
          <w:rFonts w:ascii="Calibri" w:hAnsi="Calibri" w:cs="Calibri"/>
          <w:color w:val="000000" w:themeColor="text1"/>
          <w:sz w:val="22"/>
          <w:szCs w:val="22"/>
        </w:rPr>
        <w:t>% of the figure were recorded as persistent absence.  The Department for Education believes this is higher than before the pandemic lockdowns and has recognised that persistent absences can not only lead to the obvious loss of learning, but a host of additional social, emotional and economic difficulties which can be difficult to overcome.</w:t>
      </w:r>
    </w:p>
    <w:p w:rsidR="00AE3590" w:rsidRPr="00304B05" w:rsidP="006368BD">
      <w:pPr>
        <w:pStyle w:val="Default"/>
        <w:rPr>
          <w:rFonts w:ascii="Calibri" w:hAnsi="Calibri" w:cs="Calibri"/>
          <w:color w:val="000000" w:themeColor="text1"/>
          <w:sz w:val="22"/>
          <w:szCs w:val="22"/>
        </w:rPr>
      </w:pPr>
      <w:r w:rsidRPr="00304B05">
        <w:rPr>
          <w:rFonts w:ascii="Calibri" w:hAnsi="Calibri" w:cs="Calibri"/>
          <w:color w:val="000000" w:themeColor="text1"/>
          <w:sz w:val="22"/>
          <w:szCs w:val="22"/>
        </w:rPr>
        <w:t>A</w:t>
      </w:r>
      <w:r w:rsidRPr="00304B05">
        <w:rPr>
          <w:rFonts w:ascii="Calibri" w:hAnsi="Calibri" w:cs="Calibri"/>
          <w:color w:val="000000" w:themeColor="text1"/>
          <w:sz w:val="22"/>
          <w:szCs w:val="22"/>
        </w:rPr>
        <w:t xml:space="preserve">s part of the Education Select Committee’s inquiry into persistent and long-term school absence, in March 2023, the Children’s Commissioner for England Dame Rachel de Souza identified that illness was not accountable for the persistent absence of 818,000 children during the spring of 2021-2022. She has made tackling this a top priority of her term in office.  The ‘Attendance Audit’ she launched in January 2022 spoke to children of all ages missing from and struggling to engage with education to try to </w:t>
      </w:r>
      <w:r w:rsidRPr="00304B05">
        <w:rPr>
          <w:rFonts w:ascii="Calibri" w:hAnsi="Calibri" w:cs="Calibri"/>
          <w:color w:val="000000" w:themeColor="text1"/>
          <w:sz w:val="22"/>
          <w:szCs w:val="22"/>
        </w:rPr>
        <w:t xml:space="preserve">find out what they need to get back into school. She maintains that some of these children are not absent from school because they do not want to learn. On the contrary, they are desperate to learn but everyday thousands of children find themselves without the support that they need to engage in education and attend school. These children have since been described as ‘missing from education’ often </w:t>
      </w:r>
      <w:r w:rsidRPr="00304B05">
        <w:rPr>
          <w:rFonts w:ascii="Calibri" w:hAnsi="Calibri" w:cs="Calibri"/>
          <w:color w:val="000000" w:themeColor="text1"/>
          <w:sz w:val="22"/>
          <w:szCs w:val="22"/>
        </w:rPr>
        <w:t>as a consequence of</w:t>
      </w:r>
      <w:r w:rsidRPr="00304B05">
        <w:rPr>
          <w:rFonts w:ascii="Calibri" w:hAnsi="Calibri" w:cs="Calibri"/>
          <w:color w:val="000000" w:themeColor="text1"/>
          <w:sz w:val="22"/>
          <w:szCs w:val="22"/>
        </w:rPr>
        <w:t xml:space="preserve"> a complex and interconnected set of issues.</w:t>
      </w:r>
    </w:p>
    <w:p w:rsidR="00AE3590" w:rsidRPr="00304B05" w:rsidP="006368BD">
      <w:pPr>
        <w:pStyle w:val="Default"/>
        <w:rPr>
          <w:rFonts w:ascii="Calibri" w:hAnsi="Calibri" w:cs="Calibri"/>
          <w:color w:val="000000" w:themeColor="text1"/>
          <w:sz w:val="22"/>
          <w:szCs w:val="22"/>
        </w:rPr>
      </w:pPr>
      <w:r w:rsidRPr="00304B05">
        <w:rPr>
          <w:rFonts w:ascii="Calibri" w:hAnsi="Calibri" w:cs="Calibri"/>
          <w:color w:val="000000" w:themeColor="text1"/>
          <w:sz w:val="22"/>
          <w:szCs w:val="22"/>
        </w:rPr>
        <w:t xml:space="preserve">While </w:t>
      </w:r>
      <w:r w:rsidRPr="00304B05">
        <w:rPr>
          <w:rFonts w:ascii="Calibri" w:hAnsi="Calibri" w:cs="Calibri"/>
          <w:color w:val="000000" w:themeColor="text1"/>
          <w:sz w:val="22"/>
          <w:szCs w:val="22"/>
        </w:rPr>
        <w:t>the pandemic is viewed by many as the catalyst, anecdotally, voices across the education sector have cited a multitude of other reasons for growing absences. From issues such as critical thinking about school, to shifts in cultural expectations or connectedness, to different environmental preferences for neurodiverse learners, colleagues are trying to better understand why many pupils are absent from school.  </w:t>
      </w:r>
    </w:p>
    <w:p w:rsidR="00AE3590" w:rsidRPr="00304B05" w:rsidP="006368BD">
      <w:pPr>
        <w:pStyle w:val="Default"/>
        <w:rPr>
          <w:rFonts w:ascii="Calibri" w:hAnsi="Calibri" w:cs="Calibri"/>
          <w:color w:val="000000" w:themeColor="text1"/>
          <w:sz w:val="22"/>
          <w:szCs w:val="22"/>
        </w:rPr>
      </w:pPr>
      <w:r w:rsidRPr="00304B05">
        <w:rPr>
          <w:rFonts w:ascii="Calibri" w:hAnsi="Calibri" w:cs="Calibri"/>
          <w:color w:val="000000" w:themeColor="text1"/>
          <w:sz w:val="22"/>
          <w:szCs w:val="22"/>
        </w:rPr>
        <w:t xml:space="preserve">In February 2022, Ofsted published their </w:t>
      </w:r>
      <w:r w:rsidRPr="00304B05">
        <w:rPr>
          <w:rFonts w:ascii="Calibri" w:hAnsi="Calibri" w:cs="Calibri"/>
          <w:b/>
          <w:bCs/>
          <w:i/>
          <w:iCs/>
          <w:color w:val="000000" w:themeColor="text1"/>
          <w:sz w:val="22"/>
          <w:szCs w:val="22"/>
        </w:rPr>
        <w:t>Securing good attendance and tackling persistent absence</w:t>
      </w:r>
      <w:r>
        <w:rPr>
          <w:rStyle w:val="FootnoteReference"/>
          <w:rFonts w:ascii="Calibri" w:hAnsi="Calibri" w:cs="Calibri"/>
          <w:color w:val="000000" w:themeColor="text1"/>
          <w:sz w:val="22"/>
          <w:szCs w:val="22"/>
        </w:rPr>
        <w:footnoteReference w:id="10"/>
      </w:r>
      <w:r w:rsidRPr="00304B05">
        <w:rPr>
          <w:rFonts w:ascii="Calibri" w:hAnsi="Calibri" w:cs="Calibri"/>
          <w:color w:val="000000" w:themeColor="text1"/>
          <w:sz w:val="22"/>
          <w:szCs w:val="22"/>
        </w:rPr>
        <w:t xml:space="preserve"> report. Sharing the approaches adopted by schools that were effectively addressing these </w:t>
      </w:r>
      <w:r w:rsidRPr="00304B05">
        <w:rPr>
          <w:rFonts w:ascii="Calibri" w:hAnsi="Calibri" w:cs="Calibri"/>
          <w:color w:val="000000" w:themeColor="text1"/>
          <w:sz w:val="22"/>
          <w:szCs w:val="22"/>
        </w:rPr>
        <w:t>issues, the report summarises the best systems as those that ‘listen, understand empathise and support – but do not tolerate’. It determines that leaders in these schools 'systematically analyse attendance information’ to spot patterns and trends and then ‘use this analysis to target their actions, both for individuals and at a whole-school level’. </w:t>
      </w:r>
    </w:p>
    <w:p w:rsidR="00AE3590" w:rsidRPr="00304B05" w:rsidP="006368BD">
      <w:pPr>
        <w:pStyle w:val="Default"/>
        <w:rPr>
          <w:rFonts w:ascii="Calibri" w:hAnsi="Calibri" w:cs="Calibri"/>
          <w:color w:val="000000" w:themeColor="text1"/>
          <w:sz w:val="22"/>
          <w:szCs w:val="22"/>
        </w:rPr>
      </w:pPr>
      <w:r w:rsidRPr="00304B05">
        <w:rPr>
          <w:rFonts w:ascii="Calibri" w:hAnsi="Calibri" w:cs="Calibri"/>
          <w:color w:val="000000" w:themeColor="text1"/>
          <w:sz w:val="22"/>
          <w:szCs w:val="22"/>
        </w:rPr>
        <w:t xml:space="preserve">There is a plethora of research that shows a direct correlation between attendance and academic performance.  Students with poor performance tend to suffer in reading ability, which inevitably leads to a fall across a host of other subjects by the time they leave primary school.  Absenteeism </w:t>
      </w:r>
      <w:r w:rsidRPr="00304B05">
        <w:rPr>
          <w:rFonts w:ascii="Calibri" w:hAnsi="Calibri" w:cs="Calibri"/>
          <w:color w:val="000000" w:themeColor="text1"/>
          <w:sz w:val="22"/>
          <w:szCs w:val="22"/>
        </w:rPr>
        <w:t xml:space="preserve">can be down to barriers to attendance, aversion to school or disengagement with school. Addressing these challenges starts with a support framework that brings together staff, parents and pupils to introduce targeted measures to tackle the reason for their absenteeism and then correct the anomalies. </w:t>
      </w:r>
    </w:p>
    <w:p w:rsidR="00AE3590" w:rsidRPr="00304B05" w:rsidP="006368BD">
      <w:pPr>
        <w:pStyle w:val="Body"/>
        <w:spacing w:after="160" w:line="259" w:lineRule="auto"/>
        <w:rPr>
          <w:rFonts w:cs="Calibri"/>
          <w:u w:color="000000"/>
          <w:lang w:val="en-GB"/>
        </w:rPr>
      </w:pPr>
    </w:p>
    <w:p w:rsidR="00AE3590" w:rsidRPr="00304B05" w:rsidP="006368BD">
      <w:pPr>
        <w:pStyle w:val="Body"/>
        <w:spacing w:after="160" w:line="259" w:lineRule="auto"/>
        <w:rPr>
          <w:rFonts w:cs="Calibri"/>
          <w:u w:color="000000"/>
          <w:lang w:val="en-GB"/>
        </w:rPr>
      </w:pPr>
      <w:r w:rsidRPr="00304B05">
        <w:rPr>
          <w:rFonts w:cs="Calibri"/>
          <w:u w:color="000000"/>
          <w:lang w:val="en-GB"/>
        </w:rPr>
        <w:t xml:space="preserve">Our Pupil Attitudes to School and Self (PASS) measure is specifically designed to spot attitudinal or emotional issues in children before they impact on school performance. By sensitively exploring the social and emotional wellbeing of students, PASS can provide interventions and guidance to help put students back on track by building their confidence and resilience. </w:t>
      </w:r>
    </w:p>
    <w:p w:rsidR="00AE3590" w:rsidRPr="00304B05" w:rsidP="006368BD">
      <w:pPr>
        <w:pStyle w:val="Body"/>
        <w:spacing w:after="160" w:line="259" w:lineRule="auto"/>
        <w:rPr>
          <w:rFonts w:cs="Calibri"/>
          <w:lang w:val="en-GB"/>
        </w:rPr>
      </w:pPr>
      <w:r w:rsidRPr="00304B05">
        <w:rPr>
          <w:rFonts w:cs="Calibri"/>
          <w:u w:color="000000"/>
          <w:lang w:val="en-GB"/>
        </w:rPr>
        <w:t xml:space="preserve">One of the areas </w:t>
      </w:r>
      <w:r w:rsidRPr="00304B05">
        <w:rPr>
          <w:rFonts w:cs="Calibri"/>
          <w:u w:color="000000"/>
          <w:lang w:val="en-GB"/>
        </w:rPr>
        <w:t>PASS</w:t>
      </w:r>
      <w:r w:rsidRPr="00304B05">
        <w:rPr>
          <w:rFonts w:cs="Calibri"/>
          <w:u w:color="000000"/>
          <w:lang w:val="en-GB"/>
        </w:rPr>
        <w:t xml:space="preserve"> looks at is students’ </w:t>
      </w:r>
      <w:r w:rsidRPr="00304B05">
        <w:rPr>
          <w:rFonts w:cs="Calibri"/>
          <w:u w:color="000000"/>
          <w:rtl/>
          <w:lang w:val="en-GB"/>
        </w:rPr>
        <w:t>’</w:t>
      </w:r>
      <w:r w:rsidRPr="00304B05">
        <w:rPr>
          <w:rFonts w:cs="Calibri"/>
          <w:u w:color="000000"/>
          <w:lang w:val="en-GB"/>
        </w:rPr>
        <w:t xml:space="preserve">attitudes to attendance. During the development of PASS, the scores for </w:t>
      </w:r>
      <w:r w:rsidRPr="00304B05">
        <w:rPr>
          <w:rFonts w:cs="Calibri"/>
          <w:u w:color="000000"/>
          <w:rtl/>
          <w:lang w:val="en-GB"/>
        </w:rPr>
        <w:t>‘</w:t>
      </w:r>
      <w:r w:rsidRPr="00304B05">
        <w:rPr>
          <w:rFonts w:cs="Calibri"/>
          <w:u w:color="000000"/>
          <w:lang w:val="en-GB"/>
        </w:rPr>
        <w:t>attitudes to attendanc</w:t>
      </w:r>
      <w:r w:rsidRPr="00304B05">
        <w:rPr>
          <w:rFonts w:cs="Calibri"/>
          <w:u w:color="000000"/>
          <w:lang w:val="en-GB"/>
        </w:rPr>
        <w:t>e’</w:t>
      </w:r>
      <w:r w:rsidRPr="00304B05">
        <w:rPr>
          <w:rFonts w:cs="Calibri"/>
          <w:u w:color="000000"/>
          <w:rtl/>
          <w:lang w:val="en-GB"/>
        </w:rPr>
        <w:t xml:space="preserve"> </w:t>
      </w:r>
      <w:r w:rsidRPr="00304B05">
        <w:rPr>
          <w:rFonts w:cs="Calibri"/>
          <w:u w:color="000000"/>
          <w:lang w:val="en-GB"/>
        </w:rPr>
        <w:t>were correlated with actual student attendance for 1444 students between the ages of 11 and 16. Results indicated a very high correlation: the relationship between a child</w:t>
      </w:r>
      <w:r w:rsidRPr="00304B05">
        <w:rPr>
          <w:rFonts w:cs="Calibri"/>
          <w:u w:color="000000"/>
          <w:rtl/>
          <w:lang w:val="en-GB"/>
        </w:rPr>
        <w:t>’</w:t>
      </w:r>
      <w:r w:rsidRPr="00304B05">
        <w:rPr>
          <w:rFonts w:cs="Calibri"/>
          <w:u w:color="000000"/>
          <w:lang w:val="en-GB"/>
        </w:rPr>
        <w:t>s attitudes to attendance and their actual attendance was 0.91 (an extremely high correlation given 1 would be a perfect correlation). This not only correlated with current attendance but also with attendance a year later, meaning that it can be an early indicator of a potential problem, allowing for early intervention. Thus, assessment date can be used to proactively address issues facing the student that may then bear on attainment and skills further down the line.</w:t>
      </w:r>
    </w:p>
    <w:p w:rsidR="00AE3590" w:rsidRPr="00304B05" w:rsidP="006368BD">
      <w:pPr>
        <w:pStyle w:val="Default"/>
        <w:rPr>
          <w:rFonts w:ascii="Calibri" w:hAnsi="Calibri" w:cs="Calibri"/>
          <w:color w:val="000000" w:themeColor="text1"/>
          <w:sz w:val="22"/>
          <w:szCs w:val="22"/>
        </w:rPr>
      </w:pPr>
    </w:p>
    <w:p w:rsidR="00AE3590" w:rsidRPr="00304B05" w:rsidP="00D808F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Calibri" w:eastAsia="Calibri" w:hAnsi="Calibri" w:cs="Calibri"/>
          <w:b/>
          <w:bCs/>
          <w:sz w:val="22"/>
          <w:szCs w:val="22"/>
        </w:rPr>
      </w:pPr>
      <w:r w:rsidRPr="00304B05">
        <w:rPr>
          <w:rFonts w:ascii="Calibri" w:eastAsia="Calibri" w:hAnsi="Calibri" w:cs="Calibri"/>
          <w:b/>
          <w:bCs/>
          <w:sz w:val="22"/>
          <w:szCs w:val="22"/>
        </w:rPr>
        <w:t xml:space="preserve">Speech and Language - </w:t>
      </w:r>
      <w:r w:rsidRPr="00304B05">
        <w:rPr>
          <w:rFonts w:ascii="Calibri" w:eastAsia="Calibri" w:hAnsi="Calibri" w:cs="Calibri"/>
          <w:b/>
          <w:bCs/>
          <w:sz w:val="22"/>
          <w:szCs w:val="22"/>
        </w:rPr>
        <w:t>Early and Accurate Intervention</w:t>
      </w:r>
    </w:p>
    <w:p w:rsidR="00AE3590" w:rsidRPr="00304B05" w:rsidP="00D808F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Calibri" w:eastAsia="Helvetica" w:hAnsi="Calibri" w:cs="Calibri"/>
          <w:b/>
          <w:bCs/>
          <w:sz w:val="22"/>
          <w:szCs w:val="22"/>
        </w:rPr>
      </w:pPr>
    </w:p>
    <w:p w:rsidR="00AE3590" w:rsidRPr="00304B05" w:rsidP="00D808F9">
      <w:pPr>
        <w:rPr>
          <w:rFonts w:ascii="Calibri" w:hAnsi="Calibri" w:cs="Calibri"/>
        </w:rPr>
      </w:pPr>
      <w:r w:rsidRPr="00304B05">
        <w:rPr>
          <w:rFonts w:ascii="Calibri" w:hAnsi="Calibri" w:cs="Calibri"/>
        </w:rPr>
        <w:t xml:space="preserve">Accurate identification of speech, language, and communication needs (SLCN) is essential, particularly as these needs are often confused with social, emotional, and mental health (SEMH) difficulties. Misidentification can lead to ineffective interventions and hinder academic progress. If reading for pleasure is to be instilled in primary school children, correct support for those with SEND that inhibits their ability to read confidently is vital. </w:t>
      </w:r>
    </w:p>
    <w:p w:rsidR="00AE3590" w:rsidRPr="00304B05" w:rsidP="00D808F9">
      <w:pPr>
        <w:pStyle w:val="BodyA"/>
        <w:rPr>
          <w:rFonts w:cs="Calibri"/>
        </w:rPr>
      </w:pPr>
      <w:r w:rsidRPr="00304B05">
        <w:rPr>
          <w:rFonts w:cs="Calibri"/>
        </w:rPr>
        <w:t>It is worth recognising the prevalence of both issues.  According to the Department for Education, 25.6% of students with SEN have SLCN as their primary need. At the same time 81% of students with SEMH have language difficulties, though these often remain unidentified</w:t>
      </w:r>
      <w:r>
        <w:rPr>
          <w:rStyle w:val="FootnoteReference"/>
          <w:rFonts w:cs="Calibri"/>
        </w:rPr>
        <w:footnoteReference w:id="11"/>
      </w:r>
      <w:r w:rsidRPr="00304B05">
        <w:rPr>
          <w:rFonts w:cs="Calibri"/>
        </w:rPr>
        <w:t xml:space="preserve">, while 40-54% of children with SLCN have some form of behavioural difficulties. </w:t>
      </w:r>
      <w:r w:rsidRPr="00304B05">
        <w:rPr>
          <w:rFonts w:cs="Calibri"/>
          <w:lang w:val="nl-NL"/>
        </w:rPr>
        <w:t xml:space="preserve">Indeed, two thirds </w:t>
      </w:r>
      <w:r w:rsidRPr="00304B05">
        <w:rPr>
          <w:rFonts w:cs="Calibri"/>
        </w:rPr>
        <w:t>of students at risk of school exclusion have some form of SLCN</w:t>
      </w:r>
      <w:r>
        <w:rPr>
          <w:rStyle w:val="FootnoteReference"/>
          <w:rFonts w:cs="Calibri"/>
        </w:rPr>
        <w:footnoteReference w:id="12"/>
      </w:r>
      <w:r w:rsidRPr="00304B05">
        <w:rPr>
          <w:rFonts w:cs="Calibri"/>
        </w:rPr>
        <w:t xml:space="preserve">. Ultimately, students with SLCN are less likely to be able to access the often </w:t>
      </w:r>
      <w:r w:rsidRPr="00304B05">
        <w:rPr>
          <w:rFonts w:cs="Calibri"/>
        </w:rPr>
        <w:t>verbally-centred</w:t>
      </w:r>
      <w:r w:rsidRPr="00304B05">
        <w:rPr>
          <w:rFonts w:cs="Calibri"/>
        </w:rPr>
        <w:t xml:space="preserve"> SEMH treatments like talking </w:t>
      </w:r>
      <w:r w:rsidRPr="00304B05">
        <w:rPr>
          <w:rFonts w:cs="Calibri"/>
        </w:rPr>
        <w:t>therapy, and</w:t>
      </w:r>
      <w:r w:rsidRPr="00304B05">
        <w:rPr>
          <w:rFonts w:cs="Calibri"/>
        </w:rPr>
        <w:t xml:space="preserve"> articulate their own difficulties. But the problem is that too often the behavioural difficulties are noticed without considering any potential SLCN that may underly them. </w:t>
      </w:r>
    </w:p>
    <w:p w:rsidR="00AE3590" w:rsidRPr="00304B05" w:rsidP="00D808F9">
      <w:pPr>
        <w:pStyle w:val="BodyA"/>
        <w:rPr>
          <w:rFonts w:cs="Calibri"/>
        </w:rPr>
      </w:pPr>
    </w:p>
    <w:p w:rsidR="00AE3590" w:rsidRPr="00304B05" w:rsidP="00D808F9">
      <w:pPr>
        <w:pStyle w:val="BodyA"/>
        <w:rPr>
          <w:rFonts w:cs="Calibri"/>
        </w:rPr>
      </w:pPr>
      <w:r w:rsidRPr="00304B05">
        <w:rPr>
          <w:rFonts w:cs="Calibri"/>
        </w:rPr>
        <w:t xml:space="preserve">Our WellComm speech and language toolkit has been developed by speech and language therapists to identify and address these language needs at an early stage. It is easy to administer, taking just 15 minutes per child, and summarises results quickly and in a user-friendly fashion. Alongside WellComm is a Big Book of Ideas, a collection of 150 activities and interventions that teachers and parents can implement where they recognise some degree of SLCN. </w:t>
      </w:r>
    </w:p>
    <w:p w:rsidR="00AE3590" w:rsidRPr="00304B05" w:rsidP="00D808F9">
      <w:pPr>
        <w:pStyle w:val="BodyA"/>
        <w:rPr>
          <w:rFonts w:cs="Calibri"/>
        </w:rPr>
      </w:pPr>
    </w:p>
    <w:p w:rsidR="00AE3590" w:rsidRPr="00304B05" w:rsidP="00D808F9">
      <w:pPr>
        <w:pStyle w:val="BodyA"/>
        <w:rPr>
          <w:rFonts w:cs="Calibri"/>
        </w:rPr>
      </w:pPr>
      <w:r w:rsidRPr="00304B05">
        <w:rPr>
          <w:rFonts w:cs="Calibri"/>
        </w:rPr>
        <w:t xml:space="preserve">The City of York has recently encouraged the use of WellComm across local primary schools and nurseries. Children are screened to determine whether they have any SLCN, with results and insights then shared with parents. At Little Peanuts Day Nursery, children have a learning journal, and parents are invited to meetings every 8-10 weeks to discuss their child’s SLCN and any strategies they can implement at home. </w:t>
      </w:r>
    </w:p>
    <w:p w:rsidR="00AE3590" w:rsidRPr="00304B05" w:rsidP="00D808F9">
      <w:pPr>
        <w:pStyle w:val="BodyA"/>
        <w:rPr>
          <w:rFonts w:cs="Calibri"/>
        </w:rPr>
      </w:pPr>
    </w:p>
    <w:p w:rsidR="00AE3590" w:rsidRPr="00304B05" w:rsidP="00D808F9">
      <w:pPr>
        <w:pStyle w:val="BodyA"/>
        <w:rPr>
          <w:rFonts w:cs="Calibri"/>
        </w:rPr>
      </w:pPr>
      <w:r w:rsidRPr="00304B05">
        <w:rPr>
          <w:rFonts w:cs="Calibri"/>
        </w:rPr>
        <w:t xml:space="preserve">York has also made WellComm accessible to childminders in local libraries, where they can then quickly screen children and access the Big Book of Ideas for interventions to be used immediately. </w:t>
      </w:r>
    </w:p>
    <w:p w:rsidR="00AE3590" w:rsidRPr="00304B05" w:rsidP="00D808F9">
      <w:pPr>
        <w:pStyle w:val="BodyA"/>
        <w:rPr>
          <w:rFonts w:cs="Calibri"/>
        </w:rPr>
      </w:pPr>
    </w:p>
    <w:p w:rsidR="00AE3590" w:rsidRPr="00304B05" w:rsidP="00D808F9">
      <w:pPr>
        <w:pStyle w:val="BodyA"/>
        <w:rPr>
          <w:rFonts w:cs="Calibri"/>
        </w:rPr>
      </w:pPr>
      <w:r w:rsidRPr="00304B05">
        <w:rPr>
          <w:rFonts w:cs="Calibri"/>
        </w:rPr>
        <w:t xml:space="preserve">By employing straightforward assessments and supportive tools - such as the WellComm speech and language toolkit and the Big Book of Ideas - </w:t>
      </w:r>
      <w:r w:rsidRPr="00304B05">
        <w:rPr>
          <w:rFonts w:cs="Calibri"/>
        </w:rPr>
        <w:t>educators can accurately identify pupils with SEND and implement targeted interventions. These tailored supports not only address individual learning needs but also help nurture a genuine love of reading, leading to increased engagement, confidence, and sustained academic progress.</w:t>
      </w:r>
    </w:p>
    <w:p w:rsidR="00AE3590" w:rsidRPr="00304B05" w:rsidP="00D808F9">
      <w:pPr>
        <w:pStyle w:val="BodyA"/>
        <w:rPr>
          <w:rFonts w:cs="Calibri"/>
        </w:rPr>
      </w:pPr>
    </w:p>
    <w:p w:rsidR="00AE3590" w:rsidRPr="00304B05" w:rsidP="00D808F9">
      <w:pPr>
        <w:pStyle w:val="BodyA"/>
        <w:rPr>
          <w:rFonts w:cs="Calibri"/>
        </w:rPr>
      </w:pPr>
    </w:p>
    <w:p w:rsidR="00AE3590" w:rsidRPr="00304B05" w:rsidP="00D564A3">
      <w:pPr>
        <w:rPr>
          <w:rFonts w:ascii="Calibri" w:hAnsi="Calibri" w:cs="Calibri"/>
          <w:b/>
          <w:bCs/>
        </w:rPr>
      </w:pPr>
      <w:r w:rsidRPr="00304B05">
        <w:rPr>
          <w:rFonts w:ascii="Calibri" w:hAnsi="Calibri" w:cs="Calibri"/>
          <w:b/>
          <w:bCs/>
        </w:rPr>
        <w:t xml:space="preserve">Conclusion </w:t>
      </w:r>
    </w:p>
    <w:p w:rsidR="00AE3590" w:rsidRPr="00304B05">
      <w:pPr>
        <w:rPr>
          <w:rFonts w:ascii="Calibri" w:hAnsi="Calibri" w:cs="Calibri"/>
          <w:lang w:eastAsia="en-GB"/>
        </w:rPr>
      </w:pPr>
      <w:r w:rsidRPr="00304B05">
        <w:rPr>
          <w:rFonts w:ascii="Calibri" w:hAnsi="Calibri" w:cs="Calibri"/>
        </w:rPr>
        <w:t>In conclusion, assessment is most powerful when it is purposeful</w:t>
      </w:r>
      <w:r w:rsidRPr="00304B05">
        <w:rPr>
          <w:rFonts w:ascii="Calibri" w:hAnsi="Calibri" w:cs="Calibri"/>
        </w:rPr>
        <w:t xml:space="preserve"> and </w:t>
      </w:r>
      <w:r w:rsidRPr="00304B05">
        <w:rPr>
          <w:rFonts w:ascii="Calibri" w:hAnsi="Calibri" w:cs="Calibri"/>
        </w:rPr>
        <w:t xml:space="preserve">proportionate and </w:t>
      </w:r>
      <w:r w:rsidRPr="00304B05">
        <w:rPr>
          <w:rFonts w:ascii="Calibri" w:hAnsi="Calibri" w:cs="Calibri"/>
        </w:rPr>
        <w:t>leads to suitable intervention</w:t>
      </w:r>
      <w:r w:rsidRPr="00304B05">
        <w:rPr>
          <w:rFonts w:ascii="Calibri" w:hAnsi="Calibri" w:cs="Calibri"/>
        </w:rPr>
        <w:t>. Used well, it enables schools to see beyond headline attainment and identify the pupils who are beginning to fall behind, including those whose needs may be less visible because they present as disengaged, anxious, absent or disruptive. This is particularly important for pupils with SEND, where barriers such as speech, language and communication needs, reading difficulties or social and emotional challenges can easily be misread or missed altogether.</w:t>
      </w:r>
    </w:p>
    <w:p w:rsidR="00AE3590" w:rsidRPr="00304B05">
      <w:pPr>
        <w:rPr>
          <w:rFonts w:ascii="Calibri" w:hAnsi="Calibri" w:cs="Calibri"/>
          <w:lang w:eastAsia="en-GB"/>
        </w:rPr>
      </w:pPr>
      <w:r w:rsidRPr="00304B05">
        <w:rPr>
          <w:rFonts w:ascii="Calibri" w:hAnsi="Calibri" w:cs="Calibri"/>
        </w:rPr>
        <w:t>The evidence set out above demonstrates that assessment should not be viewed as an administrative exercise or an additional burden on teachers</w:t>
      </w:r>
      <w:r w:rsidRPr="00304B05">
        <w:rPr>
          <w:rFonts w:ascii="Calibri" w:hAnsi="Calibri" w:cs="Calibri"/>
        </w:rPr>
        <w:t xml:space="preserve"> and must be integrated into all aspects of teaching</w:t>
      </w:r>
      <w:r w:rsidRPr="00304B05">
        <w:rPr>
          <w:rFonts w:ascii="Calibri" w:hAnsi="Calibri" w:cs="Calibri"/>
        </w:rPr>
        <w:t xml:space="preserve">. Rather, smart assessment gives teachers the information they need to make timely, targeted decisions: matching children to appropriate reading materials, identifying gaps in comprehension, recognising early indicators of attendance concerns, and distinguishing between overlapping needs such as SLCN and SEMH. </w:t>
      </w:r>
    </w:p>
    <w:p w:rsidR="00AE3590" w:rsidRPr="00304B05">
      <w:pPr>
        <w:rPr>
          <w:rFonts w:ascii="Calibri" w:hAnsi="Calibri" w:cs="Calibri"/>
          <w:lang w:eastAsia="en-GB"/>
        </w:rPr>
      </w:pPr>
      <w:r w:rsidRPr="00304B05">
        <w:rPr>
          <w:rFonts w:ascii="Calibri" w:hAnsi="Calibri" w:cs="Calibri"/>
        </w:rPr>
        <w:t xml:space="preserve">At classroom, school and national level, assessment data can therefore help ensure that support is directed where it is most needed. It can inform individual interventions, strengthen collaboration between teachers, support staff, parents and specialists, and help policymakers understand which groups of pupils require additional focus. Crucially, assessment should always be the beginning of a support process, not the end point: its value lies in helping teachers act quickly, confidently and compassionately </w:t>
      </w:r>
      <w:r w:rsidRPr="00304B05">
        <w:rPr>
          <w:rFonts w:ascii="Calibri" w:hAnsi="Calibri" w:cs="Calibri"/>
        </w:rPr>
        <w:t xml:space="preserve">so that every child </w:t>
      </w:r>
      <w:r w:rsidRPr="00304B05">
        <w:rPr>
          <w:rFonts w:ascii="Calibri" w:hAnsi="Calibri" w:cs="Calibri"/>
        </w:rPr>
        <w:t>make</w:t>
      </w:r>
      <w:r w:rsidRPr="00304B05">
        <w:rPr>
          <w:rFonts w:ascii="Calibri" w:hAnsi="Calibri" w:cs="Calibri"/>
        </w:rPr>
        <w:t xml:space="preserve"> sustained progress.</w:t>
      </w:r>
    </w:p>
    <w:p w:rsidR="00AE3590" w:rsidRPr="00304B05" w:rsidP="00810B2E">
      <w:pPr>
        <w:rPr>
          <w:rFonts w:ascii="Calibri" w:hAnsi="Calibri" w:cs="Calibri"/>
          <w:i/>
          <w:iCs/>
        </w:rPr>
      </w:pPr>
      <w:r w:rsidRPr="00304B05">
        <w:rPr>
          <w:rFonts w:ascii="Calibri" w:hAnsi="Calibri" w:cs="Calibri"/>
          <w:i/>
          <w:iCs/>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E3590" w:rsidP="00D60D97">
      <w:pPr>
        <w:spacing w:after="0" w:line="240" w:lineRule="auto"/>
      </w:pPr>
      <w:r>
        <w:separator/>
      </w:r>
    </w:p>
  </w:footnote>
  <w:footnote w:type="continuationSeparator" w:id="1">
    <w:p w:rsidR="00AE3590" w:rsidP="00D60D97">
      <w:pPr>
        <w:spacing w:after="0" w:line="240" w:lineRule="auto"/>
      </w:pPr>
      <w:r>
        <w:continuationSeparator/>
      </w:r>
    </w:p>
  </w:footnote>
  <w:footnote w:id="2">
    <w:p w:rsidR="00AE3590" w:rsidRPr="00D35679" w:rsidP="00A85F70">
      <w:pPr>
        <w:pStyle w:val="FootnoteText"/>
      </w:pPr>
      <w:r>
        <w:rPr>
          <w:rStyle w:val="FootnoteReference"/>
        </w:rPr>
        <w:footnoteRef/>
      </w:r>
      <w:r>
        <w:t xml:space="preserve"> </w:t>
      </w:r>
      <w:r>
        <w:fldChar w:fldCharType="begin"/>
      </w:r>
      <w:r>
        <w:instrText xml:space="preserve"> HYPERLINK "https://www.gl-assessment.co.uk/press-office/press-releases/marking-and-data-still-adding-to-teacher-workload-issues-study-finds/" </w:instrText>
      </w:r>
      <w:r>
        <w:fldChar w:fldCharType="separate"/>
      </w:r>
      <w:r w:rsidRPr="00D35679">
        <w:rPr>
          <w:rStyle w:val="Hyperlink"/>
        </w:rPr>
        <w:t>Marking and data still adding to teacher workload issues, study finds - GL Assessment</w:t>
      </w:r>
      <w:r>
        <w:fldChar w:fldCharType="end"/>
      </w:r>
    </w:p>
  </w:footnote>
  <w:footnote w:id="3">
    <w:p w:rsidR="00AE3590" w:rsidP="00A85F70">
      <w:pPr>
        <w:pStyle w:val="Default"/>
        <w:spacing w:before="0" w:line="240" w:lineRule="auto"/>
      </w:pPr>
      <w:r>
        <w:rPr>
          <w:rFonts w:ascii="Times New Roman" w:eastAsia="Times New Roman" w:hAnsi="Times New Roman" w:cs="Times New Roman"/>
          <w:sz w:val="20"/>
          <w:szCs w:val="20"/>
          <w:u w:color="000000"/>
          <w:vertAlign w:val="superscript"/>
          <w:lang w:val="en-US"/>
        </w:rPr>
        <w:footnoteRef/>
      </w:r>
      <w:r>
        <w:rPr>
          <w:rFonts w:ascii="Times New Roman" w:hAnsi="Times New Roman"/>
          <w:sz w:val="20"/>
          <w:szCs w:val="20"/>
          <w:u w:color="000000"/>
          <w:lang w:val="en-US"/>
        </w:rPr>
        <w:t xml:space="preserve"> </w:t>
      </w:r>
      <w:r>
        <w:fldChar w:fldCharType="begin"/>
      </w:r>
      <w:r>
        <w:instrText xml:space="preserve"> HYPERLINK "https://www.gl-assessment.co.uk/reports/reluctant-readers/" </w:instrText>
      </w:r>
      <w:r>
        <w:fldChar w:fldCharType="separate"/>
      </w:r>
      <w:r w:rsidRPr="004470EB">
        <w:rPr>
          <w:rStyle w:val="Hyperlink"/>
          <w:rFonts w:ascii="Times New Roman" w:hAnsi="Times New Roman"/>
          <w:sz w:val="20"/>
          <w:szCs w:val="20"/>
          <w:lang w:val="en-US"/>
        </w:rPr>
        <w:t>GL Assessment: Reluctant Readers Report (2023)</w:t>
      </w:r>
      <w:r>
        <w:fldChar w:fldCharType="end"/>
      </w:r>
    </w:p>
  </w:footnote>
  <w:footnote w:id="4">
    <w:p w:rsidR="00AE3590" w:rsidRPr="0058625E" w:rsidP="00A85F70">
      <w:pPr>
        <w:pStyle w:val="Default"/>
        <w:spacing w:before="0" w:line="240" w:lineRule="auto"/>
        <w:rPr>
          <w:sz w:val="18"/>
          <w:szCs w:val="18"/>
        </w:rPr>
      </w:pPr>
      <w:r>
        <w:rPr>
          <w:rFonts w:ascii="Times New Roman" w:eastAsia="Times New Roman" w:hAnsi="Times New Roman" w:cs="Times New Roman"/>
          <w:sz w:val="20"/>
          <w:szCs w:val="20"/>
          <w:u w:color="000000"/>
          <w:vertAlign w:val="superscript"/>
          <w:lang w:val="en-US"/>
        </w:rPr>
        <w:footnoteRef/>
      </w:r>
      <w:r>
        <w:rPr>
          <w:rFonts w:ascii="Times New Roman" w:hAnsi="Times New Roman"/>
          <w:sz w:val="20"/>
          <w:szCs w:val="20"/>
          <w:u w:color="000000"/>
          <w:lang w:val="en-US"/>
        </w:rPr>
        <w:t xml:space="preserve"> </w:t>
      </w:r>
      <w:r>
        <w:fldChar w:fldCharType="begin"/>
      </w:r>
      <w:r>
        <w:instrText xml:space="preserve"> HYPERLINK "https://www.gl-assessment.co.uk/reports/turning-the-page/" </w:instrText>
      </w:r>
      <w:r>
        <w:fldChar w:fldCharType="separate"/>
      </w:r>
      <w:r w:rsidRPr="004470EB">
        <w:rPr>
          <w:rStyle w:val="Hyperlink"/>
          <w:rFonts w:ascii="Times New Roman" w:hAnsi="Times New Roman"/>
          <w:sz w:val="20"/>
          <w:szCs w:val="20"/>
          <w:lang w:val="en-US"/>
        </w:rPr>
        <w:t>GL Assessment: Turning the Page Report (2024)</w:t>
      </w:r>
      <w:r>
        <w:fldChar w:fldCharType="end"/>
      </w:r>
    </w:p>
  </w:footnote>
  <w:footnote w:id="5">
    <w:p w:rsidR="00AE3590" w:rsidP="00A85F70">
      <w:pPr>
        <w:pStyle w:val="Default"/>
        <w:spacing w:before="0" w:line="240" w:lineRule="auto"/>
      </w:pPr>
      <w:r w:rsidRPr="00AB7878">
        <w:rPr>
          <w:rFonts w:ascii="Calibri" w:eastAsia="Calibri" w:hAnsi="Calibri" w:cs="Calibri"/>
          <w:color w:val="EE220C"/>
          <w:sz w:val="18"/>
          <w:szCs w:val="18"/>
          <w:vertAlign w:val="superscript"/>
        </w:rPr>
        <w:footnoteRef/>
      </w:r>
      <w:r w:rsidRPr="00AB7878">
        <w:rPr>
          <w:sz w:val="18"/>
          <w:szCs w:val="18"/>
        </w:rPr>
        <w:t xml:space="preserve"> </w:t>
      </w:r>
      <w:r>
        <w:fldChar w:fldCharType="begin"/>
      </w:r>
      <w:r>
        <w:instrText xml:space="preserve"> HYPERLINK "https://uk.renaissance.com/trends-in-student-outcome-measures/" </w:instrText>
      </w:r>
      <w:r>
        <w:fldChar w:fldCharType="separate"/>
      </w:r>
      <w:r w:rsidRPr="00F86DC6">
        <w:rPr>
          <w:rStyle w:val="Hyperlink"/>
          <w:sz w:val="18"/>
          <w:szCs w:val="18"/>
        </w:rPr>
        <w:t>Trends in Student Outcome Measures | Renaissance Learning</w:t>
      </w:r>
      <w:r>
        <w:fldChar w:fldCharType="end"/>
      </w:r>
      <w:r>
        <w:rPr>
          <w:sz w:val="18"/>
          <w:szCs w:val="18"/>
        </w:rPr>
        <w:t xml:space="preserve"> </w:t>
      </w:r>
    </w:p>
  </w:footnote>
  <w:footnote w:id="6">
    <w:p w:rsidR="00AE3590" w:rsidP="00A85F70">
      <w:pPr>
        <w:pStyle w:val="Default"/>
        <w:spacing w:before="0" w:line="240" w:lineRule="auto"/>
      </w:pPr>
      <w:r w:rsidRPr="00AB7878">
        <w:rPr>
          <w:rFonts w:ascii="Calibri" w:eastAsia="Calibri" w:hAnsi="Calibri" w:cs="Calibri"/>
          <w:color w:val="EE220C"/>
          <w:sz w:val="18"/>
          <w:szCs w:val="18"/>
          <w:u w:color="000000"/>
          <w:vertAlign w:val="superscript"/>
          <w:lang w:val="en-US"/>
        </w:rPr>
        <w:footnoteRef/>
      </w:r>
      <w:r w:rsidRPr="00AB7878">
        <w:rPr>
          <w:sz w:val="18"/>
          <w:szCs w:val="18"/>
        </w:rPr>
        <w:t xml:space="preserve"> </w:t>
      </w:r>
      <w:r>
        <w:fldChar w:fldCharType="begin"/>
      </w:r>
      <w:r>
        <w:instrText xml:space="preserve"> HYPERLINK "https://uk.renaissance.com/trends-in-student-outcome-measures/" </w:instrText>
      </w:r>
      <w:r>
        <w:fldChar w:fldCharType="separate"/>
      </w:r>
      <w:r w:rsidRPr="004470EB">
        <w:rPr>
          <w:rStyle w:val="Hyperlink"/>
          <w:sz w:val="18"/>
          <w:szCs w:val="18"/>
        </w:rPr>
        <w:t>Renaissance: Trends in Student Outcomes Report (2024)</w:t>
      </w:r>
      <w:r>
        <w:fldChar w:fldCharType="end"/>
      </w:r>
    </w:p>
  </w:footnote>
  <w:footnote w:id="7">
    <w:p w:rsidR="00AE3590" w:rsidRPr="00CB7C33" w:rsidP="00A85F70">
      <w:pPr>
        <w:pStyle w:val="FootnoteText"/>
      </w:pPr>
      <w:r>
        <w:rPr>
          <w:rStyle w:val="FootnoteReference"/>
        </w:rPr>
        <w:footnoteRef/>
      </w:r>
      <w:r>
        <w:t xml:space="preserve"> Reluctant Readers: </w:t>
      </w:r>
      <w:r>
        <w:fldChar w:fldCharType="begin"/>
      </w:r>
      <w:r>
        <w:instrText xml:space="preserve"> HYPERLINK "C:\\Users\\annaw\\AppData\\Local\\Microsoft\\Windows\\INetCache\\Content.Outlook\\IT5WQ3SF\\GL Assessment - Reluctant Readers report 2023.pdf" </w:instrText>
      </w:r>
      <w:r>
        <w:fldChar w:fldCharType="separate"/>
      </w:r>
      <w:r w:rsidRPr="00E22C73">
        <w:rPr>
          <w:rStyle w:val="Hyperlink"/>
        </w:rPr>
        <w:t>GL Assessment - Reluctant Readers report 2023.pdf</w:t>
      </w:r>
      <w:r>
        <w:fldChar w:fldCharType="end"/>
      </w:r>
    </w:p>
  </w:footnote>
  <w:footnote w:id="8">
    <w:p w:rsidR="00AE3590" w:rsidP="00A85F70">
      <w:pPr>
        <w:pStyle w:val="Default"/>
        <w:spacing w:before="0" w:line="240" w:lineRule="auto"/>
      </w:pPr>
      <w:r>
        <w:rPr>
          <w:rFonts w:ascii="Times New Roman" w:eastAsia="Times New Roman" w:hAnsi="Times New Roman" w:cs="Times New Roman"/>
          <w:sz w:val="20"/>
          <w:szCs w:val="20"/>
          <w:u w:color="000000"/>
          <w:vertAlign w:val="superscript"/>
          <w:lang w:val="en-US"/>
        </w:rPr>
        <w:footnoteRef/>
      </w:r>
      <w:r>
        <w:rPr>
          <w:rFonts w:ascii="Times New Roman" w:hAnsi="Times New Roman"/>
          <w:sz w:val="20"/>
          <w:szCs w:val="20"/>
          <w:u w:color="000000"/>
          <w:lang w:val="en-US"/>
        </w:rPr>
        <w:t xml:space="preserve"> Jon Andrews: Renaissance EPI Report March (2024)</w:t>
      </w:r>
    </w:p>
  </w:footnote>
  <w:footnote w:id="9">
    <w:p w:rsidR="00AE3590" w:rsidP="006368BD">
      <w:pPr>
        <w:pStyle w:val="FootnoteText"/>
      </w:pPr>
      <w:r>
        <w:rPr>
          <w:rStyle w:val="FootnoteReference"/>
        </w:rPr>
        <w:footnoteRef/>
      </w:r>
      <w:r>
        <w:t xml:space="preserve"> </w:t>
      </w:r>
      <w:r>
        <w:fldChar w:fldCharType="begin"/>
      </w:r>
      <w:r>
        <w:instrText xml:space="preserve"> HYPERLINK "https://explore-education-statistics.service.gov.uk/find-statistics/pupil-attendance-in-schools" </w:instrText>
      </w:r>
      <w:r>
        <w:fldChar w:fldCharType="separate"/>
      </w:r>
      <w:r w:rsidRPr="005771EA">
        <w:rPr>
          <w:rStyle w:val="Hyperlink"/>
        </w:rPr>
        <w:t>https://explore-education-statistics.service.gov.uk/find-statistics/pupil-attendance-in-schools</w:t>
      </w:r>
      <w:r>
        <w:fldChar w:fldCharType="end"/>
      </w:r>
    </w:p>
    <w:p w:rsidR="00AE3590" w:rsidP="006368BD">
      <w:pPr>
        <w:pStyle w:val="FootnoteText"/>
      </w:pPr>
    </w:p>
  </w:footnote>
  <w:footnote w:id="10">
    <w:p w:rsidR="00AE3590" w:rsidP="006368BD">
      <w:pPr>
        <w:pStyle w:val="FootnoteText"/>
      </w:pPr>
      <w:r>
        <w:rPr>
          <w:rStyle w:val="FootnoteReference"/>
        </w:rPr>
        <w:footnoteRef/>
      </w:r>
      <w:r>
        <w:t xml:space="preserve"> </w:t>
      </w:r>
      <w:r>
        <w:fldChar w:fldCharType="begin"/>
      </w:r>
      <w:r>
        <w:instrText xml:space="preserve"> HYPERLINK "https://www.gov.uk/government/publications/securing-good-attendance-and-tackling-persistent-absence/securing-good-attendance-and-tackling-persistent-absence" </w:instrText>
      </w:r>
      <w:r>
        <w:fldChar w:fldCharType="separate"/>
      </w:r>
      <w:r w:rsidRPr="005771EA">
        <w:rPr>
          <w:rStyle w:val="Hyperlink"/>
        </w:rPr>
        <w:t>https://www.gov.uk/government/publications/securing-good-attendance-and-tackling-persistent-absence/securing-good-attendance-and-tackling-persistent-absence</w:t>
      </w:r>
      <w:r>
        <w:fldChar w:fldCharType="end"/>
      </w:r>
      <w:r>
        <w:t xml:space="preserve"> </w:t>
      </w:r>
    </w:p>
  </w:footnote>
  <w:footnote w:id="11">
    <w:p w:rsidR="00AE3590" w:rsidRPr="00170491" w:rsidP="00D808F9">
      <w:pPr>
        <w:pStyle w:val="FootnoteText"/>
        <w:rPr>
          <w:rFonts w:ascii="Calibri" w:hAnsi="Calibri" w:cs="Calibri"/>
        </w:rPr>
      </w:pPr>
      <w:r>
        <w:rPr>
          <w:rStyle w:val="FootnoteReference"/>
        </w:rPr>
        <w:footnoteRef/>
      </w:r>
      <w:r>
        <w:t xml:space="preserve"> </w:t>
      </w:r>
      <w:r>
        <w:fldChar w:fldCharType="begin"/>
      </w:r>
      <w:r>
        <w:instrText xml:space="preserve"> HYPERLINK "https://www.bercow10yearson.com/wp-content/uploads/2018/03/337644-ICAN-Bercow-Report-WEB.pdf" </w:instrText>
      </w:r>
      <w:r>
        <w:fldChar w:fldCharType="separate"/>
      </w:r>
      <w:r w:rsidRPr="00170491">
        <w:rPr>
          <w:rStyle w:val="Hyperlink"/>
          <w:rFonts w:ascii="Calibri" w:hAnsi="Calibri" w:cs="Calibri"/>
        </w:rPr>
        <w:t>337644-ICAN-Bercow-Report-WEB.pdf</w:t>
      </w:r>
      <w:r>
        <w:fldChar w:fldCharType="end"/>
      </w:r>
    </w:p>
  </w:footnote>
  <w:footnote w:id="12">
    <w:p w:rsidR="00AE3590" w:rsidRPr="00170491" w:rsidP="00D808F9">
      <w:pPr>
        <w:pStyle w:val="FootnoteText"/>
      </w:pPr>
      <w:r w:rsidRPr="00170491">
        <w:rPr>
          <w:rStyle w:val="FootnoteReference"/>
          <w:rFonts w:ascii="Calibri" w:hAnsi="Calibri" w:cs="Calibri"/>
        </w:rPr>
        <w:footnoteRef/>
      </w:r>
      <w:r w:rsidRPr="00170491">
        <w:rPr>
          <w:rFonts w:ascii="Calibri" w:hAnsi="Calibri" w:cs="Calibri"/>
        </w:rPr>
        <w:t xml:space="preserve"> </w:t>
      </w:r>
      <w:r>
        <w:fldChar w:fldCharType="begin"/>
      </w:r>
      <w:r>
        <w:instrText xml:space="preserve"> HYPERLINK "https://www.rcslt.org/wp-content/uploads/media/Project/RCSLT/exclusions-review-rcslt-written-evidence.pdf" </w:instrText>
      </w:r>
      <w:r>
        <w:fldChar w:fldCharType="separate"/>
      </w:r>
      <w:r w:rsidRPr="00170491">
        <w:rPr>
          <w:rStyle w:val="Hyperlink"/>
          <w:rFonts w:ascii="Calibri" w:hAnsi="Calibri" w:cs="Calibri"/>
          <w:lang w:eastAsia="en-GB"/>
        </w:rPr>
        <w:t>exclusions-review-rcslt-written-evidence.pdf</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5B449D"/>
    <w:multiLevelType w:val="hybridMultilevel"/>
    <w:tmpl w:val="E940F6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DDC3CEC"/>
    <w:multiLevelType w:val="hybridMultilevel"/>
    <w:tmpl w:val="BF06E9E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D564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4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4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4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4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4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4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4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4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4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4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4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4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4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4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4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4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4A3"/>
    <w:rPr>
      <w:rFonts w:eastAsiaTheme="majorEastAsia" w:cstheme="majorBidi"/>
      <w:color w:val="272727" w:themeColor="text1" w:themeTint="D8"/>
    </w:rPr>
  </w:style>
  <w:style w:type="paragraph" w:styleId="Title">
    <w:name w:val="Title"/>
    <w:basedOn w:val="Normal"/>
    <w:next w:val="Normal"/>
    <w:link w:val="TitleChar"/>
    <w:uiPriority w:val="10"/>
    <w:qFormat/>
    <w:rsid w:val="00D564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4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4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4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4A3"/>
    <w:pPr>
      <w:spacing w:before="160"/>
      <w:jc w:val="center"/>
    </w:pPr>
    <w:rPr>
      <w:i/>
      <w:iCs/>
      <w:color w:val="404040" w:themeColor="text1" w:themeTint="BF"/>
    </w:rPr>
  </w:style>
  <w:style w:type="character" w:customStyle="1" w:styleId="QuoteChar">
    <w:name w:val="Quote Char"/>
    <w:basedOn w:val="DefaultParagraphFont"/>
    <w:link w:val="Quote"/>
    <w:uiPriority w:val="29"/>
    <w:rsid w:val="00D564A3"/>
    <w:rPr>
      <w:i/>
      <w:iCs/>
      <w:color w:val="404040" w:themeColor="text1" w:themeTint="BF"/>
    </w:rPr>
  </w:style>
  <w:style w:type="paragraph" w:styleId="ListParagraph">
    <w:name w:val="List Paragraph"/>
    <w:basedOn w:val="Normal"/>
    <w:uiPriority w:val="34"/>
    <w:qFormat/>
    <w:rsid w:val="00D564A3"/>
    <w:pPr>
      <w:ind w:left="720"/>
      <w:contextualSpacing/>
    </w:pPr>
  </w:style>
  <w:style w:type="character" w:styleId="IntenseEmphasis">
    <w:name w:val="Intense Emphasis"/>
    <w:basedOn w:val="DefaultParagraphFont"/>
    <w:uiPriority w:val="21"/>
    <w:qFormat/>
    <w:rsid w:val="00D564A3"/>
    <w:rPr>
      <w:i/>
      <w:iCs/>
      <w:color w:val="0F4761" w:themeColor="accent1" w:themeShade="BF"/>
    </w:rPr>
  </w:style>
  <w:style w:type="paragraph" w:styleId="IntenseQuote">
    <w:name w:val="Intense Quote"/>
    <w:basedOn w:val="Normal"/>
    <w:next w:val="Normal"/>
    <w:link w:val="IntenseQuoteChar"/>
    <w:uiPriority w:val="30"/>
    <w:qFormat/>
    <w:rsid w:val="00D564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4A3"/>
    <w:rPr>
      <w:i/>
      <w:iCs/>
      <w:color w:val="0F4761" w:themeColor="accent1" w:themeShade="BF"/>
    </w:rPr>
  </w:style>
  <w:style w:type="character" w:styleId="IntenseReference">
    <w:name w:val="Intense Reference"/>
    <w:basedOn w:val="DefaultParagraphFont"/>
    <w:uiPriority w:val="32"/>
    <w:qFormat/>
    <w:rsid w:val="00D564A3"/>
    <w:rPr>
      <w:b/>
      <w:bCs/>
      <w:smallCaps/>
      <w:color w:val="0F4761" w:themeColor="accent1" w:themeShade="BF"/>
      <w:spacing w:val="5"/>
    </w:rPr>
  </w:style>
  <w:style w:type="paragraph" w:styleId="FootnoteText">
    <w:name w:val="footnote text"/>
    <w:basedOn w:val="Normal"/>
    <w:link w:val="FootnoteTextChar"/>
    <w:semiHidden/>
    <w:unhideWhenUsed/>
    <w:rsid w:val="00D60D97"/>
    <w:pPr>
      <w:spacing w:after="0" w:line="240" w:lineRule="auto"/>
    </w:pPr>
    <w:rPr>
      <w:sz w:val="20"/>
      <w:szCs w:val="20"/>
    </w:rPr>
  </w:style>
  <w:style w:type="character" w:customStyle="1" w:styleId="FootnoteTextChar">
    <w:name w:val="Footnote Text Char"/>
    <w:basedOn w:val="DefaultParagraphFont"/>
    <w:link w:val="FootnoteText"/>
    <w:semiHidden/>
    <w:rsid w:val="00D60D97"/>
    <w:rPr>
      <w:sz w:val="20"/>
      <w:szCs w:val="20"/>
    </w:rPr>
  </w:style>
  <w:style w:type="character" w:styleId="FootnoteReference">
    <w:name w:val="footnote reference"/>
    <w:basedOn w:val="DefaultParagraphFont"/>
    <w:semiHidden/>
    <w:unhideWhenUsed/>
    <w:rsid w:val="00D60D97"/>
    <w:rPr>
      <w:vertAlign w:val="superscript"/>
    </w:rPr>
  </w:style>
  <w:style w:type="character" w:styleId="Hyperlink">
    <w:name w:val="Hyperlink"/>
    <w:basedOn w:val="DefaultParagraphFont"/>
    <w:uiPriority w:val="99"/>
    <w:unhideWhenUsed/>
    <w:rsid w:val="00D60D97"/>
    <w:rPr>
      <w:color w:val="467886" w:themeColor="hyperlink"/>
      <w:u w:val="single"/>
    </w:rPr>
  </w:style>
  <w:style w:type="character" w:customStyle="1" w:styleId="UnresolvedMention1">
    <w:name w:val="Unresolved Mention1"/>
    <w:basedOn w:val="DefaultParagraphFont"/>
    <w:uiPriority w:val="99"/>
    <w:semiHidden/>
    <w:unhideWhenUsed/>
    <w:rsid w:val="00D60D97"/>
    <w:rPr>
      <w:color w:val="605E5C"/>
      <w:shd w:val="clear" w:color="auto" w:fill="E1DFDD"/>
    </w:rPr>
  </w:style>
  <w:style w:type="paragraph" w:customStyle="1" w:styleId="elementtoproof">
    <w:name w:val="elementtoproof"/>
    <w:basedOn w:val="Normal"/>
    <w:rsid w:val="00946437"/>
    <w:pPr>
      <w:spacing w:after="0" w:line="240" w:lineRule="auto"/>
    </w:pPr>
    <w:rPr>
      <w:rFonts w:ascii="Aptos" w:hAnsi="Aptos" w:cs="Aptos"/>
      <w:kern w:val="0"/>
      <w:sz w:val="24"/>
      <w:szCs w:val="24"/>
      <w:lang w:eastAsia="en-GB"/>
    </w:rPr>
  </w:style>
  <w:style w:type="character" w:styleId="FollowedHyperlink">
    <w:name w:val="FollowedHyperlink"/>
    <w:basedOn w:val="DefaultParagraphFont"/>
    <w:uiPriority w:val="99"/>
    <w:semiHidden/>
    <w:unhideWhenUsed/>
    <w:rsid w:val="00290B5E"/>
    <w:rPr>
      <w:color w:val="96607D" w:themeColor="followedHyperlink"/>
      <w:u w:val="single"/>
    </w:rPr>
  </w:style>
  <w:style w:type="paragraph" w:styleId="Revision">
    <w:name w:val="Revision"/>
    <w:hidden/>
    <w:uiPriority w:val="99"/>
    <w:semiHidden/>
    <w:rsid w:val="00245420"/>
    <w:pPr>
      <w:spacing w:after="0" w:line="240" w:lineRule="auto"/>
    </w:pPr>
  </w:style>
  <w:style w:type="paragraph" w:styleId="Header">
    <w:name w:val="header"/>
    <w:basedOn w:val="Normal"/>
    <w:link w:val="HeaderChar"/>
    <w:uiPriority w:val="99"/>
    <w:unhideWhenUsed/>
    <w:rsid w:val="00DD23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33C"/>
  </w:style>
  <w:style w:type="paragraph" w:styleId="Footer">
    <w:name w:val="footer"/>
    <w:basedOn w:val="Normal"/>
    <w:link w:val="FooterChar"/>
    <w:uiPriority w:val="99"/>
    <w:unhideWhenUsed/>
    <w:rsid w:val="00DD23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33C"/>
  </w:style>
  <w:style w:type="paragraph" w:customStyle="1" w:styleId="Body">
    <w:name w:val="Body"/>
    <w:rsid w:val="008B2929"/>
    <w:pPr>
      <w:pBdr>
        <w:top w:val="nil"/>
        <w:left w:val="nil"/>
        <w:bottom w:val="nil"/>
        <w:right w:val="nil"/>
        <w:between w:val="nil"/>
        <w:bar w:val="nil"/>
      </w:pBdr>
      <w:spacing w:after="0" w:line="240" w:lineRule="auto"/>
    </w:pPr>
    <w:rPr>
      <w:rFonts w:ascii="Calibri" w:eastAsia="Arial Unicode MS" w:hAnsi="Calibri" w:cs="Arial Unicode MS"/>
      <w:color w:val="000000"/>
      <w:kern w:val="0"/>
      <w:bdr w:val="nil"/>
      <w:lang w:val="en-US" w:eastAsia="en-GB"/>
    </w:rPr>
  </w:style>
  <w:style w:type="paragraph" w:customStyle="1" w:styleId="Heading">
    <w:name w:val="Heading"/>
    <w:next w:val="Body"/>
    <w:rsid w:val="008B2929"/>
    <w:pPr>
      <w:keepNext/>
      <w:pBdr>
        <w:top w:val="nil"/>
        <w:left w:val="nil"/>
        <w:bottom w:val="nil"/>
        <w:right w:val="nil"/>
        <w:between w:val="nil"/>
        <w:bar w:val="nil"/>
      </w:pBdr>
      <w:spacing w:after="0" w:line="240" w:lineRule="auto"/>
      <w:outlineLvl w:val="0"/>
    </w:pPr>
    <w:rPr>
      <w:rFonts w:ascii="Calibri" w:eastAsia="Arial Unicode MS" w:hAnsi="Calibri" w:cs="Arial Unicode MS"/>
      <w:b/>
      <w:bCs/>
      <w:color w:val="000000"/>
      <w:kern w:val="0"/>
      <w:sz w:val="24"/>
      <w:szCs w:val="24"/>
      <w:u w:val="single"/>
      <w:bdr w:val="nil"/>
      <w:lang w:val="en-US" w:eastAsia="en-GB"/>
    </w:rPr>
  </w:style>
  <w:style w:type="paragraph" w:customStyle="1" w:styleId="Default">
    <w:name w:val="Default"/>
    <w:rsid w:val="008B2929"/>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sz w:val="26"/>
      <w:szCs w:val="26"/>
      <w:bdr w:val="nil"/>
      <w:lang w:eastAsia="en-GB"/>
    </w:rPr>
  </w:style>
  <w:style w:type="paragraph" w:customStyle="1" w:styleId="BodyA">
    <w:name w:val="Body A"/>
    <w:rsid w:val="00D808F9"/>
    <w:pPr>
      <w:pBdr>
        <w:top w:val="nil"/>
        <w:left w:val="nil"/>
        <w:bottom w:val="nil"/>
        <w:right w:val="nil"/>
        <w:between w:val="nil"/>
        <w:bar w:val="nil"/>
      </w:pBdr>
      <w:spacing w:after="0" w:line="240" w:lineRule="auto"/>
    </w:pPr>
    <w:rPr>
      <w:rFonts w:ascii="Calibri" w:eastAsia="Arial Unicode MS" w:hAnsi="Calibri" w:cs="Arial Unicode MS"/>
      <w:color w:val="000000"/>
      <w:kern w:val="0"/>
      <w:u w:color="000000"/>
      <w:bdr w:val="nil"/>
      <w:lang w:val="en-US" w:eastAsia="en-GB"/>
    </w:rPr>
  </w:style>
  <w:style w:type="character" w:styleId="CommentReference">
    <w:name w:val="annotation reference"/>
    <w:basedOn w:val="DefaultParagraphFont"/>
    <w:uiPriority w:val="99"/>
    <w:semiHidden/>
    <w:unhideWhenUsed/>
    <w:rsid w:val="004470EB"/>
    <w:rPr>
      <w:sz w:val="16"/>
      <w:szCs w:val="16"/>
    </w:rPr>
  </w:style>
  <w:style w:type="paragraph" w:styleId="CommentText">
    <w:name w:val="annotation text"/>
    <w:basedOn w:val="Normal"/>
    <w:link w:val="CommentTextChar"/>
    <w:uiPriority w:val="99"/>
    <w:unhideWhenUsed/>
    <w:rsid w:val="004470EB"/>
    <w:pPr>
      <w:spacing w:line="240" w:lineRule="auto"/>
    </w:pPr>
    <w:rPr>
      <w:sz w:val="20"/>
      <w:szCs w:val="20"/>
    </w:rPr>
  </w:style>
  <w:style w:type="character" w:customStyle="1" w:styleId="CommentTextChar">
    <w:name w:val="Comment Text Char"/>
    <w:basedOn w:val="DefaultParagraphFont"/>
    <w:link w:val="CommentText"/>
    <w:uiPriority w:val="99"/>
    <w:rsid w:val="004470EB"/>
    <w:rPr>
      <w:sz w:val="20"/>
      <w:szCs w:val="20"/>
    </w:rPr>
  </w:style>
  <w:style w:type="paragraph" w:styleId="CommentSubject">
    <w:name w:val="annotation subject"/>
    <w:basedOn w:val="CommentText"/>
    <w:next w:val="CommentText"/>
    <w:link w:val="CommentSubjectChar"/>
    <w:uiPriority w:val="99"/>
    <w:semiHidden/>
    <w:unhideWhenUsed/>
    <w:rsid w:val="004470EB"/>
    <w:rPr>
      <w:b/>
      <w:bCs/>
    </w:rPr>
  </w:style>
  <w:style w:type="character" w:customStyle="1" w:styleId="CommentSubjectChar">
    <w:name w:val="Comment Subject Char"/>
    <w:basedOn w:val="CommentTextChar"/>
    <w:link w:val="CommentSubject"/>
    <w:uiPriority w:val="99"/>
    <w:semiHidden/>
    <w:rsid w:val="004470EB"/>
    <w:rPr>
      <w:b/>
      <w:bCs/>
      <w:sz w:val="20"/>
      <w:szCs w:val="20"/>
    </w:rPr>
  </w:style>
  <w:style w:type="character" w:styleId="BookTitle">
    <w:name w:val="Book Title"/>
    <w:basedOn w:val="DefaultParagraphFont"/>
    <w:uiPriority w:val="33"/>
    <w:qFormat/>
    <w:rsid w:val="00AC16F9"/>
    <w:rPr>
      <w:b/>
      <w:bCs/>
      <w:i/>
      <w:iCs/>
      <w:spacing w:val="5"/>
    </w:rPr>
  </w:style>
  <w:style w:type="paragraph" w:styleId="Caption">
    <w:name w:val="caption"/>
    <w:basedOn w:val="Normal"/>
    <w:next w:val="Normal"/>
    <w:uiPriority w:val="35"/>
    <w:semiHidden/>
    <w:unhideWhenUsed/>
    <w:qFormat/>
    <w:rsid w:val="00AC16F9"/>
    <w:pPr>
      <w:spacing w:after="200" w:line="240" w:lineRule="auto"/>
    </w:pPr>
    <w:rPr>
      <w:i/>
      <w:iCs/>
      <w:color w:val="0E2841" w:themeColor="text2"/>
      <w:sz w:val="18"/>
      <w:szCs w:val="18"/>
    </w:rPr>
  </w:style>
  <w:style w:type="character" w:styleId="Emphasis">
    <w:name w:val="Emphasis"/>
    <w:basedOn w:val="DefaultParagraphFont"/>
    <w:uiPriority w:val="20"/>
    <w:qFormat/>
    <w:rsid w:val="00AC16F9"/>
    <w:rPr>
      <w:i/>
      <w:iCs/>
    </w:rPr>
  </w:style>
  <w:style w:type="paragraph" w:styleId="NoSpacing">
    <w:name w:val="No Spacing"/>
    <w:uiPriority w:val="1"/>
    <w:qFormat/>
    <w:rsid w:val="00AC16F9"/>
    <w:pPr>
      <w:spacing w:after="0" w:line="240" w:lineRule="auto"/>
    </w:pPr>
  </w:style>
  <w:style w:type="character" w:styleId="Strong">
    <w:name w:val="Strong"/>
    <w:basedOn w:val="DefaultParagraphFont"/>
    <w:uiPriority w:val="22"/>
    <w:qFormat/>
    <w:rsid w:val="00AC16F9"/>
    <w:rPr>
      <w:b/>
      <w:bCs/>
    </w:rPr>
  </w:style>
  <w:style w:type="character" w:styleId="SubtleEmphasis">
    <w:name w:val="Subtle Emphasis"/>
    <w:basedOn w:val="DefaultParagraphFont"/>
    <w:uiPriority w:val="19"/>
    <w:qFormat/>
    <w:rsid w:val="00AC16F9"/>
    <w:rPr>
      <w:i/>
      <w:iCs/>
      <w:color w:val="404040" w:themeColor="text1" w:themeTint="BF"/>
    </w:rPr>
  </w:style>
  <w:style w:type="character" w:styleId="SubtleReference">
    <w:name w:val="Subtle Reference"/>
    <w:basedOn w:val="DefaultParagraphFont"/>
    <w:uiPriority w:val="31"/>
    <w:qFormat/>
    <w:rsid w:val="00AC16F9"/>
    <w:rPr>
      <w:smallCaps/>
      <w:color w:val="5A5A5A" w:themeColor="text1" w:themeTint="A5"/>
    </w:rPr>
  </w:style>
  <w:style w:type="paragraph" w:styleId="TOCHeading">
    <w:name w:val="TOC Heading"/>
    <w:basedOn w:val="Heading1"/>
    <w:next w:val="Normal"/>
    <w:uiPriority w:val="39"/>
    <w:semiHidden/>
    <w:unhideWhenUsed/>
    <w:qFormat/>
    <w:rsid w:val="00AC16F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BA9BC-578D-4D9A-A9EF-3B871AC6F925}">
  <ds:schemaRefs>
    <ds:schemaRef ds:uri="http://schemas.openxmlformats.org/officeDocument/2006/bibliography"/>
  </ds:schemaRefs>
</ds:datastoreItem>
</file>

<file path=docMetadata/LabelInfo.xml><?xml version="1.0" encoding="utf-8"?>
<clbl:labelList xmlns:clbl="http://schemas.microsoft.com/office/2020/mipLabelMetadata">
  <clbl:label id="{328ce7ca-15a2-4daa-8283-ea19fb11ac62}" enabled="0" method="" siteId="{328ce7ca-15a2-4daa-8283-ea19fb11ac62}"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ECA0123</dc:title>
  <cp:revision>0</cp:revision>
</cp:coreProperties>
</file>