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02B29" w:rsidRPr="00302B29" w:rsidP="00302B29">
      <w:pPr>
        <w:jc w:val="center"/>
        <w:rPr>
          <w:rFonts w:ascii="Calibri" w:hAnsi="Calibri" w:cs="Calibri"/>
          <w:b/>
          <w:bCs/>
        </w:rPr>
      </w:pPr>
      <w:r w:rsidRPr="00302B29">
        <w:rPr>
          <w:rFonts w:ascii="Calibri" w:hAnsi="Calibri" w:cs="Calibri"/>
          <w:b/>
          <w:bCs/>
        </w:rPr>
        <w:t xml:space="preserve">Written evidence by </w:t>
      </w:r>
      <w:r w:rsidRPr="00302B29">
        <w:rPr>
          <w:rFonts w:ascii="Calibri" w:hAnsi="Calibri" w:cs="Calibri"/>
          <w:b/>
          <w:bCs/>
        </w:rPr>
        <w:t>Hampshire County Council - Education and Inclusion</w:t>
      </w:r>
      <w:r w:rsidRPr="00302B29">
        <w:rPr>
          <w:rFonts w:ascii="Calibri" w:hAnsi="Calibri" w:cs="Calibri"/>
          <w:b/>
          <w:bCs/>
        </w:rPr>
        <w:t xml:space="preserve"> (</w:t>
      </w:r>
      <w:r w:rsidRPr="00302B29">
        <w:rPr>
          <w:rFonts w:ascii="Calibri" w:hAnsi="Calibri" w:cs="Calibri"/>
          <w:b/>
          <w:bCs/>
        </w:rPr>
        <w:t>ECA0120</w:t>
      </w:r>
      <w:r w:rsidRPr="00302B29">
        <w:rPr>
          <w:rFonts w:ascii="Calibri" w:hAnsi="Calibri" w:cs="Calibri"/>
          <w:b/>
          <w:bCs/>
        </w:rPr>
        <w:t>)</w:t>
      </w:r>
    </w:p>
    <w:p w:rsidR="00302B29" w:rsidRPr="00302B29" w:rsidP="00302B29">
      <w:pPr>
        <w:rPr>
          <w:rFonts w:ascii="Calibri" w:hAnsi="Calibri" w:cs="Calibri"/>
          <w:b/>
          <w:bCs/>
        </w:rPr>
      </w:pPr>
      <w:r w:rsidRPr="00302B29">
        <w:rPr>
          <w:rFonts w:ascii="Calibri" w:hAnsi="Calibri" w:cs="Calibri"/>
          <w:b/>
          <w:bCs/>
        </w:rPr>
        <w:t>Education Committee</w:t>
      </w:r>
    </w:p>
    <w:p w:rsidR="00302B29" w:rsidRPr="00302B29" w:rsidP="00302B29">
      <w:pPr>
        <w:rPr>
          <w:rFonts w:ascii="Calibri" w:hAnsi="Calibri" w:cs="Calibri"/>
          <w:b/>
          <w:bCs/>
        </w:rPr>
      </w:pPr>
      <w:r w:rsidRPr="00302B29">
        <w:rPr>
          <w:rFonts w:ascii="Calibri" w:eastAsia="Aptos" w:hAnsi="Calibri" w:cs="Calibri"/>
          <w:b/>
          <w:bCs/>
        </w:rPr>
        <w:t>Every Child Achieving and Thriving’ White Paper</w:t>
      </w:r>
    </w:p>
    <w:p w:rsidR="00302B29" w:rsidRPr="00302B29" w:rsidP="00220A31">
      <w:pPr>
        <w:rPr>
          <w:rFonts w:ascii="Calibri" w:hAnsi="Calibri" w:cs="Calibri"/>
          <w:b/>
          <w:bCs/>
        </w:rPr>
      </w:pPr>
    </w:p>
    <w:p w:rsidR="0026306F" w:rsidRPr="00302B29" w:rsidP="00220A31">
      <w:pPr>
        <w:rPr>
          <w:rFonts w:ascii="Calibri" w:hAnsi="Calibri" w:cs="Calibri"/>
          <w:b/>
          <w:bCs/>
        </w:rPr>
      </w:pPr>
      <w:r w:rsidRPr="00302B29">
        <w:rPr>
          <w:rFonts w:ascii="Calibri" w:hAnsi="Calibri" w:cs="Calibri"/>
          <w:b/>
          <w:bCs/>
        </w:rPr>
        <w:t>Key recommendations summary</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 xml:space="preserve">Strengthen the strategic role of local authorities </w:t>
      </w:r>
      <w:r w:rsidRPr="00302B29">
        <w:rPr>
          <w:rFonts w:ascii="Calibri" w:hAnsi="Calibri" w:cs="Calibri"/>
        </w:rPr>
        <w:t>across school improvement, attendance, inclusion, admissions, SEND and safeguarding to provide effective place-based leadership.</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Ensure accountability measures promote equity and inclusion</w:t>
      </w:r>
      <w:r w:rsidRPr="00302B29">
        <w:rPr>
          <w:rFonts w:ascii="Calibri" w:hAnsi="Calibri" w:cs="Calibri"/>
        </w:rPr>
        <w:t>, recognising progress made by disadvantaged pupils and rewarding schools for wider outcomes such as attendance, wellbeing and inclusion.</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Prioritise multi-agency approaches to attendance</w:t>
      </w:r>
      <w:r w:rsidRPr="00302B29">
        <w:rPr>
          <w:rFonts w:ascii="Calibri" w:hAnsi="Calibri" w:cs="Calibri"/>
        </w:rPr>
        <w:t>, with investment supporting coordinated work across education, health, social care and families rather than relying solely on school-based interventions.</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Strengthen local oversight within a mixed governance system, including a clear statutory role for local authorities in</w:t>
      </w:r>
      <w:r w:rsidRPr="00302B29">
        <w:rPr>
          <w:rFonts w:ascii="Calibri" w:hAnsi="Calibri" w:cs="Calibri"/>
        </w:rPr>
        <w:t xml:space="preserve"> coordinating services, supporting vulnerable pupils and maintaining system coherence.</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Invest in enrichment, belonging and preventative support</w:t>
      </w:r>
      <w:r w:rsidRPr="00302B29">
        <w:rPr>
          <w:rFonts w:ascii="Calibri" w:hAnsi="Calibri" w:cs="Calibri"/>
        </w:rPr>
        <w:t>, including dedicated funding for enrichment programmes, trauma-informed behaviour approaches and early intervention services.</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Reform admissions to improve fairness and transparency, by strengthening local authority powers</w:t>
      </w:r>
      <w:r w:rsidRPr="00302B29">
        <w:rPr>
          <w:rFonts w:ascii="Calibri" w:hAnsi="Calibri" w:cs="Calibri"/>
        </w:rPr>
        <w:t>, improving compliance with the Admissions Code, and ensuring timely access to school places for vulnerable children.</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Invest in workforce retention and capacity,</w:t>
      </w:r>
      <w:r w:rsidRPr="00302B29">
        <w:rPr>
          <w:rFonts w:ascii="Calibri" w:hAnsi="Calibri" w:cs="Calibri"/>
        </w:rPr>
        <w:t xml:space="preserve"> focusing on professional development, leadership support, flexible working and early intervention services, while also addressing workload, accountability, SEND pressures and behaviour challenges.</w:t>
      </w:r>
    </w:p>
    <w:p w:rsidR="0026306F" w:rsidRPr="00302B29" w:rsidP="00220A31">
      <w:pPr>
        <w:pStyle w:val="ListParagraph"/>
        <w:numPr>
          <w:ilvl w:val="0"/>
          <w:numId w:val="24"/>
        </w:numPr>
        <w:spacing w:after="0"/>
        <w:rPr>
          <w:rFonts w:ascii="Calibri" w:hAnsi="Calibri" w:cs="Calibri"/>
        </w:rPr>
      </w:pPr>
      <w:r w:rsidRPr="00302B29">
        <w:rPr>
          <w:rFonts w:ascii="Calibri" w:hAnsi="Calibri" w:cs="Calibri"/>
          <w:b/>
          <w:bCs/>
        </w:rPr>
        <w:t>Create greater system coherence</w:t>
      </w:r>
      <w:r w:rsidRPr="00302B29">
        <w:rPr>
          <w:rFonts w:ascii="Calibri" w:hAnsi="Calibri" w:cs="Calibri"/>
        </w:rPr>
        <w:t xml:space="preserve"> across education reform, ensuring stronger alignment between the DfE, local authorities, Ofsted, trusts and schools to avoid duplication, fragmentation and competing initiatives.</w:t>
      </w:r>
    </w:p>
    <w:p w:rsidR="0026306F" w:rsidRPr="00302B29" w:rsidP="00220A31">
      <w:pPr>
        <w:spacing w:after="0"/>
        <w:rPr>
          <w:rFonts w:ascii="Calibri" w:hAnsi="Calibri" w:cs="Calibri"/>
          <w:b/>
          <w:bCs/>
        </w:rPr>
      </w:pPr>
    </w:p>
    <w:p w:rsidR="0026306F" w:rsidRPr="00302B29" w:rsidP="00220A31">
      <w:pPr>
        <w:rPr>
          <w:rFonts w:ascii="Calibri" w:hAnsi="Calibri" w:cs="Calibri"/>
          <w:b/>
          <w:bCs/>
        </w:rPr>
      </w:pPr>
    </w:p>
    <w:p w:rsidR="0026306F" w:rsidRPr="00302B29" w:rsidP="00220A31">
      <w:pPr>
        <w:rPr>
          <w:rFonts w:ascii="Calibri" w:hAnsi="Calibri" w:cs="Calibri"/>
        </w:rPr>
      </w:pPr>
      <w:r w:rsidRPr="00302B29">
        <w:rPr>
          <w:rFonts w:ascii="Calibri" w:hAnsi="Calibri" w:cs="Calibri"/>
        </w:rPr>
        <w:t>Hampshire County Council - Children’s Services supports the ambition for a high-performing, equitable school system in which every child can achieve and thrive. However, success depends on strong local partnerships, system coherence, and sustained investment in people and services.</w:t>
      </w:r>
    </w:p>
    <w:p w:rsidR="0026306F" w:rsidRPr="00302B29" w:rsidP="00220A31">
      <w:pPr>
        <w:rPr>
          <w:rFonts w:ascii="Calibri" w:hAnsi="Calibri" w:cs="Calibri"/>
        </w:rPr>
      </w:pPr>
      <w:r w:rsidRPr="00302B29">
        <w:rPr>
          <w:rFonts w:ascii="Calibri" w:hAnsi="Calibri" w:cs="Calibri"/>
        </w:rPr>
        <w:t>The paper argues that successful education reform depends on strong local authority leadership, place-based collaboration, equitable accountability, sustainable workforce investment and coherent system-wide coordination.</w:t>
      </w:r>
    </w:p>
    <w:p w:rsidR="0026306F" w:rsidRPr="00302B29" w:rsidP="00220A31">
      <w:pPr>
        <w:rPr>
          <w:rFonts w:ascii="Calibri" w:hAnsi="Calibri" w:cs="Calibri"/>
        </w:rPr>
      </w:pPr>
      <w:r w:rsidRPr="00302B29">
        <w:rPr>
          <w:rFonts w:ascii="Calibri" w:hAnsi="Calibri" w:cs="Calibri"/>
        </w:rPr>
        <w:t>Hampshire is a large upper-tier authority responsible for education, safeguarding, and children’s services across a diverse range of rural, coastal and urban communities. It supports approximately 600 schools and colleges, 530 of which are state funded; 82% of which are maintained by the local authority</w:t>
      </w:r>
    </w:p>
    <w:p w:rsidR="0026306F" w:rsidRPr="00302B29" w:rsidP="00220A31">
      <w:pPr>
        <w:spacing w:after="0" w:line="240" w:lineRule="auto"/>
        <w:rPr>
          <w:rFonts w:ascii="Calibri" w:hAnsi="Calibri" w:cs="Calibri"/>
          <w:b/>
          <w:bCs/>
        </w:rPr>
      </w:pPr>
      <w:r w:rsidRPr="00302B29">
        <w:rPr>
          <w:rFonts w:ascii="Calibri" w:hAnsi="Calibri" w:cs="Calibri"/>
          <w:b/>
          <w:bCs/>
        </w:rPr>
        <w:t>Attendance:</w:t>
      </w:r>
    </w:p>
    <w:p w:rsidR="0026306F" w:rsidRPr="00302B29" w:rsidP="00220A31">
      <w:pPr>
        <w:numPr>
          <w:ilvl w:val="0"/>
          <w:numId w:val="22"/>
        </w:numPr>
        <w:spacing w:after="0" w:line="240" w:lineRule="auto"/>
        <w:ind w:left="714" w:hanging="357"/>
        <w:rPr>
          <w:rFonts w:ascii="Calibri" w:hAnsi="Calibri" w:cs="Calibri"/>
        </w:rPr>
      </w:pPr>
      <w:r w:rsidRPr="00302B29">
        <w:rPr>
          <w:rFonts w:ascii="Calibri" w:hAnsi="Calibri" w:cs="Calibri"/>
        </w:rPr>
        <w:t>Attendance has reduced from around 95% pre-pandemic to 93%, in line with the national picture</w:t>
      </w:r>
    </w:p>
    <w:p w:rsidR="0026306F" w:rsidRPr="00302B29" w:rsidP="00220A31">
      <w:pPr>
        <w:numPr>
          <w:ilvl w:val="0"/>
          <w:numId w:val="22"/>
        </w:numPr>
        <w:spacing w:after="0" w:line="240" w:lineRule="auto"/>
        <w:ind w:left="714" w:hanging="357"/>
        <w:rPr>
          <w:rFonts w:ascii="Calibri" w:hAnsi="Calibri" w:cs="Calibri"/>
        </w:rPr>
      </w:pPr>
      <w:r w:rsidRPr="00302B29">
        <w:rPr>
          <w:rFonts w:ascii="Calibri" w:hAnsi="Calibri" w:cs="Calibri"/>
        </w:rPr>
        <w:t>Persistent absence has increased from around 10% to 18%, though is now improving, and is broadly in line with that nationally</w:t>
      </w:r>
    </w:p>
    <w:p w:rsidR="0026306F" w:rsidRPr="00302B29" w:rsidP="00220A31">
      <w:pPr>
        <w:numPr>
          <w:ilvl w:val="0"/>
          <w:numId w:val="22"/>
        </w:numPr>
        <w:spacing w:after="0" w:line="240" w:lineRule="auto"/>
        <w:ind w:left="714" w:hanging="357"/>
        <w:rPr>
          <w:rFonts w:ascii="Calibri" w:hAnsi="Calibri" w:cs="Calibri"/>
        </w:rPr>
      </w:pPr>
      <w:r w:rsidRPr="00302B29">
        <w:rPr>
          <w:rFonts w:ascii="Calibri" w:hAnsi="Calibri" w:cs="Calibri"/>
        </w:rPr>
        <w:t>Challenges are most acute in secondary schools and within disadvantaged cohorts</w:t>
      </w:r>
    </w:p>
    <w:p w:rsidR="0026306F" w:rsidRPr="00302B29" w:rsidP="00220A31">
      <w:pPr>
        <w:rPr>
          <w:rFonts w:ascii="Calibri" w:hAnsi="Calibri" w:cs="Calibri"/>
          <w:b/>
          <w:bCs/>
        </w:rPr>
      </w:pPr>
    </w:p>
    <w:p w:rsidR="0026306F" w:rsidRPr="00302B29" w:rsidP="00220A31">
      <w:pPr>
        <w:spacing w:after="0" w:line="240" w:lineRule="auto"/>
        <w:rPr>
          <w:rFonts w:ascii="Calibri" w:hAnsi="Calibri" w:cs="Calibri"/>
        </w:rPr>
      </w:pPr>
      <w:r w:rsidRPr="00302B29">
        <w:rPr>
          <w:rFonts w:ascii="Calibri" w:hAnsi="Calibri" w:cs="Calibri"/>
          <w:b/>
          <w:bCs/>
        </w:rPr>
        <w:t>Attainment</w:t>
      </w:r>
      <w:r w:rsidRPr="00302B29">
        <w:rPr>
          <w:rFonts w:ascii="Calibri" w:hAnsi="Calibri" w:cs="Calibri"/>
        </w:rPr>
        <w:t>:</w:t>
      </w:r>
    </w:p>
    <w:p w:rsidR="0026306F" w:rsidRPr="00302B29" w:rsidP="00220A31">
      <w:pPr>
        <w:numPr>
          <w:ilvl w:val="0"/>
          <w:numId w:val="23"/>
        </w:numPr>
        <w:spacing w:after="0" w:line="240" w:lineRule="auto"/>
        <w:ind w:left="714" w:hanging="357"/>
        <w:rPr>
          <w:rFonts w:ascii="Calibri" w:hAnsi="Calibri" w:cs="Calibri"/>
        </w:rPr>
      </w:pPr>
      <w:r w:rsidRPr="00302B29">
        <w:rPr>
          <w:rFonts w:ascii="Calibri" w:hAnsi="Calibri" w:cs="Calibri"/>
        </w:rPr>
        <w:t>Outcomes are generally in line with or above national averages across all phases</w:t>
      </w:r>
    </w:p>
    <w:p w:rsidR="0026306F" w:rsidRPr="00302B29" w:rsidP="00220A31">
      <w:pPr>
        <w:pStyle w:val="ListParagraph"/>
        <w:numPr>
          <w:ilvl w:val="0"/>
          <w:numId w:val="23"/>
        </w:numPr>
        <w:rPr>
          <w:rFonts w:ascii="Calibri" w:hAnsi="Calibri" w:cs="Calibri"/>
        </w:rPr>
      </w:pPr>
      <w:r w:rsidRPr="00302B29">
        <w:rPr>
          <w:rFonts w:ascii="Calibri" w:hAnsi="Calibri" w:cs="Calibri"/>
        </w:rPr>
        <w:t>Performance is less strong for disadvantaged pupils and those with SEND, reflecting national trends</w:t>
      </w:r>
    </w:p>
    <w:p w:rsidR="0026306F" w:rsidRPr="00302B29" w:rsidP="00220A31">
      <w:pPr>
        <w:rPr>
          <w:rFonts w:ascii="Calibri" w:hAnsi="Calibri" w:cs="Calibri"/>
          <w:b/>
          <w:bCs/>
        </w:rPr>
      </w:pPr>
      <w:r w:rsidRPr="00302B29">
        <w:rPr>
          <w:rFonts w:ascii="Calibri" w:hAnsi="Calibri" w:cs="Calibri"/>
          <w:b/>
          <w:bCs/>
        </w:rPr>
        <w:t>School Improvement Capacity</w:t>
      </w:r>
    </w:p>
    <w:p w:rsidR="0026306F" w:rsidRPr="00302B29" w:rsidP="00220A31">
      <w:pPr>
        <w:rPr>
          <w:rFonts w:ascii="Calibri" w:hAnsi="Calibri" w:cs="Calibri"/>
        </w:rPr>
      </w:pPr>
      <w:r w:rsidRPr="00302B29">
        <w:rPr>
          <w:rFonts w:ascii="Calibri" w:hAnsi="Calibri" w:cs="Calibri"/>
        </w:rPr>
        <w:t>The authority maintains a well-established school improvement service within its Children’s Services team, with approximately 60 full-time equivalent officers. This includes expertise across subject areas and thematic priorities such as attendance, assessment, and personal development.</w:t>
      </w:r>
    </w:p>
    <w:p w:rsidR="0026306F" w:rsidRPr="00302B29" w:rsidP="00220A31">
      <w:pPr>
        <w:spacing w:after="0" w:line="240" w:lineRule="auto"/>
        <w:rPr>
          <w:rFonts w:ascii="Calibri" w:hAnsi="Calibri" w:cs="Calibri"/>
        </w:rPr>
      </w:pPr>
      <w:r w:rsidRPr="00302B29">
        <w:rPr>
          <w:rFonts w:ascii="Calibri" w:hAnsi="Calibri" w:cs="Calibri"/>
        </w:rPr>
        <w:t>The service supports:</w:t>
      </w:r>
    </w:p>
    <w:p w:rsidR="0026306F" w:rsidRPr="00302B29" w:rsidP="00220A31">
      <w:pPr>
        <w:numPr>
          <w:ilvl w:val="0"/>
          <w:numId w:val="19"/>
        </w:numPr>
        <w:spacing w:after="0" w:line="240" w:lineRule="auto"/>
        <w:ind w:left="714" w:hanging="357"/>
        <w:rPr>
          <w:rFonts w:ascii="Calibri" w:hAnsi="Calibri" w:cs="Calibri"/>
        </w:rPr>
      </w:pPr>
      <w:r w:rsidRPr="00302B29">
        <w:rPr>
          <w:rFonts w:ascii="Calibri" w:hAnsi="Calibri" w:cs="Calibri"/>
        </w:rPr>
        <w:t>Maintained schools</w:t>
      </w:r>
    </w:p>
    <w:p w:rsidR="0026306F" w:rsidRPr="00302B29" w:rsidP="00220A31">
      <w:pPr>
        <w:numPr>
          <w:ilvl w:val="0"/>
          <w:numId w:val="19"/>
        </w:numPr>
        <w:spacing w:after="0" w:line="240" w:lineRule="auto"/>
        <w:ind w:left="714" w:hanging="357"/>
        <w:rPr>
          <w:rFonts w:ascii="Calibri" w:hAnsi="Calibri" w:cs="Calibri"/>
        </w:rPr>
      </w:pPr>
      <w:r w:rsidRPr="00302B29">
        <w:rPr>
          <w:rFonts w:ascii="Calibri" w:hAnsi="Calibri" w:cs="Calibri"/>
        </w:rPr>
        <w:t>Multi-academy trusts (MATs)</w:t>
      </w:r>
    </w:p>
    <w:p w:rsidR="0026306F" w:rsidRPr="00302B29" w:rsidP="00220A31">
      <w:pPr>
        <w:numPr>
          <w:ilvl w:val="0"/>
          <w:numId w:val="19"/>
        </w:numPr>
        <w:spacing w:after="0" w:line="240" w:lineRule="auto"/>
        <w:ind w:left="714" w:hanging="357"/>
        <w:rPr>
          <w:rFonts w:ascii="Calibri" w:hAnsi="Calibri" w:cs="Calibri"/>
        </w:rPr>
      </w:pPr>
      <w:r w:rsidRPr="00302B29">
        <w:rPr>
          <w:rFonts w:ascii="Calibri" w:hAnsi="Calibri" w:cs="Calibri"/>
        </w:rPr>
        <w:t>Single academy trusts (SATs)</w:t>
      </w:r>
    </w:p>
    <w:p w:rsidR="0026306F" w:rsidRPr="00302B29" w:rsidP="00220A31">
      <w:pPr>
        <w:numPr>
          <w:ilvl w:val="0"/>
          <w:numId w:val="19"/>
        </w:numPr>
        <w:spacing w:after="0" w:line="240" w:lineRule="auto"/>
        <w:ind w:left="714" w:hanging="357"/>
        <w:rPr>
          <w:rFonts w:ascii="Calibri" w:hAnsi="Calibri" w:cs="Calibri"/>
        </w:rPr>
      </w:pPr>
      <w:r w:rsidRPr="00302B29">
        <w:rPr>
          <w:rFonts w:ascii="Calibri" w:hAnsi="Calibri" w:cs="Calibri"/>
        </w:rPr>
        <w:t>Alternative provision and post</w:t>
      </w:r>
      <w:r w:rsidRPr="00302B29">
        <w:rPr>
          <w:rFonts w:ascii="Calibri" w:hAnsi="Calibri" w:cs="Calibri"/>
        </w:rPr>
        <w:noBreakHyphen/>
        <w:t>16 providers</w:t>
      </w:r>
    </w:p>
    <w:p w:rsidR="0026306F" w:rsidRPr="00302B29" w:rsidP="00220A31">
      <w:pPr>
        <w:numPr>
          <w:ilvl w:val="0"/>
          <w:numId w:val="19"/>
        </w:numPr>
        <w:spacing w:after="0" w:line="240" w:lineRule="auto"/>
        <w:ind w:left="714" w:hanging="357"/>
        <w:rPr>
          <w:rFonts w:ascii="Calibri" w:hAnsi="Calibri" w:cs="Calibri"/>
        </w:rPr>
      </w:pPr>
      <w:r w:rsidRPr="00302B29">
        <w:rPr>
          <w:rFonts w:ascii="Calibri" w:hAnsi="Calibri" w:cs="Calibri"/>
        </w:rPr>
        <w:t>A number of</w:t>
      </w:r>
      <w:r w:rsidRPr="00302B29">
        <w:rPr>
          <w:rFonts w:ascii="Calibri" w:hAnsi="Calibri" w:cs="Calibri"/>
        </w:rPr>
        <w:t xml:space="preserve"> schools and local authorities beyond Hampshire, including overseas</w:t>
      </w:r>
    </w:p>
    <w:p w:rsidR="0026306F" w:rsidRPr="00302B29" w:rsidP="00220A31">
      <w:pPr>
        <w:spacing w:after="0" w:line="240" w:lineRule="auto"/>
        <w:ind w:left="714"/>
        <w:rPr>
          <w:rFonts w:ascii="Calibri" w:hAnsi="Calibri" w:cs="Calibri"/>
        </w:rPr>
      </w:pPr>
    </w:p>
    <w:p w:rsidR="0026306F" w:rsidRPr="00302B29" w:rsidP="00220A31">
      <w:pPr>
        <w:rPr>
          <w:rFonts w:ascii="Calibri" w:hAnsi="Calibri" w:cs="Calibri"/>
        </w:rPr>
      </w:pPr>
      <w:r w:rsidRPr="00302B29">
        <w:rPr>
          <w:rFonts w:ascii="Calibri" w:hAnsi="Calibri" w:cs="Calibri"/>
        </w:rPr>
        <w:t>Many officers are former headteachers, Ofsted inspectors, or nationally recognised subject and system leaders, and the service has been commissioned to support national programmes such as RISE.</w:t>
      </w:r>
    </w:p>
    <w:p w:rsidR="0026306F" w:rsidRPr="00302B29" w:rsidP="00220A31">
      <w:pPr>
        <w:rPr>
          <w:rFonts w:ascii="Calibri" w:hAnsi="Calibri" w:cs="Calibri"/>
          <w:b/>
          <w:bCs/>
        </w:rPr>
      </w:pPr>
      <w:r w:rsidRPr="00302B29">
        <w:rPr>
          <w:rFonts w:ascii="Calibri" w:hAnsi="Calibri" w:cs="Calibri"/>
          <w:b/>
          <w:bCs/>
        </w:rPr>
        <w:t>Partnership approach</w:t>
      </w:r>
    </w:p>
    <w:p w:rsidR="0026306F" w:rsidRPr="00302B29" w:rsidP="00220A31">
      <w:pPr>
        <w:spacing w:after="0" w:line="240" w:lineRule="auto"/>
        <w:rPr>
          <w:rFonts w:ascii="Calibri" w:hAnsi="Calibri" w:cs="Calibri"/>
        </w:rPr>
      </w:pPr>
      <w:r w:rsidRPr="00302B29">
        <w:rPr>
          <w:rFonts w:ascii="Calibri" w:hAnsi="Calibri" w:cs="Calibri"/>
        </w:rPr>
        <w:t>The service operates through a partnership model, working closely with schools, trusts and wider services to deliver:</w:t>
      </w:r>
    </w:p>
    <w:p w:rsidR="0026306F" w:rsidRPr="00302B29" w:rsidP="00220A31">
      <w:pPr>
        <w:numPr>
          <w:ilvl w:val="0"/>
          <w:numId w:val="21"/>
        </w:numPr>
        <w:spacing w:after="0" w:line="240" w:lineRule="auto"/>
        <w:ind w:left="714" w:hanging="357"/>
        <w:rPr>
          <w:rFonts w:ascii="Calibri" w:hAnsi="Calibri" w:cs="Calibri"/>
        </w:rPr>
      </w:pPr>
      <w:r w:rsidRPr="00302B29">
        <w:rPr>
          <w:rFonts w:ascii="Calibri" w:hAnsi="Calibri" w:cs="Calibri"/>
        </w:rPr>
        <w:t>Raising standards</w:t>
      </w:r>
    </w:p>
    <w:p w:rsidR="0026306F" w:rsidRPr="00302B29" w:rsidP="00220A31">
      <w:pPr>
        <w:numPr>
          <w:ilvl w:val="0"/>
          <w:numId w:val="21"/>
        </w:numPr>
        <w:spacing w:after="0" w:line="240" w:lineRule="auto"/>
        <w:ind w:left="714" w:hanging="357"/>
        <w:rPr>
          <w:rFonts w:ascii="Calibri" w:hAnsi="Calibri" w:cs="Calibri"/>
        </w:rPr>
      </w:pPr>
      <w:r w:rsidRPr="00302B29">
        <w:rPr>
          <w:rFonts w:ascii="Calibri" w:hAnsi="Calibri" w:cs="Calibri"/>
        </w:rPr>
        <w:t>Attendance improvement</w:t>
      </w:r>
    </w:p>
    <w:p w:rsidR="0026306F" w:rsidRPr="00302B29" w:rsidP="00220A31">
      <w:pPr>
        <w:numPr>
          <w:ilvl w:val="0"/>
          <w:numId w:val="21"/>
        </w:numPr>
        <w:spacing w:after="0" w:line="240" w:lineRule="auto"/>
        <w:ind w:left="714" w:hanging="357"/>
        <w:rPr>
          <w:rFonts w:ascii="Calibri" w:hAnsi="Calibri" w:cs="Calibri"/>
        </w:rPr>
      </w:pPr>
      <w:r w:rsidRPr="00302B29">
        <w:rPr>
          <w:rFonts w:ascii="Calibri" w:hAnsi="Calibri" w:cs="Calibri"/>
        </w:rPr>
        <w:t>Safeguarding and inclusion</w:t>
      </w:r>
    </w:p>
    <w:p w:rsidR="0026306F" w:rsidRPr="00302B29" w:rsidP="00220A31">
      <w:pPr>
        <w:numPr>
          <w:ilvl w:val="0"/>
          <w:numId w:val="21"/>
        </w:numPr>
        <w:spacing w:after="0" w:line="240" w:lineRule="auto"/>
        <w:ind w:left="714" w:hanging="357"/>
        <w:rPr>
          <w:rFonts w:ascii="Calibri" w:hAnsi="Calibri" w:cs="Calibri"/>
        </w:rPr>
      </w:pPr>
      <w:r w:rsidRPr="00302B29">
        <w:rPr>
          <w:rFonts w:ascii="Calibri" w:hAnsi="Calibri" w:cs="Calibri"/>
        </w:rPr>
        <w:t>Leadership and governance support</w:t>
      </w:r>
    </w:p>
    <w:p w:rsidR="0026306F" w:rsidRPr="00302B29" w:rsidP="00220A31">
      <w:pPr>
        <w:spacing w:after="0" w:line="240" w:lineRule="auto"/>
        <w:ind w:left="714"/>
        <w:rPr>
          <w:rFonts w:ascii="Calibri" w:hAnsi="Calibri" w:cs="Calibri"/>
        </w:rPr>
      </w:pPr>
    </w:p>
    <w:p w:rsidR="0026306F" w:rsidRPr="00302B29" w:rsidP="00220A31">
      <w:pPr>
        <w:rPr>
          <w:rFonts w:ascii="Calibri" w:hAnsi="Calibri" w:cs="Calibri"/>
        </w:rPr>
      </w:pPr>
      <w:r w:rsidRPr="00302B29">
        <w:rPr>
          <w:rFonts w:ascii="Calibri" w:hAnsi="Calibri" w:cs="Calibri"/>
        </w:rPr>
        <w:t>This model enables early intervention and system-wide alignment, rather than reactive intervention alone.</w:t>
      </w:r>
    </w:p>
    <w:p w:rsidR="0026306F" w:rsidRPr="00302B29" w:rsidP="00220A31">
      <w:pPr>
        <w:rPr>
          <w:rFonts w:ascii="Calibri" w:hAnsi="Calibri" w:cs="Calibri"/>
          <w:b/>
          <w:bCs/>
        </w:rPr>
      </w:pPr>
      <w:r w:rsidRPr="00302B29">
        <w:rPr>
          <w:rFonts w:ascii="Calibri" w:hAnsi="Calibri" w:cs="Calibri"/>
          <w:b/>
          <w:bCs/>
        </w:rPr>
        <w:t>Summary of key points</w:t>
      </w:r>
    </w:p>
    <w:p w:rsidR="0026306F" w:rsidRPr="00302B29" w:rsidP="00220A31">
      <w:pPr>
        <w:numPr>
          <w:ilvl w:val="0"/>
          <w:numId w:val="20"/>
        </w:numPr>
        <w:spacing w:after="0" w:line="240" w:lineRule="auto"/>
        <w:ind w:left="714" w:hanging="357"/>
        <w:rPr>
          <w:rFonts w:ascii="Calibri" w:hAnsi="Calibri" w:cs="Calibri"/>
        </w:rPr>
      </w:pPr>
      <w:r w:rsidRPr="00302B29">
        <w:rPr>
          <w:rFonts w:ascii="Calibri" w:hAnsi="Calibri" w:cs="Calibri"/>
        </w:rPr>
        <w:t>Local authority-led or regionally coordinated improvement capacity remains critical to raising attainment and reducing disadvantage</w:t>
      </w:r>
    </w:p>
    <w:p w:rsidR="0026306F" w:rsidRPr="00302B29" w:rsidP="00220A31">
      <w:pPr>
        <w:numPr>
          <w:ilvl w:val="0"/>
          <w:numId w:val="20"/>
        </w:numPr>
        <w:spacing w:after="0" w:line="240" w:lineRule="auto"/>
        <w:ind w:left="714" w:hanging="357"/>
        <w:rPr>
          <w:rFonts w:ascii="Calibri" w:hAnsi="Calibri" w:cs="Calibri"/>
        </w:rPr>
      </w:pPr>
      <w:r w:rsidRPr="00302B29">
        <w:rPr>
          <w:rFonts w:ascii="Calibri" w:hAnsi="Calibri" w:cs="Calibri"/>
        </w:rPr>
        <w:t>Attendance is a multi-agency issue, requiring clear system leadership beyond individual schools</w:t>
      </w:r>
    </w:p>
    <w:p w:rsidR="0026306F" w:rsidRPr="00302B29" w:rsidP="00220A31">
      <w:pPr>
        <w:numPr>
          <w:ilvl w:val="0"/>
          <w:numId w:val="20"/>
        </w:numPr>
        <w:spacing w:after="0" w:line="240" w:lineRule="auto"/>
        <w:ind w:left="714" w:hanging="357"/>
        <w:rPr>
          <w:rFonts w:ascii="Calibri" w:hAnsi="Calibri" w:cs="Calibri"/>
        </w:rPr>
      </w:pPr>
      <w:r w:rsidRPr="00302B29">
        <w:rPr>
          <w:rFonts w:ascii="Calibri" w:hAnsi="Calibri" w:cs="Calibri"/>
        </w:rPr>
        <w:t>A fully trust-led system presents risks without strong place-based coordination and accountability</w:t>
      </w:r>
    </w:p>
    <w:p w:rsidR="0026306F" w:rsidRPr="00302B29" w:rsidP="00220A31">
      <w:pPr>
        <w:numPr>
          <w:ilvl w:val="0"/>
          <w:numId w:val="20"/>
        </w:numPr>
        <w:spacing w:after="0" w:line="240" w:lineRule="auto"/>
        <w:ind w:left="714" w:hanging="357"/>
        <w:rPr>
          <w:rFonts w:ascii="Calibri" w:hAnsi="Calibri" w:cs="Calibri"/>
        </w:rPr>
      </w:pPr>
      <w:r w:rsidRPr="00302B29">
        <w:rPr>
          <w:rFonts w:ascii="Calibri" w:hAnsi="Calibri" w:cs="Calibri"/>
        </w:rPr>
        <w:t>Enrichment and belonging are central, not peripheral, not focused solely on outcomes</w:t>
      </w:r>
    </w:p>
    <w:p w:rsidR="0026306F" w:rsidRPr="00302B29" w:rsidP="00220A31">
      <w:pPr>
        <w:numPr>
          <w:ilvl w:val="0"/>
          <w:numId w:val="20"/>
        </w:numPr>
        <w:spacing w:after="0" w:line="240" w:lineRule="auto"/>
        <w:ind w:left="714" w:hanging="357"/>
        <w:rPr>
          <w:rFonts w:ascii="Calibri" w:hAnsi="Calibri" w:cs="Calibri"/>
        </w:rPr>
      </w:pPr>
      <w:r w:rsidRPr="00302B29">
        <w:rPr>
          <w:rFonts w:ascii="Calibri" w:hAnsi="Calibri" w:cs="Calibri"/>
        </w:rPr>
        <w:t>System effectiveness depends on clarity of roles and avoiding fragmentation</w:t>
      </w:r>
    </w:p>
    <w:p w:rsidR="0026306F" w:rsidRPr="00302B29" w:rsidP="00220A31">
      <w:pPr>
        <w:rPr>
          <w:rFonts w:ascii="Calibri" w:hAnsi="Calibri" w:cs="Calibri"/>
        </w:rPr>
      </w:pPr>
    </w:p>
    <w:p w:rsidR="0026306F" w:rsidRPr="00302B29" w:rsidP="00220A31">
      <w:pPr>
        <w:rPr>
          <w:rFonts w:ascii="Calibri" w:hAnsi="Calibri" w:cs="Calibri"/>
          <w:b/>
          <w:bCs/>
        </w:rPr>
      </w:pPr>
      <w:r w:rsidRPr="00302B29">
        <w:rPr>
          <w:rFonts w:ascii="Calibri" w:hAnsi="Calibri" w:cs="Calibri"/>
          <w:b/>
          <w:bCs/>
        </w:rPr>
        <w:t>1. Raising attainment and reducing disadvantage gaps</w:t>
      </w:r>
    </w:p>
    <w:p w:rsidR="0026306F" w:rsidRPr="00302B29" w:rsidP="00220A31">
      <w:pPr>
        <w:pStyle w:val="ListParagraph"/>
        <w:numPr>
          <w:ilvl w:val="0"/>
          <w:numId w:val="27"/>
        </w:numPr>
        <w:rPr>
          <w:rFonts w:ascii="Calibri" w:hAnsi="Calibri" w:cs="Calibri"/>
        </w:rPr>
      </w:pPr>
      <w:r w:rsidRPr="00302B29">
        <w:rPr>
          <w:rFonts w:ascii="Calibri" w:hAnsi="Calibri" w:cs="Calibri"/>
        </w:rPr>
        <w:t xml:space="preserve">Overall, the White Paper’s increased emphasis on evidence-informed practice and targeted support for disadvantaged children and communities is welcome. However, significant detail remains to be developed, and schools will need support to navigate </w:t>
      </w:r>
      <w:r w:rsidRPr="00302B29">
        <w:rPr>
          <w:rFonts w:ascii="Calibri" w:hAnsi="Calibri" w:cs="Calibri"/>
        </w:rPr>
        <w:t>changes relating to disadvantage funding, pupil premium accountability and evolving definitions of disadvantage</w:t>
      </w:r>
    </w:p>
    <w:p w:rsidR="0026306F" w:rsidRPr="00302B29" w:rsidP="00220A31">
      <w:pPr>
        <w:pStyle w:val="ListParagraph"/>
        <w:numPr>
          <w:ilvl w:val="0"/>
          <w:numId w:val="27"/>
        </w:numPr>
        <w:rPr>
          <w:rFonts w:ascii="Calibri" w:hAnsi="Calibri" w:cs="Calibri"/>
        </w:rPr>
      </w:pPr>
      <w:r w:rsidRPr="00302B29">
        <w:rPr>
          <w:rFonts w:ascii="Calibri" w:hAnsi="Calibri" w:cs="Calibri"/>
        </w:rPr>
        <w:t>We support the Government’s ambition to raise attainment and narrow disadvantage gaps. However, achieving these outcomes will depend on system capacity, sustained investment, and effective local implementation rather than structural reform.</w:t>
      </w:r>
    </w:p>
    <w:p w:rsidR="0026306F" w:rsidRPr="00302B29" w:rsidP="00220A31">
      <w:pPr>
        <w:pStyle w:val="ListParagraph"/>
        <w:numPr>
          <w:ilvl w:val="0"/>
          <w:numId w:val="27"/>
        </w:numPr>
        <w:rPr>
          <w:rFonts w:ascii="Calibri" w:hAnsi="Calibri" w:cs="Calibri"/>
        </w:rPr>
      </w:pPr>
      <w:r w:rsidRPr="00302B29">
        <w:rPr>
          <w:rFonts w:ascii="Calibri" w:hAnsi="Calibri" w:cs="Calibri"/>
        </w:rPr>
        <w:t>Closing attainment gaps cannot be achieved solely through changes to curriculum and accountability. Evidence shows that successful systems take a holistic approach, addressing inclusion, attendance, wellbeing and attainment together. Local authorities are uniquely placed to coordinate these interconnected services across education, health and social care, particularly for vulnerable children and young people and those with SEND. Hampshire’s integrated approach demonstrates the value of this coordinated mode</w:t>
      </w:r>
      <w:r w:rsidRPr="00302B29">
        <w:rPr>
          <w:rFonts w:ascii="Calibri" w:hAnsi="Calibri" w:cs="Calibri"/>
        </w:rPr>
        <w:t>l in improving outcomes for children and families.</w:t>
      </w:r>
    </w:p>
    <w:p w:rsidR="0026306F" w:rsidRPr="00302B29" w:rsidP="00220A31">
      <w:pPr>
        <w:rPr>
          <w:rFonts w:ascii="Calibri" w:hAnsi="Calibri" w:cs="Calibri"/>
          <w:b/>
          <w:bCs/>
        </w:rPr>
      </w:pPr>
      <w:r w:rsidRPr="00302B29">
        <w:rPr>
          <w:rFonts w:ascii="Calibri" w:hAnsi="Calibri" w:cs="Calibri"/>
          <w:b/>
          <w:bCs/>
        </w:rPr>
        <w:t>Proposed reforms to disadvantage funding</w:t>
      </w:r>
    </w:p>
    <w:p w:rsidR="0026306F" w:rsidRPr="00302B29" w:rsidP="00220A31">
      <w:pPr>
        <w:pStyle w:val="ListParagraph"/>
        <w:numPr>
          <w:ilvl w:val="0"/>
          <w:numId w:val="28"/>
        </w:numPr>
        <w:rPr>
          <w:rFonts w:ascii="Calibri" w:hAnsi="Calibri" w:cs="Calibri"/>
        </w:rPr>
      </w:pPr>
      <w:r w:rsidRPr="00302B29">
        <w:rPr>
          <w:rFonts w:ascii="Calibri" w:hAnsi="Calibri" w:cs="Calibri"/>
        </w:rPr>
        <w:t>There is broad recognition across the sector that eligibility for Free School Meals (FSM) is an imperfect measure of disadvantage and does not fully reflect the complexity or persistence of poverty.</w:t>
      </w:r>
    </w:p>
    <w:p w:rsidR="0026306F" w:rsidRPr="00302B29" w:rsidP="00220A31">
      <w:pPr>
        <w:pStyle w:val="ListParagraph"/>
        <w:numPr>
          <w:ilvl w:val="0"/>
          <w:numId w:val="28"/>
        </w:numPr>
        <w:rPr>
          <w:rFonts w:ascii="Calibri" w:hAnsi="Calibri" w:cs="Calibri"/>
        </w:rPr>
      </w:pPr>
      <w:r w:rsidRPr="00302B29">
        <w:rPr>
          <w:rFonts w:ascii="Calibri" w:hAnsi="Calibri" w:cs="Calibri"/>
        </w:rPr>
        <w:t>The White Paper proposes that the DfE will develop and test a new approach to targeting disadvantage funding, with consultation expected in Summer 2026. While details have yet to be published, the stated intention is to create a funding model that more accurately reflects levels of deprivation and better directs funding towards pupils facing the greatest disadvantage.</w:t>
      </w:r>
    </w:p>
    <w:p w:rsidR="0026306F" w:rsidRPr="00302B29" w:rsidP="00220A31">
      <w:pPr>
        <w:pStyle w:val="ListParagraph"/>
        <w:numPr>
          <w:ilvl w:val="0"/>
          <w:numId w:val="28"/>
        </w:numPr>
        <w:rPr>
          <w:rFonts w:ascii="Calibri" w:hAnsi="Calibri" w:cs="Calibri"/>
        </w:rPr>
      </w:pPr>
      <w:r w:rsidRPr="00302B29">
        <w:rPr>
          <w:rFonts w:ascii="Calibri" w:hAnsi="Calibri" w:cs="Calibri"/>
        </w:rPr>
        <w:t>Early indications suggest that the new model could use income data and consider both the depth and duration of family poverty when allocating funding. Potential benefits of this approach include:</w:t>
      </w:r>
    </w:p>
    <w:p w:rsidR="0026306F" w:rsidRPr="00302B29" w:rsidP="00220A31">
      <w:pPr>
        <w:numPr>
          <w:ilvl w:val="0"/>
          <w:numId w:val="26"/>
        </w:numPr>
        <w:spacing w:after="0" w:line="240" w:lineRule="auto"/>
        <w:ind w:left="1434" w:hanging="357"/>
        <w:rPr>
          <w:rFonts w:ascii="Calibri" w:hAnsi="Calibri" w:cs="Calibri"/>
        </w:rPr>
      </w:pPr>
      <w:r w:rsidRPr="00302B29">
        <w:rPr>
          <w:rFonts w:ascii="Calibri" w:hAnsi="Calibri" w:cs="Calibri"/>
        </w:rPr>
        <w:t xml:space="preserve">Removing the need for families to apply for FSM </w:t>
      </w:r>
      <w:r w:rsidRPr="00302B29">
        <w:rPr>
          <w:rFonts w:ascii="Calibri" w:hAnsi="Calibri" w:cs="Calibri"/>
        </w:rPr>
        <w:t>in order to</w:t>
      </w:r>
      <w:r w:rsidRPr="00302B29">
        <w:rPr>
          <w:rFonts w:ascii="Calibri" w:hAnsi="Calibri" w:cs="Calibri"/>
        </w:rPr>
        <w:t xml:space="preserve"> attract funding.</w:t>
      </w:r>
    </w:p>
    <w:p w:rsidR="0026306F" w:rsidRPr="00302B29" w:rsidP="00220A31">
      <w:pPr>
        <w:numPr>
          <w:ilvl w:val="0"/>
          <w:numId w:val="26"/>
        </w:numPr>
        <w:spacing w:after="0" w:line="240" w:lineRule="auto"/>
        <w:ind w:left="1434" w:hanging="357"/>
        <w:rPr>
          <w:rFonts w:ascii="Calibri" w:hAnsi="Calibri" w:cs="Calibri"/>
        </w:rPr>
      </w:pPr>
      <w:r w:rsidRPr="00302B29">
        <w:rPr>
          <w:rFonts w:ascii="Calibri" w:hAnsi="Calibri" w:cs="Calibri"/>
        </w:rPr>
        <w:t>Providing a more nuanced and accurate understanding of disadvantage.</w:t>
      </w:r>
    </w:p>
    <w:p w:rsidR="0026306F" w:rsidRPr="00302B29" w:rsidP="00220A31">
      <w:pPr>
        <w:numPr>
          <w:ilvl w:val="0"/>
          <w:numId w:val="26"/>
        </w:numPr>
        <w:spacing w:after="0" w:line="240" w:lineRule="auto"/>
        <w:ind w:left="1434" w:hanging="357"/>
        <w:rPr>
          <w:rFonts w:ascii="Calibri" w:hAnsi="Calibri" w:cs="Calibri"/>
        </w:rPr>
      </w:pPr>
      <w:r w:rsidRPr="00302B29">
        <w:rPr>
          <w:rFonts w:ascii="Calibri" w:hAnsi="Calibri" w:cs="Calibri"/>
        </w:rPr>
        <w:t>Targeting resources more effectively towards schools serving communities experiencing the most severe and persistent deprivation.</w:t>
      </w:r>
    </w:p>
    <w:p w:rsidR="0026306F" w:rsidRPr="00302B29" w:rsidP="00220A31">
      <w:pPr>
        <w:ind w:firstLine="720"/>
        <w:rPr>
          <w:rFonts w:ascii="Calibri" w:hAnsi="Calibri" w:cs="Calibri"/>
        </w:rPr>
      </w:pPr>
      <w:r w:rsidRPr="00302B29">
        <w:rPr>
          <w:rFonts w:ascii="Calibri" w:hAnsi="Calibri" w:cs="Calibri"/>
        </w:rPr>
        <w:t>However, there may also be risks, including:</w:t>
      </w:r>
    </w:p>
    <w:p w:rsidR="0026306F" w:rsidRPr="00302B29" w:rsidP="00220A31">
      <w:pPr>
        <w:pStyle w:val="ListParagraph"/>
        <w:numPr>
          <w:ilvl w:val="2"/>
          <w:numId w:val="31"/>
        </w:numPr>
        <w:tabs>
          <w:tab w:val="clear" w:pos="2160"/>
        </w:tabs>
        <w:spacing w:after="0" w:line="240" w:lineRule="auto"/>
        <w:ind w:left="1418" w:hanging="284"/>
        <w:rPr>
          <w:rFonts w:ascii="Calibri" w:hAnsi="Calibri" w:cs="Calibri"/>
        </w:rPr>
      </w:pPr>
      <w:r w:rsidRPr="00302B29">
        <w:rPr>
          <w:rFonts w:ascii="Calibri" w:hAnsi="Calibri" w:cs="Calibri"/>
        </w:rPr>
        <w:t>Reduced funding for schools with lower levels of persistent deprivation but where significant attainment gaps remain.</w:t>
      </w:r>
    </w:p>
    <w:p w:rsidR="0026306F" w:rsidRPr="00302B29" w:rsidP="00220A31">
      <w:pPr>
        <w:pStyle w:val="ListParagraph"/>
        <w:numPr>
          <w:ilvl w:val="2"/>
          <w:numId w:val="31"/>
        </w:numPr>
        <w:tabs>
          <w:tab w:val="clear" w:pos="2160"/>
        </w:tabs>
        <w:spacing w:after="0" w:line="240" w:lineRule="auto"/>
        <w:ind w:left="1418" w:hanging="284"/>
        <w:rPr>
          <w:rFonts w:ascii="Calibri" w:hAnsi="Calibri" w:cs="Calibri"/>
        </w:rPr>
      </w:pPr>
      <w:r w:rsidRPr="00302B29">
        <w:rPr>
          <w:rFonts w:ascii="Calibri" w:hAnsi="Calibri" w:cs="Calibri"/>
        </w:rPr>
        <w:t>Additional complexity during the transition to a new funding methodology.</w:t>
      </w:r>
    </w:p>
    <w:p w:rsidR="0026306F" w:rsidRPr="00302B29" w:rsidP="00220A31">
      <w:pPr>
        <w:pStyle w:val="ListParagraph"/>
        <w:numPr>
          <w:ilvl w:val="2"/>
          <w:numId w:val="31"/>
        </w:numPr>
        <w:tabs>
          <w:tab w:val="clear" w:pos="2160"/>
        </w:tabs>
        <w:spacing w:after="0" w:line="240" w:lineRule="auto"/>
        <w:ind w:left="1418" w:hanging="284"/>
        <w:rPr>
          <w:rFonts w:ascii="Calibri" w:hAnsi="Calibri" w:cs="Calibri"/>
        </w:rPr>
      </w:pPr>
      <w:r w:rsidRPr="00302B29">
        <w:rPr>
          <w:rFonts w:ascii="Calibri" w:hAnsi="Calibri" w:cs="Calibri"/>
        </w:rPr>
        <w:t>The potential for funding redistribution to create financial pressures for some schools.</w:t>
      </w:r>
    </w:p>
    <w:p w:rsidR="0026306F" w:rsidRPr="00302B29" w:rsidP="00220A31">
      <w:pPr>
        <w:pStyle w:val="ListParagraph"/>
        <w:numPr>
          <w:ilvl w:val="0"/>
          <w:numId w:val="31"/>
        </w:numPr>
        <w:rPr>
          <w:rFonts w:ascii="Calibri" w:hAnsi="Calibri" w:cs="Calibri"/>
        </w:rPr>
      </w:pPr>
      <w:r w:rsidRPr="00302B29">
        <w:rPr>
          <w:rFonts w:ascii="Calibri" w:hAnsi="Calibri" w:cs="Calibri"/>
        </w:rPr>
        <w:t>It will be important for schools and local authorities to engage fully with the forthcoming consultation to ensure that any new model reflects the diverse nature of disadvantage across different communities.</w:t>
      </w:r>
    </w:p>
    <w:p w:rsidR="0026306F" w:rsidRPr="00302B29" w:rsidP="00220A31">
      <w:pPr>
        <w:rPr>
          <w:rFonts w:ascii="Calibri" w:hAnsi="Calibri" w:cs="Calibri"/>
          <w:b/>
          <w:bCs/>
        </w:rPr>
      </w:pPr>
    </w:p>
    <w:p w:rsidR="0026306F" w:rsidRPr="00302B29" w:rsidP="00220A31">
      <w:pPr>
        <w:rPr>
          <w:rFonts w:ascii="Calibri" w:hAnsi="Calibri" w:cs="Calibri"/>
          <w:b/>
          <w:bCs/>
        </w:rPr>
      </w:pPr>
      <w:r w:rsidRPr="00302B29">
        <w:rPr>
          <w:rFonts w:ascii="Calibri" w:hAnsi="Calibri" w:cs="Calibri"/>
          <w:b/>
          <w:bCs/>
        </w:rPr>
        <w:t>Driving effective use of pupil premium funding</w:t>
      </w:r>
    </w:p>
    <w:p w:rsidR="0026306F" w:rsidRPr="00302B29" w:rsidP="00220A31">
      <w:pPr>
        <w:pStyle w:val="ListParagraph"/>
        <w:numPr>
          <w:ilvl w:val="0"/>
          <w:numId w:val="29"/>
        </w:numPr>
        <w:rPr>
          <w:rFonts w:ascii="Calibri" w:hAnsi="Calibri" w:cs="Calibri"/>
        </w:rPr>
      </w:pPr>
      <w:r w:rsidRPr="00302B29">
        <w:rPr>
          <w:rFonts w:ascii="Calibri" w:hAnsi="Calibri" w:cs="Calibri"/>
        </w:rPr>
        <w:t>The White Paper identifies the need to strengthen the effectiveness and impact of pupil premium spending. This will be achieved through two complementary approaches:</w:t>
      </w:r>
    </w:p>
    <w:p w:rsidR="0026306F" w:rsidRPr="00302B29" w:rsidP="00220A31">
      <w:pPr>
        <w:numPr>
          <w:ilvl w:val="0"/>
          <w:numId w:val="17"/>
        </w:numPr>
        <w:rPr>
          <w:rFonts w:ascii="Calibri" w:hAnsi="Calibri" w:cs="Calibri"/>
          <w:i/>
          <w:iCs/>
        </w:rPr>
      </w:pPr>
      <w:r w:rsidRPr="00302B29">
        <w:rPr>
          <w:rFonts w:ascii="Calibri" w:hAnsi="Calibri" w:cs="Calibri"/>
          <w:i/>
          <w:iCs/>
        </w:rPr>
        <w:t>Strengthening schools' use of evidence-informed practice, drawing on research and guidance from the Education Endowment Foundation (EEF).</w:t>
      </w:r>
    </w:p>
    <w:p w:rsidR="0026306F" w:rsidRPr="00302B29" w:rsidP="00220A31">
      <w:pPr>
        <w:numPr>
          <w:ilvl w:val="0"/>
          <w:numId w:val="17"/>
        </w:numPr>
        <w:rPr>
          <w:rFonts w:ascii="Calibri" w:hAnsi="Calibri" w:cs="Calibri"/>
        </w:rPr>
      </w:pPr>
      <w:r w:rsidRPr="00302B29">
        <w:rPr>
          <w:rFonts w:ascii="Calibri" w:hAnsi="Calibri" w:cs="Calibri"/>
          <w:i/>
          <w:iCs/>
        </w:rPr>
        <w:t>Providing targeted support for schools with persistent or significant disadvantage gaps through pupil premium strategy reviews and tailored improvement support</w:t>
      </w:r>
      <w:r w:rsidRPr="00302B29">
        <w:rPr>
          <w:rFonts w:ascii="Calibri" w:hAnsi="Calibri" w:cs="Calibri"/>
        </w:rPr>
        <w:t>.</w:t>
      </w:r>
    </w:p>
    <w:p w:rsidR="0026306F" w:rsidRPr="00302B29" w:rsidP="00220A31">
      <w:pPr>
        <w:pStyle w:val="ListParagraph"/>
        <w:numPr>
          <w:ilvl w:val="0"/>
          <w:numId w:val="29"/>
        </w:numPr>
        <w:rPr>
          <w:rFonts w:ascii="Calibri" w:hAnsi="Calibri" w:cs="Calibri"/>
        </w:rPr>
      </w:pPr>
      <w:r w:rsidRPr="00302B29">
        <w:rPr>
          <w:rFonts w:ascii="Calibri" w:hAnsi="Calibri" w:cs="Calibri"/>
        </w:rPr>
        <w:t>Hampshire is well placed to support this agenda. Established school networks and a comprehensive professional development offer already support schools to link their pupil premium strategies to evidence-informed practice. Work is also underway to develop approaches to pupil premium reviews and targeted support programmes for schools. Alignment with emerging DfE and RISE expectations will be important as these reforms develop.</w:t>
      </w:r>
    </w:p>
    <w:p w:rsidR="0026306F" w:rsidRPr="00302B29" w:rsidP="00220A31">
      <w:pPr>
        <w:rPr>
          <w:rFonts w:ascii="Calibri" w:hAnsi="Calibri" w:cs="Calibri"/>
          <w:b/>
          <w:bCs/>
        </w:rPr>
      </w:pPr>
      <w:r w:rsidRPr="00302B29">
        <w:rPr>
          <w:rFonts w:ascii="Calibri" w:hAnsi="Calibri" w:cs="Calibri"/>
          <w:b/>
          <w:bCs/>
        </w:rPr>
        <w:t>Tackling entrenched disadvantage through place-based approaches</w:t>
      </w:r>
    </w:p>
    <w:p w:rsidR="0026306F" w:rsidRPr="00302B29" w:rsidP="00220A31">
      <w:pPr>
        <w:pStyle w:val="ListParagraph"/>
        <w:numPr>
          <w:ilvl w:val="0"/>
          <w:numId w:val="29"/>
        </w:numPr>
        <w:rPr>
          <w:rFonts w:ascii="Calibri" w:hAnsi="Calibri" w:cs="Calibri"/>
        </w:rPr>
      </w:pPr>
      <w:r w:rsidRPr="00302B29">
        <w:rPr>
          <w:rFonts w:ascii="Calibri" w:hAnsi="Calibri" w:cs="Calibri"/>
        </w:rPr>
        <w:t>The White Paper also introduces a stronger focus on place-based improvement through targeted initiatives such as Mission North-East and Mission Coastal. These programmes reflect an important recognition that local context is a significant factor in educational outcomes and that sustainable improvement requires coordinated action across communities.</w:t>
      </w:r>
    </w:p>
    <w:p w:rsidR="0026306F" w:rsidRPr="00302B29" w:rsidP="00220A31">
      <w:pPr>
        <w:pStyle w:val="ListParagraph"/>
        <w:numPr>
          <w:ilvl w:val="0"/>
          <w:numId w:val="29"/>
        </w:numPr>
        <w:rPr>
          <w:rFonts w:ascii="Calibri" w:hAnsi="Calibri" w:cs="Calibri"/>
        </w:rPr>
      </w:pPr>
      <w:r w:rsidRPr="00302B29">
        <w:rPr>
          <w:rFonts w:ascii="Calibri" w:hAnsi="Calibri" w:cs="Calibri"/>
        </w:rPr>
        <w:t>Mission North-East focuses on improving outcomes for disadvantaged white working-class pupils, while Mission Coastal aims to address the distinct challenges faced by disadvantaged coastal communities. Elements of the latter may be particularly relevant to parts of Hampshire.</w:t>
      </w:r>
    </w:p>
    <w:p w:rsidR="0026306F" w:rsidRPr="00302B29" w:rsidP="00220A31">
      <w:pPr>
        <w:pStyle w:val="ListParagraph"/>
        <w:numPr>
          <w:ilvl w:val="0"/>
          <w:numId w:val="29"/>
        </w:numPr>
        <w:rPr>
          <w:rFonts w:ascii="Calibri" w:hAnsi="Calibri" w:cs="Calibri"/>
        </w:rPr>
      </w:pPr>
      <w:r w:rsidRPr="00302B29">
        <w:rPr>
          <w:rFonts w:ascii="Calibri" w:hAnsi="Calibri" w:cs="Calibri"/>
        </w:rPr>
        <w:t>The success of these initiatives will depend on effective collaboration between schools, local authorities, community organisations, employers, health services and other partners. Hampshire Improvement and Advisory Service (HIAS), together with wider local authority services, is well placed to act as a strategic partner, bringing stakeholders together and supporting coherent improvement across local areas.</w:t>
      </w:r>
    </w:p>
    <w:p w:rsidR="0026306F" w:rsidRPr="00302B29" w:rsidP="00220A31">
      <w:pPr>
        <w:rPr>
          <w:rFonts w:ascii="Calibri" w:hAnsi="Calibri" w:cs="Calibri"/>
          <w:b/>
          <w:bCs/>
        </w:rPr>
      </w:pPr>
      <w:r w:rsidRPr="00302B29">
        <w:rPr>
          <w:rFonts w:ascii="Calibri" w:hAnsi="Calibri" w:cs="Calibri"/>
          <w:b/>
          <w:bCs/>
        </w:rPr>
        <w:t>We recommend that</w:t>
      </w:r>
    </w:p>
    <w:p w:rsidR="0026306F" w:rsidRPr="00302B29" w:rsidP="00220A31">
      <w:pPr>
        <w:numPr>
          <w:ilvl w:val="0"/>
          <w:numId w:val="25"/>
        </w:numPr>
        <w:spacing w:after="0" w:line="240" w:lineRule="auto"/>
        <w:ind w:left="714" w:hanging="357"/>
        <w:rPr>
          <w:rFonts w:ascii="Calibri" w:hAnsi="Calibri" w:cs="Calibri"/>
        </w:rPr>
      </w:pPr>
      <w:r w:rsidRPr="00302B29">
        <w:rPr>
          <w:rFonts w:ascii="Calibri" w:hAnsi="Calibri" w:cs="Calibri"/>
        </w:rPr>
        <w:t>Local authority school improvement capacity is retained and strengthened as part of national infrastructure</w:t>
      </w:r>
    </w:p>
    <w:p w:rsidR="0026306F" w:rsidRPr="00302B29" w:rsidP="00220A31">
      <w:pPr>
        <w:numPr>
          <w:ilvl w:val="0"/>
          <w:numId w:val="25"/>
        </w:numPr>
        <w:spacing w:after="0" w:line="240" w:lineRule="auto"/>
        <w:ind w:left="714" w:hanging="357"/>
        <w:rPr>
          <w:rFonts w:ascii="Calibri" w:hAnsi="Calibri" w:cs="Calibri"/>
        </w:rPr>
      </w:pPr>
      <w:r w:rsidRPr="00302B29">
        <w:rPr>
          <w:rFonts w:ascii="Calibri" w:hAnsi="Calibri" w:cs="Calibri"/>
        </w:rPr>
        <w:t>Accountability measures explicitly reflect equity, inclusion and progress</w:t>
      </w:r>
    </w:p>
    <w:p w:rsidR="0026306F" w:rsidRPr="00302B29" w:rsidP="00220A31">
      <w:pPr>
        <w:pStyle w:val="ListParagraph"/>
        <w:numPr>
          <w:ilvl w:val="0"/>
          <w:numId w:val="25"/>
        </w:numPr>
        <w:rPr>
          <w:rFonts w:ascii="Calibri" w:hAnsi="Calibri" w:cs="Calibri"/>
          <w:b/>
          <w:bCs/>
        </w:rPr>
      </w:pPr>
      <w:r w:rsidRPr="00302B29">
        <w:rPr>
          <w:rFonts w:ascii="Calibri" w:hAnsi="Calibri" w:cs="Calibri"/>
        </w:rPr>
        <w:t>Hampshire is well placed to support schools through this period of change and the local authority school improvement services should continue to play a vital role in:</w:t>
      </w:r>
    </w:p>
    <w:p w:rsidR="0026306F" w:rsidRPr="00302B29" w:rsidP="00220A31">
      <w:pPr>
        <w:pStyle w:val="ListParagraph"/>
        <w:numPr>
          <w:ilvl w:val="1"/>
          <w:numId w:val="25"/>
        </w:numPr>
        <w:rPr>
          <w:rFonts w:ascii="Calibri" w:hAnsi="Calibri" w:cs="Calibri"/>
          <w:b/>
          <w:bCs/>
        </w:rPr>
      </w:pPr>
      <w:r w:rsidRPr="00302B29">
        <w:rPr>
          <w:rFonts w:ascii="Calibri" w:hAnsi="Calibri" w:cs="Calibri"/>
        </w:rPr>
        <w:t>Supporting schools at risk of decline.</w:t>
      </w:r>
    </w:p>
    <w:p w:rsidR="0026306F" w:rsidRPr="00302B29" w:rsidP="00220A31">
      <w:pPr>
        <w:pStyle w:val="ListParagraph"/>
        <w:numPr>
          <w:ilvl w:val="1"/>
          <w:numId w:val="25"/>
        </w:numPr>
        <w:spacing w:after="0" w:line="240" w:lineRule="auto"/>
        <w:rPr>
          <w:rFonts w:ascii="Calibri" w:hAnsi="Calibri" w:cs="Calibri"/>
        </w:rPr>
      </w:pPr>
      <w:r w:rsidRPr="00302B29">
        <w:rPr>
          <w:rFonts w:ascii="Calibri" w:hAnsi="Calibri" w:cs="Calibri"/>
        </w:rPr>
        <w:t>Providing early intervention before formal intervention thresholds are reached.</w:t>
      </w:r>
    </w:p>
    <w:p w:rsidR="0026306F" w:rsidRPr="00302B29" w:rsidP="00220A31">
      <w:pPr>
        <w:pStyle w:val="ListParagraph"/>
        <w:numPr>
          <w:ilvl w:val="1"/>
          <w:numId w:val="25"/>
        </w:numPr>
        <w:spacing w:after="0" w:line="240" w:lineRule="auto"/>
        <w:rPr>
          <w:rFonts w:ascii="Calibri" w:hAnsi="Calibri" w:cs="Calibri"/>
        </w:rPr>
      </w:pPr>
      <w:r w:rsidRPr="00302B29">
        <w:rPr>
          <w:rFonts w:ascii="Calibri" w:hAnsi="Calibri" w:cs="Calibri"/>
        </w:rPr>
        <w:t>Maintaining high standards of leadership, governance, safeguarding and inclusion.</w:t>
      </w:r>
    </w:p>
    <w:p w:rsidR="0026306F" w:rsidRPr="00302B29" w:rsidP="00220A31">
      <w:pPr>
        <w:pStyle w:val="ListParagraph"/>
        <w:numPr>
          <w:ilvl w:val="1"/>
          <w:numId w:val="25"/>
        </w:numPr>
        <w:spacing w:after="0" w:line="240" w:lineRule="auto"/>
        <w:rPr>
          <w:rFonts w:ascii="Calibri" w:hAnsi="Calibri" w:cs="Calibri"/>
        </w:rPr>
      </w:pPr>
      <w:r w:rsidRPr="00302B29">
        <w:rPr>
          <w:rFonts w:ascii="Calibri" w:hAnsi="Calibri" w:cs="Calibri"/>
        </w:rPr>
        <w:t>Facilitating collaboration and the sharing of effective practice across the system.</w:t>
      </w:r>
    </w:p>
    <w:p w:rsidR="0026306F" w:rsidRPr="00302B29" w:rsidP="00220A31">
      <w:pPr>
        <w:pStyle w:val="ListParagraph"/>
        <w:numPr>
          <w:ilvl w:val="0"/>
          <w:numId w:val="25"/>
        </w:numPr>
        <w:rPr>
          <w:rFonts w:ascii="Calibri" w:hAnsi="Calibri" w:cs="Calibri"/>
        </w:rPr>
      </w:pPr>
      <w:r w:rsidRPr="00302B29">
        <w:rPr>
          <w:rFonts w:ascii="Calibri" w:hAnsi="Calibri" w:cs="Calibri"/>
        </w:rPr>
        <w:t>As accountability reforms are developed, they should:</w:t>
      </w:r>
    </w:p>
    <w:p w:rsidR="0026306F" w:rsidRPr="00302B29" w:rsidP="00220A31">
      <w:pPr>
        <w:numPr>
          <w:ilvl w:val="0"/>
          <w:numId w:val="30"/>
        </w:numPr>
        <w:tabs>
          <w:tab w:val="clear" w:pos="720"/>
        </w:tabs>
        <w:spacing w:after="0" w:line="240" w:lineRule="auto"/>
        <w:ind w:left="1080"/>
        <w:rPr>
          <w:rFonts w:ascii="Calibri" w:hAnsi="Calibri" w:cs="Calibri"/>
        </w:rPr>
      </w:pPr>
      <w:r w:rsidRPr="00302B29">
        <w:rPr>
          <w:rFonts w:ascii="Calibri" w:hAnsi="Calibri" w:cs="Calibri"/>
        </w:rPr>
        <w:t>Recognise progress made by disadvantaged pupils and lower prior attainers.</w:t>
      </w:r>
    </w:p>
    <w:p w:rsidR="0026306F" w:rsidRPr="00302B29" w:rsidP="00220A31">
      <w:pPr>
        <w:numPr>
          <w:ilvl w:val="0"/>
          <w:numId w:val="30"/>
        </w:numPr>
        <w:tabs>
          <w:tab w:val="clear" w:pos="720"/>
        </w:tabs>
        <w:spacing w:after="0" w:line="240" w:lineRule="auto"/>
        <w:ind w:left="1080"/>
        <w:rPr>
          <w:rFonts w:ascii="Calibri" w:hAnsi="Calibri" w:cs="Calibri"/>
        </w:rPr>
      </w:pPr>
      <w:r w:rsidRPr="00302B29">
        <w:rPr>
          <w:rFonts w:ascii="Calibri" w:hAnsi="Calibri" w:cs="Calibri"/>
        </w:rPr>
        <w:t>Avoid creating incentives that penalise curriculums that are more vocational and applied</w:t>
      </w:r>
    </w:p>
    <w:p w:rsidR="0026306F" w:rsidRPr="00302B29" w:rsidP="00220A31">
      <w:pPr>
        <w:numPr>
          <w:ilvl w:val="0"/>
          <w:numId w:val="30"/>
        </w:numPr>
        <w:tabs>
          <w:tab w:val="clear" w:pos="720"/>
        </w:tabs>
        <w:spacing w:after="0" w:line="240" w:lineRule="auto"/>
        <w:ind w:left="1080"/>
        <w:rPr>
          <w:rFonts w:ascii="Calibri" w:hAnsi="Calibri" w:cs="Calibri"/>
        </w:rPr>
      </w:pPr>
      <w:r w:rsidRPr="00302B29">
        <w:rPr>
          <w:rFonts w:ascii="Calibri" w:hAnsi="Calibri" w:cs="Calibri"/>
        </w:rPr>
        <w:t>Support a broad, balanced and inclusive educational experience for all children and young people.</w:t>
      </w:r>
    </w:p>
    <w:p w:rsidR="0026306F" w:rsidRPr="00302B29" w:rsidP="00220A31">
      <w:pPr>
        <w:numPr>
          <w:ilvl w:val="0"/>
          <w:numId w:val="30"/>
        </w:numPr>
        <w:tabs>
          <w:tab w:val="clear" w:pos="720"/>
        </w:tabs>
        <w:spacing w:after="0" w:line="240" w:lineRule="auto"/>
        <w:ind w:left="1080"/>
        <w:rPr>
          <w:rFonts w:ascii="Calibri" w:hAnsi="Calibri" w:cs="Calibri"/>
        </w:rPr>
      </w:pPr>
      <w:r w:rsidRPr="00302B29">
        <w:rPr>
          <w:rFonts w:ascii="Calibri" w:hAnsi="Calibri" w:cs="Calibri"/>
        </w:rPr>
        <w:t>Reflect the wider contribution schools make to attendance, inclusion, wellbeing and positive life outcomes.</w:t>
      </w:r>
    </w:p>
    <w:p w:rsidR="0026306F" w:rsidRPr="00302B29" w:rsidP="00967656">
      <w:pPr>
        <w:ind w:left="1440"/>
        <w:rPr>
          <w:rFonts w:ascii="Calibri" w:hAnsi="Calibri" w:cs="Calibri"/>
        </w:rPr>
      </w:pPr>
    </w:p>
    <w:p w:rsidR="0026306F" w:rsidRPr="00302B29" w:rsidP="00220A31">
      <w:pPr>
        <w:rPr>
          <w:rFonts w:ascii="Calibri" w:hAnsi="Calibri" w:cs="Calibri"/>
          <w:b/>
          <w:bCs/>
        </w:rPr>
      </w:pPr>
      <w:r w:rsidRPr="00302B29">
        <w:rPr>
          <w:rFonts w:ascii="Calibri" w:hAnsi="Calibri" w:cs="Calibri"/>
          <w:b/>
          <w:bCs/>
        </w:rPr>
        <w:t xml:space="preserve">2. Improving </w:t>
      </w:r>
      <w:r w:rsidRPr="00302B29">
        <w:rPr>
          <w:rFonts w:ascii="Calibri" w:hAnsi="Calibri" w:cs="Calibri"/>
          <w:b/>
          <w:bCs/>
        </w:rPr>
        <w:t>a</w:t>
      </w:r>
      <w:r w:rsidRPr="00302B29">
        <w:rPr>
          <w:rFonts w:ascii="Calibri" w:hAnsi="Calibri" w:cs="Calibri"/>
          <w:b/>
          <w:bCs/>
        </w:rPr>
        <w:t>ttendance</w:t>
      </w:r>
    </w:p>
    <w:p w:rsidR="0026306F" w:rsidRPr="00302B29" w:rsidP="00220A31">
      <w:pPr>
        <w:rPr>
          <w:rFonts w:ascii="Calibri" w:hAnsi="Calibri" w:cs="Calibri"/>
        </w:rPr>
      </w:pPr>
      <w:r w:rsidRPr="00302B29">
        <w:rPr>
          <w:rFonts w:ascii="Calibri" w:hAnsi="Calibri" w:cs="Calibri"/>
        </w:rPr>
        <w:t>Local authorities have statutory responsibilities for attendance and are well placed to coordinate support across schools, families, health and social care services. Their place-based role enables a joined-up response to attendance challenges and ensures families receive appropriate support.</w:t>
      </w:r>
    </w:p>
    <w:p w:rsidR="0026306F" w:rsidRPr="00302B29" w:rsidP="00220A31">
      <w:pPr>
        <w:rPr>
          <w:rFonts w:ascii="Calibri" w:hAnsi="Calibri" w:cs="Calibri"/>
        </w:rPr>
      </w:pPr>
      <w:r w:rsidRPr="00302B29">
        <w:rPr>
          <w:rFonts w:ascii="Calibri" w:hAnsi="Calibri" w:cs="Calibri"/>
        </w:rPr>
        <w:t>Persistent absence is driven by complex factors including disadvantage, SEND, mental health needs and disengagement from education. Addressing these issues requires coordinated action across agencies rather than school-led intervention alone.</w:t>
      </w:r>
    </w:p>
    <w:p w:rsidR="0026306F" w:rsidRPr="00302B29" w:rsidP="00220A31">
      <w:pPr>
        <w:rPr>
          <w:rFonts w:ascii="Calibri" w:hAnsi="Calibri" w:cs="Calibri"/>
        </w:rPr>
      </w:pPr>
      <w:r w:rsidRPr="00302B29">
        <w:rPr>
          <w:rFonts w:ascii="Calibri" w:hAnsi="Calibri" w:cs="Calibri"/>
        </w:rPr>
        <w:t>National initiatives such as attendance hubs are welcome but should complement, not duplicate, established local arrangements. Hampshire’s attendance model demonstrates the value of building on existing local expertise and effective practice.</w:t>
      </w:r>
    </w:p>
    <w:p w:rsidR="0026306F" w:rsidRPr="00302B29" w:rsidP="00220A31">
      <w:pPr>
        <w:rPr>
          <w:rFonts w:ascii="Calibri" w:hAnsi="Calibri" w:cs="Calibri"/>
          <w:b/>
          <w:bCs/>
        </w:rPr>
      </w:pPr>
      <w:r w:rsidRPr="00302B29">
        <w:rPr>
          <w:rFonts w:ascii="Calibri" w:hAnsi="Calibri" w:cs="Calibri"/>
          <w:b/>
          <w:bCs/>
        </w:rPr>
        <w:t>We recommend that:</w:t>
      </w:r>
    </w:p>
    <w:p w:rsidR="0026306F" w:rsidRPr="00302B29" w:rsidP="00220A31">
      <w:pPr>
        <w:numPr>
          <w:ilvl w:val="0"/>
          <w:numId w:val="10"/>
        </w:numPr>
        <w:rPr>
          <w:rFonts w:ascii="Calibri" w:hAnsi="Calibri" w:cs="Calibri"/>
        </w:rPr>
      </w:pPr>
      <w:r w:rsidRPr="00302B29">
        <w:rPr>
          <w:rFonts w:ascii="Calibri" w:hAnsi="Calibri" w:cs="Calibri"/>
        </w:rPr>
        <w:t>Local authorities are recognised as strategic leaders of attendance systems.</w:t>
      </w:r>
    </w:p>
    <w:p w:rsidR="0026306F" w:rsidRPr="00302B29" w:rsidP="00220A31">
      <w:pPr>
        <w:numPr>
          <w:ilvl w:val="0"/>
          <w:numId w:val="10"/>
        </w:numPr>
        <w:rPr>
          <w:rFonts w:ascii="Calibri" w:hAnsi="Calibri" w:cs="Calibri"/>
        </w:rPr>
      </w:pPr>
      <w:r w:rsidRPr="00302B29">
        <w:rPr>
          <w:rFonts w:ascii="Calibri" w:hAnsi="Calibri" w:cs="Calibri"/>
        </w:rPr>
        <w:t>Investment supports multi-agency approaches rather than solely school-based solutions.</w:t>
      </w:r>
    </w:p>
    <w:p w:rsidR="0026306F" w:rsidRPr="00302B29" w:rsidP="00220A31">
      <w:pPr>
        <w:numPr>
          <w:ilvl w:val="0"/>
          <w:numId w:val="10"/>
        </w:numPr>
        <w:rPr>
          <w:rFonts w:ascii="Calibri" w:hAnsi="Calibri" w:cs="Calibri"/>
        </w:rPr>
      </w:pPr>
      <w:r w:rsidRPr="00302B29">
        <w:rPr>
          <w:rFonts w:ascii="Calibri" w:hAnsi="Calibri" w:cs="Calibri"/>
        </w:rPr>
        <w:t>Policy reflects the complex and contextual causes of absence.</w:t>
      </w:r>
    </w:p>
    <w:p w:rsidR="0026306F" w:rsidRPr="00302B29" w:rsidP="00967656">
      <w:pPr>
        <w:pStyle w:val="ListParagraph"/>
        <w:rPr>
          <w:rFonts w:ascii="Calibri" w:hAnsi="Calibri" w:cs="Calibri"/>
        </w:rPr>
      </w:pPr>
    </w:p>
    <w:p w:rsidR="0026306F" w:rsidRPr="00302B29" w:rsidP="00967656">
      <w:pPr>
        <w:pStyle w:val="ListParagraph"/>
        <w:numPr>
          <w:ilvl w:val="0"/>
          <w:numId w:val="17"/>
        </w:numPr>
        <w:tabs>
          <w:tab w:val="num" w:pos="360"/>
          <w:tab w:val="clear" w:pos="720"/>
        </w:tabs>
        <w:ind w:left="360"/>
        <w:rPr>
          <w:rFonts w:ascii="Calibri" w:hAnsi="Calibri" w:cs="Calibri"/>
          <w:b/>
        </w:rPr>
      </w:pPr>
      <w:r w:rsidRPr="00302B29">
        <w:rPr>
          <w:rFonts w:ascii="Calibri" w:eastAsia="Arial" w:hAnsi="Calibri" w:cs="Calibri"/>
          <w:b/>
        </w:rPr>
        <w:t>Moving to a T</w:t>
      </w:r>
      <w:r w:rsidRPr="00302B29">
        <w:rPr>
          <w:rFonts w:ascii="Calibri" w:eastAsia="Arial" w:hAnsi="Calibri" w:cs="Calibri"/>
          <w:b/>
        </w:rPr>
        <w:t>r</w:t>
      </w:r>
      <w:r w:rsidRPr="00302B29">
        <w:rPr>
          <w:rFonts w:ascii="Calibri" w:eastAsia="Arial" w:hAnsi="Calibri" w:cs="Calibri"/>
          <w:b/>
        </w:rPr>
        <w:t>ust-</w:t>
      </w:r>
      <w:r w:rsidRPr="00302B29">
        <w:rPr>
          <w:rFonts w:ascii="Calibri" w:eastAsia="Arial" w:hAnsi="Calibri" w:cs="Calibri"/>
          <w:b/>
        </w:rPr>
        <w:t>l</w:t>
      </w:r>
      <w:r w:rsidRPr="00302B29">
        <w:rPr>
          <w:rFonts w:ascii="Calibri" w:eastAsia="Arial" w:hAnsi="Calibri" w:cs="Calibri"/>
          <w:b/>
        </w:rPr>
        <w:t xml:space="preserve">ed </w:t>
      </w:r>
      <w:r w:rsidRPr="00302B29">
        <w:rPr>
          <w:rFonts w:ascii="Calibri" w:eastAsia="Arial" w:hAnsi="Calibri" w:cs="Calibri"/>
          <w:b/>
        </w:rPr>
        <w:t>s</w:t>
      </w:r>
      <w:r w:rsidRPr="00302B29">
        <w:rPr>
          <w:rFonts w:ascii="Calibri" w:eastAsia="Arial" w:hAnsi="Calibri" w:cs="Calibri"/>
          <w:b/>
        </w:rPr>
        <w:t>ystem</w:t>
      </w:r>
    </w:p>
    <w:p w:rsidR="0026306F" w:rsidRPr="00302B29" w:rsidP="00967656">
      <w:pPr>
        <w:pStyle w:val="ListParagraph"/>
        <w:spacing w:after="0" w:line="240" w:lineRule="auto"/>
        <w:ind w:left="360"/>
        <w:rPr>
          <w:rFonts w:ascii="Calibri" w:eastAsia="Arial" w:hAnsi="Calibri" w:cs="Calibri"/>
          <w:b/>
        </w:rPr>
      </w:pPr>
    </w:p>
    <w:p w:rsidR="0026306F" w:rsidRPr="00302B29" w:rsidP="00967656">
      <w:pPr>
        <w:pStyle w:val="ListParagraph"/>
        <w:numPr>
          <w:ilvl w:val="0"/>
          <w:numId w:val="18"/>
        </w:numPr>
        <w:spacing w:after="0" w:line="240" w:lineRule="auto"/>
        <w:ind w:left="360"/>
        <w:rPr>
          <w:rFonts w:ascii="Calibri" w:eastAsia="Times New Roman" w:hAnsi="Calibri" w:cs="Calibri"/>
          <w:kern w:val="0"/>
          <w:lang w:eastAsia="en-GB"/>
        </w:rPr>
      </w:pPr>
      <w:r w:rsidRPr="00302B29">
        <w:rPr>
          <w:rFonts w:ascii="Calibri" w:eastAsia="Times New Roman" w:hAnsi="Calibri" w:cs="Calibri"/>
          <w:kern w:val="0"/>
          <w:lang w:eastAsia="en-GB"/>
        </w:rPr>
        <w:t>Although we do not see trust status as the only or necessarily preferred model for securing school improvement, we recognise the stated ambition for a national direction of travel towards a fully trust-led system. Should further trust development be required, we are well placed to support, establish and lead high-quality trust arrangements, drawing on our expertise to ensure they deliver the best possible outcomes for children and young people.</w:t>
      </w:r>
    </w:p>
    <w:p w:rsidR="0026306F" w:rsidRPr="00302B29" w:rsidP="00967656">
      <w:pPr>
        <w:pStyle w:val="ListParagraph"/>
        <w:numPr>
          <w:ilvl w:val="0"/>
          <w:numId w:val="18"/>
        </w:numPr>
        <w:shd w:val="clear" w:color="auto" w:fill="FFFFFF" w:themeFill="background1"/>
        <w:spacing w:after="0" w:line="240" w:lineRule="auto"/>
        <w:ind w:left="354" w:hanging="357"/>
        <w:rPr>
          <w:rFonts w:ascii="Calibri" w:eastAsia="Arial" w:hAnsi="Calibri" w:cs="Calibri"/>
        </w:rPr>
      </w:pPr>
      <w:r w:rsidRPr="00302B29">
        <w:rPr>
          <w:rFonts w:ascii="Calibri" w:eastAsia="Arial" w:hAnsi="Calibri" w:cs="Calibri"/>
        </w:rPr>
        <w:t>Local authorities have a strong track record of strategic leadership, place-based planning and partnership working. These strengths can make a significant contribution within a trust-led landscape. However, structural reform will not guarantee improved outcomes. Success will depend on strong collaborative leadership, clear accountability and a shared commitment to inclusion across the system.</w:t>
      </w:r>
    </w:p>
    <w:p w:rsidR="0026306F" w:rsidRPr="00302B29" w:rsidP="00967656">
      <w:pPr>
        <w:pStyle w:val="ListParagraph"/>
        <w:numPr>
          <w:ilvl w:val="0"/>
          <w:numId w:val="18"/>
        </w:numPr>
        <w:shd w:val="clear" w:color="auto" w:fill="FFFFFF" w:themeFill="background1"/>
        <w:spacing w:after="0" w:line="240" w:lineRule="auto"/>
        <w:ind w:left="357" w:hanging="357"/>
        <w:rPr>
          <w:rFonts w:ascii="Calibri" w:eastAsia="Arial" w:hAnsi="Calibri" w:cs="Calibri"/>
        </w:rPr>
      </w:pPr>
      <w:r w:rsidRPr="00302B29">
        <w:rPr>
          <w:rFonts w:ascii="Calibri" w:eastAsia="Arial" w:hAnsi="Calibri" w:cs="Calibri"/>
        </w:rPr>
        <w:t>Whilst a trust-led system may present certain opportunities, it also brings significant risks that require careful consideration. These include variation in trust capacity and effectiveness, reduced place-based coordination, weaker oversight of vulnerable children and young people, and the potential fragmentation of strategic SEND planning and provision. Many vulnerable learners move between schools, trusts and services and require coordinated support that extends beyond the remit of any single organisation</w:t>
      </w:r>
      <w:r w:rsidRPr="00302B29">
        <w:rPr>
          <w:rFonts w:ascii="Calibri" w:eastAsia="Arial" w:hAnsi="Calibri" w:cs="Calibri"/>
        </w:rPr>
        <w:t xml:space="preserve">. </w:t>
      </w:r>
    </w:p>
    <w:p w:rsidR="0026306F" w:rsidRPr="00302B29" w:rsidP="00967656">
      <w:pPr>
        <w:pStyle w:val="ListParagraph"/>
        <w:ind w:left="363"/>
        <w:rPr>
          <w:rFonts w:ascii="Calibri" w:eastAsia="Arial" w:hAnsi="Calibri" w:cs="Calibri"/>
        </w:rPr>
      </w:pPr>
    </w:p>
    <w:p w:rsidR="0026306F" w:rsidRPr="00302B29" w:rsidP="00967656">
      <w:pPr>
        <w:pStyle w:val="ListParagraph"/>
        <w:numPr>
          <w:ilvl w:val="0"/>
          <w:numId w:val="18"/>
        </w:numPr>
        <w:shd w:val="clear" w:color="auto" w:fill="FFFFFF" w:themeFill="background1"/>
        <w:spacing w:after="0" w:line="240" w:lineRule="auto"/>
        <w:ind w:left="357" w:hanging="357"/>
        <w:rPr>
          <w:rFonts w:ascii="Calibri" w:eastAsia="Arial" w:hAnsi="Calibri" w:cs="Calibri"/>
        </w:rPr>
      </w:pPr>
      <w:r w:rsidRPr="00302B29">
        <w:rPr>
          <w:rFonts w:ascii="Calibri" w:eastAsia="Arial" w:hAnsi="Calibri" w:cs="Calibri"/>
        </w:rPr>
        <w:t xml:space="preserve">In addition, academy trusts can and do choose not to sponsor schools that are financially challenging, resource-intensive, or high risk. In contrast, local authorities have a statutory duty to support all schools and children in their area, regardless of cost or complexity. This creates a two-tier system where local authorities carry responsibilities that academy trusts can decline. As a result, there is not a genuinely level playing field across the education sector. Responsibility for supporting the most </w:t>
      </w:r>
      <w:r w:rsidRPr="00302B29">
        <w:rPr>
          <w:rFonts w:ascii="Calibri" w:eastAsia="Arial" w:hAnsi="Calibri" w:cs="Calibri"/>
        </w:rPr>
        <w:t>challenging schools should be shared equally, rather than falling disproportionately on local authorities.</w:t>
      </w:r>
    </w:p>
    <w:p w:rsidR="0026306F" w:rsidRPr="00302B29" w:rsidP="00967656">
      <w:pPr>
        <w:pStyle w:val="ListParagraph"/>
        <w:numPr>
          <w:ilvl w:val="0"/>
          <w:numId w:val="18"/>
        </w:numPr>
        <w:shd w:val="clear" w:color="auto" w:fill="FFFFFF" w:themeFill="background1"/>
        <w:spacing w:after="0" w:line="240" w:lineRule="auto"/>
        <w:ind w:left="357" w:hanging="357"/>
        <w:rPr>
          <w:rFonts w:ascii="Calibri" w:eastAsia="Arial" w:hAnsi="Calibri" w:cs="Calibri"/>
        </w:rPr>
      </w:pPr>
      <w:r w:rsidRPr="00302B29">
        <w:rPr>
          <w:rFonts w:ascii="Calibri" w:eastAsia="Arial" w:hAnsi="Calibri" w:cs="Calibri"/>
        </w:rPr>
        <w:t xml:space="preserve"> </w:t>
      </w:r>
      <w:r w:rsidRPr="00302B29">
        <w:rPr>
          <w:rFonts w:ascii="Calibri" w:eastAsia="Arial" w:hAnsi="Calibri" w:cs="Calibri"/>
        </w:rPr>
        <w:t>A strong local authority role in convening partners, assessing need, planning provision and supporting system-wide improvement will remain essential to improving outcomes and reducing inequalities.</w:t>
      </w:r>
    </w:p>
    <w:p w:rsidR="0026306F" w:rsidRPr="00302B29" w:rsidP="00967656">
      <w:pPr>
        <w:shd w:val="clear" w:color="auto" w:fill="FFFFFF" w:themeFill="background1"/>
        <w:spacing w:after="0" w:line="240" w:lineRule="auto"/>
        <w:rPr>
          <w:rFonts w:ascii="Calibri" w:eastAsia="Arial" w:hAnsi="Calibri" w:cs="Calibri"/>
        </w:rPr>
      </w:pPr>
    </w:p>
    <w:p w:rsidR="0026306F" w:rsidRPr="00302B29" w:rsidP="00967656">
      <w:pPr>
        <w:pStyle w:val="ListParagraph"/>
        <w:numPr>
          <w:ilvl w:val="0"/>
          <w:numId w:val="18"/>
        </w:numPr>
        <w:shd w:val="clear" w:color="auto" w:fill="FFFFFF" w:themeFill="background1"/>
        <w:spacing w:after="0" w:line="240" w:lineRule="auto"/>
        <w:ind w:left="357" w:hanging="357"/>
        <w:rPr>
          <w:rFonts w:ascii="Calibri" w:eastAsia="Arial" w:hAnsi="Calibri" w:cs="Calibri"/>
        </w:rPr>
      </w:pPr>
      <w:r w:rsidRPr="00302B29">
        <w:rPr>
          <w:rFonts w:ascii="Calibri" w:eastAsia="Arial" w:hAnsi="Calibri" w:cs="Calibri"/>
        </w:rPr>
        <w:t xml:space="preserve">There is also a significant tension between the ambition for a fully trust-led system and the Government's parallel focus on place-based and locality-based reform, particularly in relation to </w:t>
      </w:r>
      <w:r w:rsidRPr="00302B29">
        <w:rPr>
          <w:rFonts w:ascii="Calibri" w:eastAsia="Arial" w:hAnsi="Calibri" w:cs="Calibri"/>
        </w:rPr>
        <w:t>SEND. The SEND system depends on strong local partnerships, shared accountability and coordinated planning across education, health and care services. However, the current trust landscape often operates across multiple local authority areas, with strategic decisions taken beyond local communities. This can make it more difficult to develop the coherent, place-based arrangements required to meet the needs of children and young people with SEND effectively. There is a risk that these two national policy agend</w:t>
      </w:r>
      <w:r w:rsidRPr="00302B29">
        <w:rPr>
          <w:rFonts w:ascii="Calibri" w:eastAsia="Arial" w:hAnsi="Calibri" w:cs="Calibri"/>
        </w:rPr>
        <w:t>as pull in different directions unless there is greater clarity about the role of trusts within local inclusion systems and stronger mechanisms to ensure their participation in, and accountability to, place-based planning and decision-making.</w:t>
      </w:r>
    </w:p>
    <w:p w:rsidR="0026306F" w:rsidRPr="00302B29" w:rsidP="00967656">
      <w:pPr>
        <w:pStyle w:val="ListParagraph"/>
        <w:shd w:val="clear" w:color="auto" w:fill="FFFFFF" w:themeFill="background1"/>
        <w:spacing w:after="0" w:line="240" w:lineRule="auto"/>
        <w:ind w:left="357"/>
        <w:rPr>
          <w:rFonts w:ascii="Calibri" w:eastAsia="Arial" w:hAnsi="Calibri" w:cs="Calibri"/>
        </w:rPr>
      </w:pPr>
    </w:p>
    <w:p w:rsidR="0026306F" w:rsidRPr="00302B29" w:rsidP="00967656">
      <w:pPr>
        <w:pStyle w:val="ListParagraph"/>
        <w:numPr>
          <w:ilvl w:val="0"/>
          <w:numId w:val="18"/>
        </w:numPr>
        <w:shd w:val="clear" w:color="auto" w:fill="FFFFFF" w:themeFill="background1"/>
        <w:spacing w:after="0" w:line="240" w:lineRule="auto"/>
        <w:ind w:left="357" w:hanging="357"/>
        <w:rPr>
          <w:rFonts w:ascii="Calibri" w:eastAsia="Arial" w:hAnsi="Calibri" w:cs="Calibri"/>
        </w:rPr>
      </w:pPr>
      <w:r w:rsidRPr="00302B29">
        <w:rPr>
          <w:rFonts w:ascii="Calibri" w:eastAsia="Arial" w:hAnsi="Calibri" w:cs="Calibri"/>
        </w:rPr>
        <w:t>Local authorities deliver a range of critical functions that underpin the effective operation of the education system. In addition to their statutory responsibilities for safeguarding, SEND, admissions and fair access, they hold detailed intelligence on local communities, demographic trends and emerging needs. This enables effective strategic planning, supports the provision of sufficient school places, promotes inclusion and facilitates collaboration across education, health, social care and wider public s</w:t>
      </w:r>
      <w:r w:rsidRPr="00302B29">
        <w:rPr>
          <w:rFonts w:ascii="Calibri" w:eastAsia="Arial" w:hAnsi="Calibri" w:cs="Calibri"/>
        </w:rPr>
        <w:t>ervices. As place-based leaders, local authorities are uniquely positioned to bring institutions and services together around the needs of children, young people and families.</w:t>
      </w:r>
    </w:p>
    <w:p w:rsidR="0026306F" w:rsidRPr="00302B29" w:rsidP="00967656">
      <w:pPr>
        <w:shd w:val="clear" w:color="auto" w:fill="FFFFFF" w:themeFill="background1"/>
        <w:spacing w:after="0" w:line="240" w:lineRule="auto"/>
        <w:rPr>
          <w:rFonts w:ascii="Calibri" w:eastAsia="Arial" w:hAnsi="Calibri" w:cs="Calibri"/>
        </w:rPr>
      </w:pPr>
    </w:p>
    <w:p w:rsidR="0026306F" w:rsidRPr="00302B29" w:rsidP="00967656">
      <w:pPr>
        <w:pStyle w:val="ListParagraph"/>
        <w:numPr>
          <w:ilvl w:val="0"/>
          <w:numId w:val="18"/>
        </w:numPr>
        <w:shd w:val="clear" w:color="auto" w:fill="FFFFFF" w:themeFill="background1"/>
        <w:spacing w:after="0" w:line="240" w:lineRule="auto"/>
        <w:ind w:left="357" w:hanging="357"/>
        <w:rPr>
          <w:rFonts w:ascii="Calibri" w:eastAsia="Arial" w:hAnsi="Calibri" w:cs="Calibri"/>
        </w:rPr>
      </w:pPr>
      <w:r w:rsidRPr="00302B29">
        <w:rPr>
          <w:rFonts w:ascii="Calibri" w:eastAsia="Arial" w:hAnsi="Calibri" w:cs="Calibri"/>
        </w:rPr>
        <w:t>Any ambition towards transition to a more fully trust-led system must address capacity, sustainability and accountability. Greater clarity is needed on how trust performance will be monitored, challenged and supported, particularly in relation to inclusion, SEND and outcomes for vulnerable children. Successful reform will require clear accountability and a strong partnership between trusts and local authorities to deliver an inclusive and effective system; there remains insufficient clarity regarding how tr</w:t>
      </w:r>
      <w:r w:rsidRPr="00302B29">
        <w:rPr>
          <w:rFonts w:ascii="Calibri" w:eastAsia="Arial" w:hAnsi="Calibri" w:cs="Calibri"/>
        </w:rPr>
        <w:t>ust performance will be assessed, challenged and supported, particularly in relation to inclusion, SEND provision, attendance and outcomes for vulnerable groups. A successful system requires clear lines of accountability for all partners and a shared responsibility for improving outcomes for children and young people. Long-term success will depend on local authorities' vital role in supporting a successful transition through strategic oversight, partnership development, maintenance of essential services and</w:t>
      </w:r>
      <w:r w:rsidRPr="00302B29">
        <w:rPr>
          <w:rFonts w:ascii="Calibri" w:eastAsia="Arial" w:hAnsi="Calibri" w:cs="Calibri"/>
        </w:rPr>
        <w:t xml:space="preserve"> continuity of support for vulnerable learners. </w:t>
      </w:r>
    </w:p>
    <w:p w:rsidR="0026306F" w:rsidRPr="00302B29" w:rsidP="00967656">
      <w:pPr>
        <w:pStyle w:val="ListParagraph"/>
        <w:ind w:left="363"/>
        <w:rPr>
          <w:rFonts w:ascii="Calibri" w:eastAsia="Arial" w:hAnsi="Calibri" w:cs="Calibri"/>
        </w:rPr>
      </w:pPr>
    </w:p>
    <w:p w:rsidR="0026306F" w:rsidRPr="00302B29" w:rsidP="00967656">
      <w:pPr>
        <w:pStyle w:val="ListParagraph"/>
        <w:shd w:val="clear" w:color="auto" w:fill="FFFFFF" w:themeFill="background1"/>
        <w:spacing w:after="0" w:line="240" w:lineRule="auto"/>
        <w:ind w:left="357"/>
        <w:rPr>
          <w:rFonts w:ascii="Calibri" w:eastAsia="Arial" w:hAnsi="Calibri" w:cs="Calibri"/>
        </w:rPr>
      </w:pPr>
    </w:p>
    <w:p w:rsidR="0026306F" w:rsidRPr="00302B29" w:rsidP="00220A31">
      <w:pPr>
        <w:shd w:val="clear" w:color="auto" w:fill="FFFFFF" w:themeFill="background1"/>
        <w:spacing w:after="0" w:line="240" w:lineRule="auto"/>
        <w:ind w:left="357"/>
        <w:rPr>
          <w:rFonts w:ascii="Calibri" w:eastAsia="Arial" w:hAnsi="Calibri" w:cs="Calibri"/>
          <w:b/>
          <w:bCs/>
        </w:rPr>
      </w:pPr>
      <w:r w:rsidRPr="00302B29">
        <w:rPr>
          <w:rFonts w:ascii="Calibri" w:eastAsia="Arial" w:hAnsi="Calibri" w:cs="Calibri"/>
          <w:b/>
          <w:bCs/>
        </w:rPr>
        <w:t>We recommend that:</w:t>
      </w:r>
    </w:p>
    <w:p w:rsidR="0026306F" w:rsidRPr="00302B29" w:rsidP="00220A31">
      <w:pPr>
        <w:pStyle w:val="ListParagraph"/>
        <w:numPr>
          <w:ilvl w:val="0"/>
          <w:numId w:val="18"/>
        </w:numPr>
        <w:shd w:val="clear" w:color="auto" w:fill="FFFFFF" w:themeFill="background1"/>
        <w:spacing w:after="0" w:line="240" w:lineRule="auto"/>
        <w:ind w:left="714" w:hanging="357"/>
        <w:rPr>
          <w:rFonts w:ascii="Calibri" w:eastAsia="Arial" w:hAnsi="Calibri" w:cs="Calibri"/>
        </w:rPr>
      </w:pPr>
      <w:r w:rsidRPr="00302B29">
        <w:rPr>
          <w:rFonts w:ascii="Calibri" w:eastAsia="Arial" w:hAnsi="Calibri" w:cs="Calibri"/>
        </w:rPr>
        <w:t>A clear statutory role for local authorities is defined within any trust-led system.</w:t>
      </w:r>
    </w:p>
    <w:p w:rsidR="0026306F" w:rsidRPr="00302B29" w:rsidP="00220A31">
      <w:pPr>
        <w:pStyle w:val="ListParagraph"/>
        <w:numPr>
          <w:ilvl w:val="0"/>
          <w:numId w:val="18"/>
        </w:numPr>
        <w:shd w:val="clear" w:color="auto" w:fill="FFFFFF" w:themeFill="background1"/>
        <w:spacing w:after="0" w:line="240" w:lineRule="auto"/>
        <w:ind w:left="714" w:hanging="357"/>
        <w:rPr>
          <w:rFonts w:ascii="Calibri" w:eastAsia="Arial" w:hAnsi="Calibri" w:cs="Calibri"/>
        </w:rPr>
      </w:pPr>
      <w:r w:rsidRPr="00302B29">
        <w:rPr>
          <w:rFonts w:ascii="Calibri" w:eastAsia="Arial" w:hAnsi="Calibri" w:cs="Calibri"/>
        </w:rPr>
        <w:t>Place-based coordination of SEND, inclusion and vulnerable learners is retained at local level.</w:t>
      </w:r>
    </w:p>
    <w:p w:rsidR="0026306F" w:rsidRPr="00302B29" w:rsidP="00220A31">
      <w:pPr>
        <w:pStyle w:val="ListParagraph"/>
        <w:numPr>
          <w:ilvl w:val="0"/>
          <w:numId w:val="18"/>
        </w:numPr>
        <w:shd w:val="clear" w:color="auto" w:fill="FFFFFF" w:themeFill="background1"/>
        <w:spacing w:after="0" w:line="240" w:lineRule="auto"/>
        <w:ind w:left="714" w:hanging="357"/>
        <w:rPr>
          <w:rFonts w:ascii="Calibri" w:eastAsia="Arial" w:hAnsi="Calibri" w:cs="Calibri"/>
        </w:rPr>
      </w:pPr>
      <w:r w:rsidRPr="00302B29">
        <w:rPr>
          <w:rFonts w:ascii="Calibri" w:eastAsia="Arial" w:hAnsi="Calibri" w:cs="Calibri"/>
        </w:rPr>
        <w:t>Trust reform and place-based SEND reform are aligned, with trusts accountable for local outcomes.</w:t>
      </w:r>
    </w:p>
    <w:p w:rsidR="0026306F" w:rsidRPr="00302B29" w:rsidP="00220A31">
      <w:pPr>
        <w:pStyle w:val="ListParagraph"/>
        <w:numPr>
          <w:ilvl w:val="0"/>
          <w:numId w:val="18"/>
        </w:numPr>
        <w:shd w:val="clear" w:color="auto" w:fill="FFFFFF" w:themeFill="background1"/>
        <w:spacing w:after="0" w:line="240" w:lineRule="auto"/>
        <w:ind w:left="714" w:hanging="357"/>
        <w:rPr>
          <w:rFonts w:ascii="Calibri" w:eastAsia="Arial" w:hAnsi="Calibri" w:cs="Calibri"/>
        </w:rPr>
      </w:pPr>
      <w:r w:rsidRPr="00302B29">
        <w:rPr>
          <w:rFonts w:ascii="Calibri" w:eastAsia="Arial" w:hAnsi="Calibri" w:cs="Calibri"/>
        </w:rPr>
        <w:t>Clear and consistent accountability arrangements are established for trust performance.</w:t>
      </w:r>
    </w:p>
    <w:p w:rsidR="0026306F" w:rsidRPr="00302B29" w:rsidP="00220A31">
      <w:pPr>
        <w:pStyle w:val="ListParagraph"/>
        <w:numPr>
          <w:ilvl w:val="0"/>
          <w:numId w:val="18"/>
        </w:numPr>
        <w:shd w:val="clear" w:color="auto" w:fill="FFFFFF" w:themeFill="background1"/>
        <w:spacing w:after="0" w:line="240" w:lineRule="auto"/>
        <w:ind w:left="714" w:hanging="357"/>
        <w:rPr>
          <w:rFonts w:ascii="Calibri" w:eastAsia="Arial" w:hAnsi="Calibri" w:cs="Calibri"/>
        </w:rPr>
      </w:pPr>
      <w:r w:rsidRPr="00302B29">
        <w:rPr>
          <w:rFonts w:ascii="Calibri" w:eastAsia="Arial" w:hAnsi="Calibri" w:cs="Calibri"/>
        </w:rPr>
        <w:t>Transition prioritises quality, inclusion and stability over place.</w:t>
      </w:r>
    </w:p>
    <w:p w:rsidR="0026306F" w:rsidRPr="00302B29" w:rsidP="00220A31">
      <w:pPr>
        <w:pStyle w:val="ListParagraph"/>
        <w:rPr>
          <w:rFonts w:ascii="Calibri" w:hAnsi="Calibri" w:cs="Calibri"/>
        </w:rPr>
      </w:pPr>
    </w:p>
    <w:p w:rsidR="0026306F" w:rsidRPr="00302B29" w:rsidP="00220A31">
      <w:pPr>
        <w:rPr>
          <w:rFonts w:ascii="Calibri" w:hAnsi="Calibri" w:cs="Calibri"/>
          <w:b/>
          <w:bCs/>
        </w:rPr>
      </w:pPr>
      <w:r w:rsidRPr="00302B29">
        <w:rPr>
          <w:rFonts w:ascii="Calibri" w:hAnsi="Calibri" w:cs="Calibri"/>
          <w:b/>
          <w:bCs/>
        </w:rPr>
        <w:t xml:space="preserve">4. Enrichment, </w:t>
      </w:r>
      <w:r w:rsidRPr="00302B29">
        <w:rPr>
          <w:rFonts w:ascii="Calibri" w:hAnsi="Calibri" w:cs="Calibri"/>
          <w:b/>
          <w:bCs/>
        </w:rPr>
        <w:t>b</w:t>
      </w:r>
      <w:r w:rsidRPr="00302B29">
        <w:rPr>
          <w:rFonts w:ascii="Calibri" w:hAnsi="Calibri" w:cs="Calibri"/>
          <w:b/>
          <w:bCs/>
        </w:rPr>
        <w:t xml:space="preserve">elonging and </w:t>
      </w:r>
      <w:r w:rsidRPr="00302B29">
        <w:rPr>
          <w:rFonts w:ascii="Calibri" w:hAnsi="Calibri" w:cs="Calibri"/>
          <w:b/>
          <w:bCs/>
        </w:rPr>
        <w:t>b</w:t>
      </w:r>
      <w:r w:rsidRPr="00302B29">
        <w:rPr>
          <w:rFonts w:ascii="Calibri" w:hAnsi="Calibri" w:cs="Calibri"/>
          <w:b/>
          <w:bCs/>
        </w:rPr>
        <w:t>ehaviour</w:t>
      </w:r>
    </w:p>
    <w:p w:rsidR="0026306F" w:rsidRPr="00302B29" w:rsidP="00220A31">
      <w:pPr>
        <w:rPr>
          <w:rFonts w:ascii="Calibri" w:hAnsi="Calibri" w:cs="Calibri"/>
        </w:rPr>
      </w:pPr>
      <w:r w:rsidRPr="00302B29">
        <w:rPr>
          <w:rFonts w:ascii="Calibri" w:hAnsi="Calibri" w:cs="Calibri"/>
        </w:rPr>
        <w:t>We welcome the increased focus on enrichment, wellbeing and belonging as core elements of a successful education system. These factors support engagement, attendance and attainment, while helping children and young people develop the confidence and resilience needed to thrive.</w:t>
      </w:r>
    </w:p>
    <w:p w:rsidR="0026306F" w:rsidRPr="00302B29" w:rsidP="00220A31">
      <w:pPr>
        <w:rPr>
          <w:rFonts w:ascii="Calibri" w:hAnsi="Calibri" w:cs="Calibri"/>
        </w:rPr>
      </w:pPr>
      <w:r w:rsidRPr="00302B29">
        <w:rPr>
          <w:rFonts w:ascii="Calibri" w:hAnsi="Calibri" w:cs="Calibri"/>
        </w:rPr>
        <w:t>Local authorities are well placed to support this agenda through their leadership across education, health, social care, youth services and the voluntary sector. By coordinating preventative and early intervention services, they help ensure children and families receive timely support and access to enriching opportunities.</w:t>
      </w:r>
    </w:p>
    <w:p w:rsidR="0026306F" w:rsidRPr="00302B29" w:rsidP="00220A31">
      <w:pPr>
        <w:rPr>
          <w:rFonts w:ascii="Calibri" w:hAnsi="Calibri" w:cs="Calibri"/>
        </w:rPr>
      </w:pPr>
      <w:r w:rsidRPr="00302B29">
        <w:rPr>
          <w:rFonts w:ascii="Calibri" w:hAnsi="Calibri" w:cs="Calibri"/>
        </w:rPr>
        <w:t>Behaviour policies should promote inclusion, belonging and positive relationships. Trauma-informed approaches, supported by specialist services and aligned with safeguarding arrangements, can help address underlying needs, reduce exclusions and improve outcomes.</w:t>
      </w:r>
    </w:p>
    <w:p w:rsidR="0026306F" w:rsidRPr="00302B29" w:rsidP="00220A31">
      <w:pPr>
        <w:rPr>
          <w:rFonts w:ascii="Calibri" w:hAnsi="Calibri" w:cs="Calibri"/>
          <w:b/>
          <w:bCs/>
        </w:rPr>
      </w:pPr>
      <w:r w:rsidRPr="00302B29">
        <w:rPr>
          <w:rFonts w:ascii="Calibri" w:hAnsi="Calibri" w:cs="Calibri"/>
          <w:b/>
          <w:bCs/>
        </w:rPr>
        <w:t>We recommend that:</w:t>
      </w:r>
    </w:p>
    <w:p w:rsidR="0026306F" w:rsidRPr="00302B29" w:rsidP="00220A31">
      <w:pPr>
        <w:numPr>
          <w:ilvl w:val="0"/>
          <w:numId w:val="12"/>
        </w:numPr>
        <w:rPr>
          <w:rFonts w:ascii="Calibri" w:hAnsi="Calibri" w:cs="Calibri"/>
        </w:rPr>
      </w:pPr>
      <w:r w:rsidRPr="00302B29">
        <w:rPr>
          <w:rFonts w:ascii="Calibri" w:hAnsi="Calibri" w:cs="Calibri"/>
        </w:rPr>
        <w:t>Dedicated funding supports enrichment and preventative programmes.</w:t>
      </w:r>
    </w:p>
    <w:p w:rsidR="0026306F" w:rsidRPr="00302B29" w:rsidP="00220A31">
      <w:pPr>
        <w:numPr>
          <w:ilvl w:val="0"/>
          <w:numId w:val="12"/>
        </w:numPr>
        <w:rPr>
          <w:rFonts w:ascii="Calibri" w:hAnsi="Calibri" w:cs="Calibri"/>
        </w:rPr>
      </w:pPr>
      <w:r w:rsidRPr="00302B29">
        <w:rPr>
          <w:rFonts w:ascii="Calibri" w:hAnsi="Calibri" w:cs="Calibri"/>
        </w:rPr>
        <w:t>Behaviour policies promote inclusion through trauma-informed approaches, specialist support and strong safeguarding links.</w:t>
      </w:r>
    </w:p>
    <w:p w:rsidR="0026306F" w:rsidRPr="00302B29" w:rsidP="00220A31">
      <w:pPr>
        <w:numPr>
          <w:ilvl w:val="0"/>
          <w:numId w:val="12"/>
        </w:numPr>
        <w:rPr>
          <w:rFonts w:ascii="Calibri" w:hAnsi="Calibri" w:cs="Calibri"/>
        </w:rPr>
      </w:pPr>
      <w:r w:rsidRPr="00302B29">
        <w:rPr>
          <w:rFonts w:ascii="Calibri" w:hAnsi="Calibri" w:cs="Calibri"/>
        </w:rPr>
        <w:t>Local authorities are recognised as key partners in behaviour and inclusion.</w:t>
      </w:r>
    </w:p>
    <w:p w:rsidR="0026306F" w:rsidRPr="00302B29" w:rsidP="00220A31">
      <w:pPr>
        <w:rPr>
          <w:rFonts w:ascii="Calibri" w:hAnsi="Calibri" w:cs="Calibri"/>
        </w:rPr>
      </w:pPr>
      <w:r w:rsidRPr="00302B29">
        <w:rPr>
          <w:rFonts w:ascii="Calibri" w:hAnsi="Calibri" w:cs="Calibri"/>
          <w:b/>
          <w:bCs/>
        </w:rPr>
        <w:t xml:space="preserve">5. School </w:t>
      </w:r>
      <w:r w:rsidRPr="00302B29">
        <w:rPr>
          <w:rFonts w:ascii="Calibri" w:hAnsi="Calibri" w:cs="Calibri"/>
          <w:b/>
          <w:bCs/>
        </w:rPr>
        <w:t>admissions</w:t>
      </w:r>
    </w:p>
    <w:p w:rsidR="0026306F" w:rsidRPr="00302B29" w:rsidP="00220A31">
      <w:pPr>
        <w:rPr>
          <w:rFonts w:ascii="Calibri" w:hAnsi="Calibri" w:cs="Calibri"/>
          <w:b/>
          <w:bCs/>
        </w:rPr>
      </w:pPr>
      <w:r w:rsidRPr="00302B29">
        <w:rPr>
          <w:rFonts w:ascii="Calibri" w:hAnsi="Calibri" w:cs="Calibri"/>
          <w:b/>
          <w:bCs/>
        </w:rPr>
        <w:t>Reform of the School Admissions Code</w:t>
      </w:r>
    </w:p>
    <w:p w:rsidR="0026306F" w:rsidRPr="00302B29" w:rsidP="00220A31">
      <w:pPr>
        <w:rPr>
          <w:rFonts w:ascii="Calibri" w:hAnsi="Calibri" w:cs="Calibri"/>
        </w:rPr>
      </w:pPr>
      <w:r w:rsidRPr="00302B29">
        <w:rPr>
          <w:rFonts w:ascii="Calibri" w:hAnsi="Calibri" w:cs="Calibri"/>
        </w:rPr>
        <w:t>We support reform of the School Admissions Code to create a fairer and more consistent system. The current level of autonomy for own-admission-authority schools, combined with limited local authority powers, can lead to inequitable outcomes. Strengthened local authority powers and clear national deadlines for sharing admissions data would improve coordination and access to school places.</w:t>
      </w:r>
    </w:p>
    <w:p w:rsidR="0026306F" w:rsidRPr="00302B29" w:rsidP="00220A31">
      <w:pPr>
        <w:rPr>
          <w:rFonts w:ascii="Calibri" w:hAnsi="Calibri" w:cs="Calibri"/>
          <w:b/>
          <w:bCs/>
        </w:rPr>
      </w:pPr>
      <w:r w:rsidRPr="00302B29">
        <w:rPr>
          <w:rFonts w:ascii="Calibri" w:hAnsi="Calibri" w:cs="Calibri"/>
          <w:b/>
          <w:bCs/>
        </w:rPr>
        <w:t xml:space="preserve">Fairness and </w:t>
      </w:r>
      <w:r w:rsidRPr="00302B29">
        <w:rPr>
          <w:rFonts w:ascii="Calibri" w:hAnsi="Calibri" w:cs="Calibri"/>
          <w:b/>
          <w:bCs/>
        </w:rPr>
        <w:t>t</w:t>
      </w:r>
      <w:r w:rsidRPr="00302B29">
        <w:rPr>
          <w:rFonts w:ascii="Calibri" w:hAnsi="Calibri" w:cs="Calibri"/>
          <w:b/>
          <w:bCs/>
        </w:rPr>
        <w:t>ransparency</w:t>
      </w:r>
    </w:p>
    <w:p w:rsidR="0026306F" w:rsidRPr="00302B29" w:rsidP="00220A31">
      <w:pPr>
        <w:rPr>
          <w:rFonts w:ascii="Calibri" w:hAnsi="Calibri" w:cs="Calibri"/>
        </w:rPr>
      </w:pPr>
      <w:r w:rsidRPr="00302B29">
        <w:rPr>
          <w:rFonts w:ascii="Calibri" w:hAnsi="Calibri" w:cs="Calibri"/>
        </w:rPr>
        <w:t>We support greater local flexibility to include additional Fair Access categories, particularly for Year 6 pupils, Year 11 pupils and children from service families.</w:t>
      </w:r>
    </w:p>
    <w:p w:rsidR="0026306F" w:rsidRPr="00302B29" w:rsidP="00220A31">
      <w:pPr>
        <w:rPr>
          <w:rFonts w:ascii="Calibri" w:hAnsi="Calibri" w:cs="Calibri"/>
        </w:rPr>
      </w:pPr>
      <w:r w:rsidRPr="00302B29">
        <w:rPr>
          <w:rFonts w:ascii="Calibri" w:hAnsi="Calibri" w:cs="Calibri"/>
        </w:rPr>
        <w:t>While Fair Access arrangements generally work well, stronger measures are needed to ensure the timely admission of vulnerable children. Clearer guidance and evidential requirements for refusals under paragraphs 3.10 and 3.11 of the Admissions Code would improve consistency and transparency. Local authorities should also have stronger powers to challenge admission decisions or capacity reductions that adversely affect local place planning.</w:t>
      </w:r>
    </w:p>
    <w:p w:rsidR="0026306F" w:rsidRPr="00302B29" w:rsidP="00220A31">
      <w:pPr>
        <w:rPr>
          <w:rFonts w:ascii="Calibri" w:hAnsi="Calibri" w:cs="Calibri"/>
          <w:b/>
          <w:bCs/>
        </w:rPr>
      </w:pPr>
      <w:r w:rsidRPr="00302B29">
        <w:rPr>
          <w:rFonts w:ascii="Calibri" w:hAnsi="Calibri" w:cs="Calibri"/>
          <w:b/>
          <w:bCs/>
        </w:rPr>
        <w:t>In-</w:t>
      </w:r>
      <w:r w:rsidRPr="00302B29">
        <w:rPr>
          <w:rFonts w:ascii="Calibri" w:hAnsi="Calibri" w:cs="Calibri"/>
          <w:b/>
          <w:bCs/>
        </w:rPr>
        <w:t>y</w:t>
      </w:r>
      <w:r w:rsidRPr="00302B29">
        <w:rPr>
          <w:rFonts w:ascii="Calibri" w:hAnsi="Calibri" w:cs="Calibri"/>
          <w:b/>
          <w:bCs/>
        </w:rPr>
        <w:t xml:space="preserve">ear </w:t>
      </w:r>
      <w:r w:rsidRPr="00302B29">
        <w:rPr>
          <w:rFonts w:ascii="Calibri" w:hAnsi="Calibri" w:cs="Calibri"/>
          <w:b/>
          <w:bCs/>
        </w:rPr>
        <w:t>a</w:t>
      </w:r>
      <w:r w:rsidRPr="00302B29">
        <w:rPr>
          <w:rFonts w:ascii="Calibri" w:hAnsi="Calibri" w:cs="Calibri"/>
          <w:b/>
          <w:bCs/>
        </w:rPr>
        <w:t>dmissions</w:t>
      </w:r>
    </w:p>
    <w:p w:rsidR="0026306F" w:rsidRPr="00302B29" w:rsidP="00220A31">
      <w:pPr>
        <w:rPr>
          <w:rFonts w:ascii="Calibri" w:hAnsi="Calibri" w:cs="Calibri"/>
        </w:rPr>
      </w:pPr>
      <w:r w:rsidRPr="00302B29">
        <w:rPr>
          <w:rFonts w:ascii="Calibri" w:hAnsi="Calibri" w:cs="Calibri"/>
        </w:rPr>
        <w:t>Although Hampshire has established effective systems for monitoring admissions compliance, concerns remain about practices that may be inconsistent with the Admissions Code, including pre-admission meetings that influence decisions. Stronger guidance and enforcement would improve compliance.</w:t>
      </w:r>
    </w:p>
    <w:p w:rsidR="0026306F" w:rsidRPr="00302B29" w:rsidP="00220A31">
      <w:pPr>
        <w:rPr>
          <w:rFonts w:ascii="Calibri" w:hAnsi="Calibri" w:cs="Calibri"/>
        </w:rPr>
      </w:pPr>
      <w:r w:rsidRPr="00302B29">
        <w:rPr>
          <w:rFonts w:ascii="Calibri" w:hAnsi="Calibri" w:cs="Calibri"/>
        </w:rPr>
        <w:t xml:space="preserve">We do not support mandatory local authority coordination of all in-year admissions. Hampshire's current delegated model delivers timely decisions and positive outcomes. Any </w:t>
      </w:r>
      <w:r w:rsidRPr="00302B29">
        <w:rPr>
          <w:rFonts w:ascii="Calibri" w:hAnsi="Calibri" w:cs="Calibri"/>
        </w:rPr>
        <w:t>move towards mandatory coordination should be accompanied by powers enabling local authorities to secure admissions where necessary.</w:t>
      </w:r>
    </w:p>
    <w:p w:rsidR="0026306F" w:rsidRPr="00302B29" w:rsidP="00220A31">
      <w:pPr>
        <w:rPr>
          <w:rFonts w:ascii="Calibri" w:hAnsi="Calibri" w:cs="Calibri"/>
          <w:b/>
          <w:bCs/>
        </w:rPr>
      </w:pPr>
      <w:r w:rsidRPr="00302B29">
        <w:rPr>
          <w:rFonts w:ascii="Calibri" w:hAnsi="Calibri" w:cs="Calibri"/>
          <w:b/>
          <w:bCs/>
        </w:rPr>
        <w:t>We recommend that:</w:t>
      </w:r>
    </w:p>
    <w:p w:rsidR="0026306F" w:rsidRPr="00302B29" w:rsidP="00220A31">
      <w:pPr>
        <w:numPr>
          <w:ilvl w:val="0"/>
          <w:numId w:val="13"/>
        </w:numPr>
        <w:rPr>
          <w:rFonts w:ascii="Calibri" w:hAnsi="Calibri" w:cs="Calibri"/>
        </w:rPr>
      </w:pPr>
      <w:r w:rsidRPr="00302B29">
        <w:rPr>
          <w:rFonts w:ascii="Calibri" w:hAnsi="Calibri" w:cs="Calibri"/>
        </w:rPr>
        <w:t>Local authority powers are strengthened to support fair and consistent admissions.</w:t>
      </w:r>
    </w:p>
    <w:p w:rsidR="0026306F" w:rsidRPr="00302B29" w:rsidP="00220A31">
      <w:pPr>
        <w:numPr>
          <w:ilvl w:val="0"/>
          <w:numId w:val="13"/>
        </w:numPr>
        <w:rPr>
          <w:rFonts w:ascii="Calibri" w:hAnsi="Calibri" w:cs="Calibri"/>
        </w:rPr>
      </w:pPr>
      <w:r w:rsidRPr="00302B29">
        <w:rPr>
          <w:rFonts w:ascii="Calibri" w:hAnsi="Calibri" w:cs="Calibri"/>
        </w:rPr>
        <w:t>National deadlines are introduced for admissions data sharing.</w:t>
      </w:r>
    </w:p>
    <w:p w:rsidR="0026306F" w:rsidRPr="00302B29" w:rsidP="00220A31">
      <w:pPr>
        <w:numPr>
          <w:ilvl w:val="0"/>
          <w:numId w:val="13"/>
        </w:numPr>
        <w:rPr>
          <w:rFonts w:ascii="Calibri" w:hAnsi="Calibri" w:cs="Calibri"/>
        </w:rPr>
      </w:pPr>
      <w:r w:rsidRPr="00302B29">
        <w:rPr>
          <w:rFonts w:ascii="Calibri" w:hAnsi="Calibri" w:cs="Calibri"/>
        </w:rPr>
        <w:t>Local flexibility is retained within Fair Access arrangements.</w:t>
      </w:r>
    </w:p>
    <w:p w:rsidR="0026306F" w:rsidRPr="00302B29" w:rsidP="00220A31">
      <w:pPr>
        <w:numPr>
          <w:ilvl w:val="0"/>
          <w:numId w:val="13"/>
        </w:numPr>
        <w:rPr>
          <w:rFonts w:ascii="Calibri" w:hAnsi="Calibri" w:cs="Calibri"/>
        </w:rPr>
      </w:pPr>
      <w:r w:rsidRPr="00302B29">
        <w:rPr>
          <w:rFonts w:ascii="Calibri" w:hAnsi="Calibri" w:cs="Calibri"/>
        </w:rPr>
        <w:t>Guidance on refusal decisions is strengthened and clarified.</w:t>
      </w:r>
    </w:p>
    <w:p w:rsidR="0026306F" w:rsidRPr="00302B29" w:rsidP="00220A31">
      <w:pPr>
        <w:numPr>
          <w:ilvl w:val="0"/>
          <w:numId w:val="13"/>
        </w:numPr>
        <w:rPr>
          <w:rFonts w:ascii="Calibri" w:hAnsi="Calibri" w:cs="Calibri"/>
        </w:rPr>
      </w:pPr>
      <w:r w:rsidRPr="00302B29">
        <w:rPr>
          <w:rFonts w:ascii="Calibri" w:hAnsi="Calibri" w:cs="Calibri"/>
        </w:rPr>
        <w:t>Local authorities have greater influence over admission numbers and capacity changes.</w:t>
      </w:r>
    </w:p>
    <w:p w:rsidR="0026306F" w:rsidRPr="00302B29" w:rsidP="00220A31">
      <w:pPr>
        <w:numPr>
          <w:ilvl w:val="0"/>
          <w:numId w:val="13"/>
        </w:numPr>
        <w:rPr>
          <w:rFonts w:ascii="Calibri" w:hAnsi="Calibri" w:cs="Calibri"/>
        </w:rPr>
      </w:pPr>
      <w:r w:rsidRPr="00302B29">
        <w:rPr>
          <w:rFonts w:ascii="Calibri" w:hAnsi="Calibri" w:cs="Calibri"/>
        </w:rPr>
        <w:t>Compliance with the Admissions Code is strengthened.</w:t>
      </w:r>
    </w:p>
    <w:p w:rsidR="0026306F" w:rsidRPr="00302B29" w:rsidP="00220A31">
      <w:pPr>
        <w:numPr>
          <w:ilvl w:val="0"/>
          <w:numId w:val="13"/>
        </w:numPr>
        <w:rPr>
          <w:rFonts w:ascii="Calibri" w:hAnsi="Calibri" w:cs="Calibri"/>
        </w:rPr>
      </w:pPr>
      <w:r w:rsidRPr="00302B29">
        <w:rPr>
          <w:rFonts w:ascii="Calibri" w:hAnsi="Calibri" w:cs="Calibri"/>
        </w:rPr>
        <w:t>Any expansion of local authority coordination is matched by appropriate enforcement powers.</w:t>
      </w:r>
    </w:p>
    <w:p w:rsidR="0026306F" w:rsidRPr="00302B29" w:rsidP="00220A31">
      <w:pPr>
        <w:rPr>
          <w:rFonts w:ascii="Calibri" w:hAnsi="Calibri" w:cs="Calibri"/>
          <w:b/>
          <w:bCs/>
        </w:rPr>
      </w:pPr>
      <w:r w:rsidRPr="00302B29">
        <w:rPr>
          <w:rFonts w:ascii="Calibri" w:hAnsi="Calibri" w:cs="Calibri"/>
          <w:b/>
          <w:bCs/>
        </w:rPr>
        <w:t xml:space="preserve">6. Workforce </w:t>
      </w:r>
      <w:r w:rsidRPr="00302B29">
        <w:rPr>
          <w:rFonts w:ascii="Calibri" w:hAnsi="Calibri" w:cs="Calibri"/>
          <w:b/>
          <w:bCs/>
        </w:rPr>
        <w:t>r</w:t>
      </w:r>
      <w:r w:rsidRPr="00302B29">
        <w:rPr>
          <w:rFonts w:ascii="Calibri" w:hAnsi="Calibri" w:cs="Calibri"/>
          <w:b/>
          <w:bCs/>
        </w:rPr>
        <w:t>eforms</w:t>
      </w:r>
    </w:p>
    <w:p w:rsidR="0026306F" w:rsidRPr="00302B29" w:rsidP="00220A31">
      <w:pPr>
        <w:rPr>
          <w:rFonts w:ascii="Calibri" w:hAnsi="Calibri" w:cs="Calibri"/>
          <w:b/>
          <w:bCs/>
        </w:rPr>
      </w:pPr>
      <w:r w:rsidRPr="00302B29">
        <w:rPr>
          <w:rFonts w:ascii="Calibri" w:hAnsi="Calibri" w:cs="Calibri"/>
          <w:b/>
          <w:bCs/>
        </w:rPr>
        <w:t xml:space="preserve">Workforce </w:t>
      </w:r>
      <w:r w:rsidRPr="00302B29">
        <w:rPr>
          <w:rFonts w:ascii="Calibri" w:hAnsi="Calibri" w:cs="Calibri"/>
          <w:b/>
          <w:bCs/>
        </w:rPr>
        <w:t>c</w:t>
      </w:r>
      <w:r w:rsidRPr="00302B29">
        <w:rPr>
          <w:rFonts w:ascii="Calibri" w:hAnsi="Calibri" w:cs="Calibri"/>
          <w:b/>
          <w:bCs/>
        </w:rPr>
        <w:t>apacity</w:t>
      </w:r>
    </w:p>
    <w:p w:rsidR="0026306F" w:rsidRPr="00302B29" w:rsidP="00220A31">
      <w:pPr>
        <w:rPr>
          <w:rFonts w:ascii="Calibri" w:hAnsi="Calibri" w:cs="Calibri"/>
        </w:rPr>
      </w:pPr>
      <w:r w:rsidRPr="00302B29">
        <w:rPr>
          <w:rFonts w:ascii="Calibri" w:hAnsi="Calibri" w:cs="Calibri"/>
        </w:rPr>
        <w:t>Significant workforce pressures exist across school and wider children's services. Capacity remains a key risk to successful reform delivery. Investment in preventative and early intervention services offers a cost-effective way of reducing demand on specialist provision, alternative provision and social care.</w:t>
      </w:r>
    </w:p>
    <w:p w:rsidR="0026306F" w:rsidRPr="00302B29" w:rsidP="00220A31">
      <w:pPr>
        <w:rPr>
          <w:rFonts w:ascii="Calibri" w:hAnsi="Calibri" w:cs="Calibri"/>
          <w:b/>
          <w:bCs/>
        </w:rPr>
      </w:pPr>
      <w:r w:rsidRPr="00302B29">
        <w:rPr>
          <w:rFonts w:ascii="Calibri" w:hAnsi="Calibri" w:cs="Calibri"/>
          <w:b/>
          <w:bCs/>
        </w:rPr>
        <w:t xml:space="preserve">Recruitment and </w:t>
      </w:r>
      <w:r w:rsidRPr="00302B29">
        <w:rPr>
          <w:rFonts w:ascii="Calibri" w:hAnsi="Calibri" w:cs="Calibri"/>
          <w:b/>
          <w:bCs/>
        </w:rPr>
        <w:t>r</w:t>
      </w:r>
      <w:r w:rsidRPr="00302B29">
        <w:rPr>
          <w:rFonts w:ascii="Calibri" w:hAnsi="Calibri" w:cs="Calibri"/>
          <w:b/>
          <w:bCs/>
        </w:rPr>
        <w:t>etention</w:t>
      </w:r>
    </w:p>
    <w:p w:rsidR="0026306F" w:rsidRPr="00302B29" w:rsidP="00220A31">
      <w:pPr>
        <w:rPr>
          <w:rFonts w:ascii="Calibri" w:hAnsi="Calibri" w:cs="Calibri"/>
        </w:rPr>
      </w:pPr>
      <w:r w:rsidRPr="00302B29">
        <w:rPr>
          <w:rFonts w:ascii="Calibri" w:hAnsi="Calibri" w:cs="Calibri"/>
        </w:rPr>
        <w:t>While DfE data suggests progress towards the Government's target of recruiting 6,500 additional teachers, concerns remain about workforce sustainability. Although teacher numbers have grown in some sectors, overall staffing levels have been affected by declining primary pupil numbers.</w:t>
      </w:r>
    </w:p>
    <w:p w:rsidR="0026306F" w:rsidRPr="00302B29" w:rsidP="00220A31">
      <w:pPr>
        <w:rPr>
          <w:rFonts w:ascii="Calibri" w:hAnsi="Calibri" w:cs="Calibri"/>
        </w:rPr>
      </w:pPr>
      <w:r w:rsidRPr="00302B29">
        <w:rPr>
          <w:rFonts w:ascii="Calibri" w:hAnsi="Calibri" w:cs="Calibri"/>
        </w:rPr>
        <w:t>Proposed retention measures, including enhanced professional development, flexible working, support for early career teachers and targeted incentives, are positive. However, many school leaders argue that they do not sufficiently address the main drivers of workforce attrition, including workload, accountability pressures, SEND demands, behaviour challenges and pay concerns.</w:t>
      </w:r>
    </w:p>
    <w:p w:rsidR="0026306F" w:rsidRPr="00302B29" w:rsidP="00220A31">
      <w:pPr>
        <w:rPr>
          <w:rFonts w:ascii="Calibri" w:hAnsi="Calibri" w:cs="Calibri"/>
          <w:b/>
          <w:bCs/>
        </w:rPr>
      </w:pPr>
      <w:r w:rsidRPr="00302B29">
        <w:rPr>
          <w:rFonts w:ascii="Calibri" w:hAnsi="Calibri" w:cs="Calibri"/>
          <w:b/>
          <w:bCs/>
        </w:rPr>
        <w:t xml:space="preserve">Pay, </w:t>
      </w:r>
      <w:r w:rsidRPr="00302B29">
        <w:rPr>
          <w:rFonts w:ascii="Calibri" w:hAnsi="Calibri" w:cs="Calibri"/>
          <w:b/>
          <w:bCs/>
        </w:rPr>
        <w:t>c</w:t>
      </w:r>
      <w:r w:rsidRPr="00302B29">
        <w:rPr>
          <w:rFonts w:ascii="Calibri" w:hAnsi="Calibri" w:cs="Calibri"/>
          <w:b/>
          <w:bCs/>
        </w:rPr>
        <w:t xml:space="preserve">onditions and </w:t>
      </w:r>
      <w:r w:rsidRPr="00302B29">
        <w:rPr>
          <w:rFonts w:ascii="Calibri" w:hAnsi="Calibri" w:cs="Calibri"/>
          <w:b/>
          <w:bCs/>
        </w:rPr>
        <w:t>p</w:t>
      </w:r>
      <w:r w:rsidRPr="00302B29">
        <w:rPr>
          <w:rFonts w:ascii="Calibri" w:hAnsi="Calibri" w:cs="Calibri"/>
          <w:b/>
          <w:bCs/>
        </w:rPr>
        <w:t xml:space="preserve">rofessional </w:t>
      </w:r>
      <w:r w:rsidRPr="00302B29">
        <w:rPr>
          <w:rFonts w:ascii="Calibri" w:hAnsi="Calibri" w:cs="Calibri"/>
          <w:b/>
          <w:bCs/>
        </w:rPr>
        <w:t>d</w:t>
      </w:r>
      <w:r w:rsidRPr="00302B29">
        <w:rPr>
          <w:rFonts w:ascii="Calibri" w:hAnsi="Calibri" w:cs="Calibri"/>
          <w:b/>
          <w:bCs/>
        </w:rPr>
        <w:t>evelopment</w:t>
      </w:r>
    </w:p>
    <w:p w:rsidR="0026306F" w:rsidRPr="00302B29" w:rsidP="00220A31">
      <w:pPr>
        <w:rPr>
          <w:rFonts w:ascii="Calibri" w:hAnsi="Calibri" w:cs="Calibri"/>
        </w:rPr>
      </w:pPr>
      <w:r w:rsidRPr="00302B29">
        <w:rPr>
          <w:rFonts w:ascii="Calibri" w:hAnsi="Calibri" w:cs="Calibri"/>
        </w:rPr>
        <w:t>Proposals to improve maternity provision and flexible working may help make teaching a more attractive long-term career, particularly for women. The establishment of the School Support Staff Negotiating Body is also a positive step, although implementation is likely to take time.</w:t>
      </w:r>
    </w:p>
    <w:p w:rsidR="0026306F" w:rsidRPr="00302B29" w:rsidP="00220A31">
      <w:pPr>
        <w:rPr>
          <w:rFonts w:ascii="Calibri" w:hAnsi="Calibri" w:cs="Calibri"/>
        </w:rPr>
      </w:pPr>
      <w:r w:rsidRPr="00302B29">
        <w:rPr>
          <w:rFonts w:ascii="Calibri" w:hAnsi="Calibri" w:cs="Calibri"/>
        </w:rPr>
        <w:t>The proposed entitlement to professional development, mentoring, coaching and leadership support represents a welcome shift towards workforce retention and development. However, its success will depend on sufficient funding and reducing the underlying pressures that contribute to staff turnover.</w:t>
      </w:r>
    </w:p>
    <w:p w:rsidR="0026306F" w:rsidRPr="00302B29" w:rsidP="00220A31">
      <w:pPr>
        <w:rPr>
          <w:rFonts w:ascii="Calibri" w:hAnsi="Calibri" w:cs="Calibri"/>
          <w:b/>
          <w:bCs/>
        </w:rPr>
      </w:pPr>
      <w:r w:rsidRPr="00302B29">
        <w:rPr>
          <w:rFonts w:ascii="Calibri" w:hAnsi="Calibri" w:cs="Calibri"/>
          <w:b/>
          <w:bCs/>
        </w:rPr>
        <w:t xml:space="preserve">Wellbeing and </w:t>
      </w:r>
      <w:r w:rsidRPr="00302B29">
        <w:rPr>
          <w:rFonts w:ascii="Calibri" w:hAnsi="Calibri" w:cs="Calibri"/>
          <w:b/>
          <w:bCs/>
        </w:rPr>
        <w:t>l</w:t>
      </w:r>
      <w:r w:rsidRPr="00302B29">
        <w:rPr>
          <w:rFonts w:ascii="Calibri" w:hAnsi="Calibri" w:cs="Calibri"/>
          <w:b/>
          <w:bCs/>
        </w:rPr>
        <w:t>eadership</w:t>
      </w:r>
    </w:p>
    <w:p w:rsidR="0026306F" w:rsidRPr="00302B29" w:rsidP="00220A31">
      <w:pPr>
        <w:rPr>
          <w:rFonts w:ascii="Calibri" w:hAnsi="Calibri" w:cs="Calibri"/>
        </w:rPr>
      </w:pPr>
      <w:r w:rsidRPr="00302B29">
        <w:rPr>
          <w:rFonts w:ascii="Calibri" w:hAnsi="Calibri" w:cs="Calibri"/>
        </w:rPr>
        <w:t>The greater focus on coaching, mentoring and leadership development should improve wellbeing, professional confidence and career satisfaction. However, lasting improvements will require action on workload, accountability, administrative burden, SEND provision and behaviour challenges, rather than simply helping staff manage these pressures.</w:t>
      </w:r>
    </w:p>
    <w:p w:rsidR="0026306F" w:rsidRPr="00302B29" w:rsidP="00220A31">
      <w:pPr>
        <w:rPr>
          <w:rFonts w:ascii="Calibri" w:hAnsi="Calibri" w:cs="Calibri"/>
          <w:b/>
          <w:bCs/>
        </w:rPr>
      </w:pPr>
      <w:r w:rsidRPr="00302B29">
        <w:rPr>
          <w:rFonts w:ascii="Calibri" w:hAnsi="Calibri" w:cs="Calibri"/>
          <w:b/>
          <w:bCs/>
        </w:rPr>
        <w:t xml:space="preserve">Digital and AI </w:t>
      </w:r>
      <w:r w:rsidRPr="00302B29">
        <w:rPr>
          <w:rFonts w:ascii="Calibri" w:hAnsi="Calibri" w:cs="Calibri"/>
          <w:b/>
          <w:bCs/>
        </w:rPr>
        <w:t>c</w:t>
      </w:r>
      <w:r w:rsidRPr="00302B29">
        <w:rPr>
          <w:rFonts w:ascii="Calibri" w:hAnsi="Calibri" w:cs="Calibri"/>
          <w:b/>
          <w:bCs/>
        </w:rPr>
        <w:t>apability</w:t>
      </w:r>
    </w:p>
    <w:p w:rsidR="0026306F" w:rsidRPr="00302B29" w:rsidP="00220A31">
      <w:pPr>
        <w:rPr>
          <w:rFonts w:ascii="Calibri" w:hAnsi="Calibri" w:cs="Calibri"/>
        </w:rPr>
      </w:pPr>
      <w:r w:rsidRPr="00302B29">
        <w:rPr>
          <w:rFonts w:ascii="Calibri" w:hAnsi="Calibri" w:cs="Calibri"/>
        </w:rPr>
        <w:t>We welcome proposals to strengthen staff confidence in using digital technology and AI through improved training, professional development and access to appropriate tools. Clear guidance will be essential to ensure safe and effective implementation.</w:t>
      </w:r>
    </w:p>
    <w:p w:rsidR="0026306F" w:rsidRPr="00302B29" w:rsidP="00220A31">
      <w:pPr>
        <w:rPr>
          <w:rFonts w:ascii="Calibri" w:hAnsi="Calibri" w:cs="Calibri"/>
          <w:b/>
          <w:bCs/>
        </w:rPr>
      </w:pPr>
      <w:r w:rsidRPr="00302B29">
        <w:rPr>
          <w:rFonts w:ascii="Calibri" w:hAnsi="Calibri" w:cs="Calibri"/>
          <w:b/>
          <w:bCs/>
        </w:rPr>
        <w:t xml:space="preserve">We </w:t>
      </w:r>
      <w:r w:rsidRPr="00302B29">
        <w:rPr>
          <w:rFonts w:ascii="Calibri" w:hAnsi="Calibri" w:cs="Calibri"/>
          <w:b/>
          <w:bCs/>
        </w:rPr>
        <w:t>r</w:t>
      </w:r>
      <w:r w:rsidRPr="00302B29">
        <w:rPr>
          <w:rFonts w:ascii="Calibri" w:hAnsi="Calibri" w:cs="Calibri"/>
          <w:b/>
          <w:bCs/>
        </w:rPr>
        <w:t xml:space="preserve">ecommend </w:t>
      </w:r>
      <w:r w:rsidRPr="00302B29">
        <w:rPr>
          <w:rFonts w:ascii="Calibri" w:hAnsi="Calibri" w:cs="Calibri"/>
          <w:b/>
          <w:bCs/>
        </w:rPr>
        <w:t>t</w:t>
      </w:r>
      <w:r w:rsidRPr="00302B29">
        <w:rPr>
          <w:rFonts w:ascii="Calibri" w:hAnsi="Calibri" w:cs="Calibri"/>
          <w:b/>
          <w:bCs/>
        </w:rPr>
        <w:t>hat:</w:t>
      </w:r>
    </w:p>
    <w:p w:rsidR="0026306F" w:rsidRPr="00302B29" w:rsidP="00220A31">
      <w:pPr>
        <w:numPr>
          <w:ilvl w:val="0"/>
          <w:numId w:val="14"/>
        </w:numPr>
        <w:rPr>
          <w:rFonts w:ascii="Calibri" w:hAnsi="Calibri" w:cs="Calibri"/>
        </w:rPr>
      </w:pPr>
      <w:r w:rsidRPr="00302B29">
        <w:rPr>
          <w:rFonts w:ascii="Calibri" w:hAnsi="Calibri" w:cs="Calibri"/>
        </w:rPr>
        <w:t>Workforce capacity is strengthened through investment in education, inclusion, attendance and early intervention services.</w:t>
      </w:r>
    </w:p>
    <w:p w:rsidR="0026306F" w:rsidRPr="00302B29" w:rsidP="00220A31">
      <w:pPr>
        <w:numPr>
          <w:ilvl w:val="0"/>
          <w:numId w:val="14"/>
        </w:numPr>
        <w:rPr>
          <w:rFonts w:ascii="Calibri" w:hAnsi="Calibri" w:cs="Calibri"/>
        </w:rPr>
      </w:pPr>
      <w:r w:rsidRPr="00302B29">
        <w:rPr>
          <w:rFonts w:ascii="Calibri" w:hAnsi="Calibri" w:cs="Calibri"/>
        </w:rPr>
        <w:t>The root causes of workforce attrition, including workload, accountability, SEND pressures and behaviour challenges, are addressed.</w:t>
      </w:r>
    </w:p>
    <w:p w:rsidR="0026306F" w:rsidRPr="00302B29" w:rsidP="00220A31">
      <w:pPr>
        <w:numPr>
          <w:ilvl w:val="0"/>
          <w:numId w:val="14"/>
        </w:numPr>
        <w:rPr>
          <w:rFonts w:ascii="Calibri" w:hAnsi="Calibri" w:cs="Calibri"/>
        </w:rPr>
      </w:pPr>
      <w:r w:rsidRPr="00302B29">
        <w:rPr>
          <w:rFonts w:ascii="Calibri" w:hAnsi="Calibri" w:cs="Calibri"/>
        </w:rPr>
        <w:t>Workforce reforms are supported by sustainable and equitable funding.</w:t>
      </w:r>
    </w:p>
    <w:p w:rsidR="0026306F" w:rsidRPr="00302B29" w:rsidP="00220A31">
      <w:pPr>
        <w:numPr>
          <w:ilvl w:val="0"/>
          <w:numId w:val="14"/>
        </w:numPr>
        <w:rPr>
          <w:rFonts w:ascii="Calibri" w:hAnsi="Calibri" w:cs="Calibri"/>
        </w:rPr>
      </w:pPr>
      <w:r w:rsidRPr="00302B29">
        <w:rPr>
          <w:rFonts w:ascii="Calibri" w:hAnsi="Calibri" w:cs="Calibri"/>
        </w:rPr>
        <w:t>Professional development, leadership support and mentoring remain priorities.</w:t>
      </w:r>
    </w:p>
    <w:p w:rsidR="0026306F" w:rsidRPr="00302B29" w:rsidP="00220A31">
      <w:pPr>
        <w:numPr>
          <w:ilvl w:val="0"/>
          <w:numId w:val="14"/>
        </w:numPr>
        <w:rPr>
          <w:rFonts w:ascii="Calibri" w:hAnsi="Calibri" w:cs="Calibri"/>
        </w:rPr>
      </w:pPr>
      <w:r w:rsidRPr="00302B29">
        <w:rPr>
          <w:rFonts w:ascii="Calibri" w:hAnsi="Calibri" w:cs="Calibri"/>
        </w:rPr>
        <w:t>Digital and AI capability is developed through training, clear guidance and access to effective tools.</w:t>
      </w:r>
    </w:p>
    <w:p w:rsidR="0026306F" w:rsidRPr="00302B29" w:rsidP="00220A31">
      <w:pPr>
        <w:rPr>
          <w:rFonts w:ascii="Calibri" w:hAnsi="Calibri" w:cs="Calibri"/>
          <w:b/>
          <w:bCs/>
        </w:rPr>
      </w:pPr>
      <w:r w:rsidRPr="00302B29">
        <w:rPr>
          <w:rFonts w:ascii="Calibri" w:hAnsi="Calibri" w:cs="Calibri"/>
          <w:b/>
          <w:bCs/>
        </w:rPr>
        <w:t xml:space="preserve">Wider </w:t>
      </w:r>
      <w:r w:rsidRPr="00302B29">
        <w:rPr>
          <w:rFonts w:ascii="Calibri" w:hAnsi="Calibri" w:cs="Calibri"/>
          <w:b/>
          <w:bCs/>
        </w:rPr>
        <w:t>g</w:t>
      </w:r>
      <w:r w:rsidRPr="00302B29">
        <w:rPr>
          <w:rFonts w:ascii="Calibri" w:hAnsi="Calibri" w:cs="Calibri"/>
          <w:b/>
          <w:bCs/>
        </w:rPr>
        <w:t xml:space="preserve">overnment </w:t>
      </w:r>
      <w:r w:rsidRPr="00302B29">
        <w:rPr>
          <w:rFonts w:ascii="Calibri" w:hAnsi="Calibri" w:cs="Calibri"/>
          <w:b/>
          <w:bCs/>
        </w:rPr>
        <w:t>p</w:t>
      </w:r>
      <w:r w:rsidRPr="00302B29">
        <w:rPr>
          <w:rFonts w:ascii="Calibri" w:hAnsi="Calibri" w:cs="Calibri"/>
          <w:b/>
          <w:bCs/>
        </w:rPr>
        <w:t xml:space="preserve">olicy- </w:t>
      </w:r>
      <w:r w:rsidRPr="00302B29">
        <w:rPr>
          <w:rFonts w:ascii="Calibri" w:hAnsi="Calibri" w:cs="Calibri"/>
          <w:b/>
          <w:bCs/>
        </w:rPr>
        <w:t>s</w:t>
      </w:r>
      <w:r w:rsidRPr="00302B29">
        <w:rPr>
          <w:rFonts w:ascii="Calibri" w:hAnsi="Calibri" w:cs="Calibri"/>
          <w:b/>
          <w:bCs/>
        </w:rPr>
        <w:t xml:space="preserve">ystem </w:t>
      </w:r>
      <w:r w:rsidRPr="00302B29">
        <w:rPr>
          <w:rFonts w:ascii="Calibri" w:hAnsi="Calibri" w:cs="Calibri"/>
          <w:b/>
          <w:bCs/>
        </w:rPr>
        <w:t>c</w:t>
      </w:r>
      <w:r w:rsidRPr="00302B29">
        <w:rPr>
          <w:rFonts w:ascii="Calibri" w:hAnsi="Calibri" w:cs="Calibri"/>
          <w:b/>
          <w:bCs/>
        </w:rPr>
        <w:t>oherence</w:t>
      </w:r>
    </w:p>
    <w:p w:rsidR="0026306F" w:rsidRPr="00302B29" w:rsidP="00220A31">
      <w:pPr>
        <w:rPr>
          <w:rFonts w:ascii="Calibri" w:hAnsi="Calibri" w:cs="Calibri"/>
        </w:rPr>
      </w:pPr>
      <w:r w:rsidRPr="00302B29">
        <w:rPr>
          <w:rFonts w:ascii="Calibri" w:hAnsi="Calibri" w:cs="Calibri"/>
        </w:rPr>
        <w:t>We support the ambition for a high-performing and equitable education system.</w:t>
      </w:r>
    </w:p>
    <w:p w:rsidR="0026306F" w:rsidRPr="00302B29" w:rsidP="00220A31">
      <w:pPr>
        <w:pStyle w:val="ListParagraph"/>
        <w:numPr>
          <w:ilvl w:val="0"/>
          <w:numId w:val="16"/>
        </w:numPr>
        <w:spacing w:after="0" w:line="240" w:lineRule="auto"/>
        <w:rPr>
          <w:rFonts w:ascii="Calibri" w:hAnsi="Calibri" w:cs="Calibri"/>
        </w:rPr>
      </w:pPr>
      <w:r w:rsidRPr="00302B29">
        <w:rPr>
          <w:rFonts w:ascii="Calibri" w:hAnsi="Calibri" w:cs="Calibri"/>
        </w:rPr>
        <w:t>Effective reform requires strong alignment between the Department for Education, local authorities, Ofsted, trusts and schools. Without clear coordination across the system, there is a risk of duplication, fragmentation and competing priorities. This is already evident in the emergence of multiple parallel programmes and improvement initiatives. A coherent, place-based approach is needed to ensure that resources, support and accountability arrangements work together effectively.</w:t>
      </w:r>
    </w:p>
    <w:p w:rsidR="0026306F" w:rsidRPr="00302B29" w:rsidP="00220A31">
      <w:pPr>
        <w:spacing w:after="0" w:line="240" w:lineRule="auto"/>
        <w:rPr>
          <w:rFonts w:ascii="Calibri" w:hAnsi="Calibri" w:cs="Calibri"/>
        </w:rPr>
      </w:pPr>
    </w:p>
    <w:p w:rsidR="0026306F" w:rsidRPr="00302B29" w:rsidP="00220A31">
      <w:pPr>
        <w:pStyle w:val="ListParagraph"/>
        <w:numPr>
          <w:ilvl w:val="0"/>
          <w:numId w:val="15"/>
        </w:numPr>
        <w:rPr>
          <w:rFonts w:ascii="Calibri" w:hAnsi="Calibri" w:cs="Calibri"/>
        </w:rPr>
      </w:pPr>
      <w:r w:rsidRPr="00302B29">
        <w:rPr>
          <w:rFonts w:ascii="Calibri" w:hAnsi="Calibri" w:cs="Calibri"/>
        </w:rPr>
        <w:t>Local authorities are essential to system coherence and effectiveness. They should be fully integrated into future policy design and empowered to deliver strong local coordination, oversight and support, particularly for the most vulnerable children.</w:t>
      </w:r>
    </w:p>
    <w:p w:rsidR="0026306F" w:rsidRPr="00302B29" w:rsidP="00220A31">
      <w:pPr>
        <w:rPr>
          <w:rFonts w:ascii="Calibri" w:hAnsi="Calibri" w:cs="Calibri"/>
        </w:rPr>
      </w:pPr>
    </w:p>
    <w:p w:rsidR="0026306F" w:rsidRPr="00302B29">
      <w:pPr>
        <w:rPr>
          <w:rFonts w:ascii="Calibri" w:hAnsi="Calibri" w:cs="Calibri"/>
          <w:i/>
          <w:iCs/>
        </w:rPr>
      </w:pPr>
      <w:r w:rsidRPr="00302B29">
        <w:rPr>
          <w:rFonts w:ascii="Calibri" w:hAnsi="Calibri" w:cs="Calibri"/>
          <w:i/>
          <w:iCs/>
        </w:rPr>
        <w:t>September 2026</w:t>
      </w:r>
    </w:p>
    <w:sectPr>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1050296"/>
      <w:docPartObj>
        <w:docPartGallery w:val="Page Numbers (Bottom of Page)"/>
        <w:docPartUnique/>
      </w:docPartObj>
    </w:sdtPr>
    <w:sdtEndPr>
      <w:rPr>
        <w:noProof/>
      </w:rPr>
    </w:sdtEndPr>
    <w:sdtContent>
      <w:p w:rsidR="002630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306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6F">
    <w:pPr>
      <w:pStyle w:val="Header"/>
    </w:pPr>
  </w:p>
  <w:p w:rsidR="002630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E7C31"/>
    <w:multiLevelType w:val="multilevel"/>
    <w:tmpl w:val="BDDC411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AF629F"/>
    <w:multiLevelType w:val="multilevel"/>
    <w:tmpl w:val="4D90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8D6DF9"/>
    <w:multiLevelType w:val="multilevel"/>
    <w:tmpl w:val="785E4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B4305B"/>
    <w:multiLevelType w:val="multilevel"/>
    <w:tmpl w:val="A086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2E5019"/>
    <w:multiLevelType w:val="multilevel"/>
    <w:tmpl w:val="1E88A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E32FB9"/>
    <w:multiLevelType w:val="hybridMultilevel"/>
    <w:tmpl w:val="09C40A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76838C5"/>
    <w:multiLevelType w:val="multilevel"/>
    <w:tmpl w:val="4572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4D00E4"/>
    <w:multiLevelType w:val="multilevel"/>
    <w:tmpl w:val="A0A2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7A1B32"/>
    <w:multiLevelType w:val="hybridMultilevel"/>
    <w:tmpl w:val="12E8A0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006336A"/>
    <w:multiLevelType w:val="multilevel"/>
    <w:tmpl w:val="491E5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CD1BA3"/>
    <w:multiLevelType w:val="multilevel"/>
    <w:tmpl w:val="C890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636F5F"/>
    <w:multiLevelType w:val="multilevel"/>
    <w:tmpl w:val="AE8C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1674CE"/>
    <w:multiLevelType w:val="multilevel"/>
    <w:tmpl w:val="E0E0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E55093"/>
    <w:multiLevelType w:val="multilevel"/>
    <w:tmpl w:val="DF10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712B18"/>
    <w:multiLevelType w:val="hybridMultilevel"/>
    <w:tmpl w:val="E6CA83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0AB44CA"/>
    <w:multiLevelType w:val="multilevel"/>
    <w:tmpl w:val="80AE1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E92363"/>
    <w:multiLevelType w:val="multilevel"/>
    <w:tmpl w:val="7C1E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116FC7"/>
    <w:multiLevelType w:val="multilevel"/>
    <w:tmpl w:val="E0E0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45223F"/>
    <w:multiLevelType w:val="multilevel"/>
    <w:tmpl w:val="05088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B2A4E39"/>
    <w:multiLevelType w:val="multilevel"/>
    <w:tmpl w:val="6996F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38C7939"/>
    <w:multiLevelType w:val="multilevel"/>
    <w:tmpl w:val="9BCE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B56C39"/>
    <w:multiLevelType w:val="multilevel"/>
    <w:tmpl w:val="3572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B114C3"/>
    <w:multiLevelType w:val="multilevel"/>
    <w:tmpl w:val="41D4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533BE2"/>
    <w:multiLevelType w:val="multilevel"/>
    <w:tmpl w:val="2C20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64512F"/>
    <w:multiLevelType w:val="multilevel"/>
    <w:tmpl w:val="5984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D81667"/>
    <w:multiLevelType w:val="hybridMultilevel"/>
    <w:tmpl w:val="48322B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CAF3F5C"/>
    <w:multiLevelType w:val="multilevel"/>
    <w:tmpl w:val="F92E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930D58"/>
    <w:multiLevelType w:val="multilevel"/>
    <w:tmpl w:val="5A3E4F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2B55314"/>
    <w:multiLevelType w:val="multilevel"/>
    <w:tmpl w:val="E0E07C0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nsid w:val="7420463B"/>
    <w:multiLevelType w:val="multilevel"/>
    <w:tmpl w:val="EF2C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B76629"/>
    <w:multiLevelType w:val="multilevel"/>
    <w:tmpl w:val="2144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3"/>
  </w:num>
  <w:num w:numId="3">
    <w:abstractNumId w:val="26"/>
  </w:num>
  <w:num w:numId="4">
    <w:abstractNumId w:val="29"/>
  </w:num>
  <w:num w:numId="5">
    <w:abstractNumId w:val="11"/>
  </w:num>
  <w:num w:numId="6">
    <w:abstractNumId w:val="22"/>
  </w:num>
  <w:num w:numId="7">
    <w:abstractNumId w:val="21"/>
  </w:num>
  <w:num w:numId="8">
    <w:abstractNumId w:val="10"/>
  </w:num>
  <w:num w:numId="9">
    <w:abstractNumId w:val="9"/>
  </w:num>
  <w:num w:numId="10">
    <w:abstractNumId w:val="13"/>
  </w:num>
  <w:num w:numId="11">
    <w:abstractNumId w:val="1"/>
  </w:num>
  <w:num w:numId="12">
    <w:abstractNumId w:val="30"/>
  </w:num>
  <w:num w:numId="13">
    <w:abstractNumId w:val="3"/>
  </w:num>
  <w:num w:numId="14">
    <w:abstractNumId w:val="19"/>
  </w:num>
  <w:num w:numId="15">
    <w:abstractNumId w:val="4"/>
  </w:num>
  <w:num w:numId="16">
    <w:abstractNumId w:val="5"/>
  </w:num>
  <w:num w:numId="17">
    <w:abstractNumId w:val="2"/>
  </w:num>
  <w:num w:numId="18">
    <w:abstractNumId w:val="25"/>
  </w:num>
  <w:num w:numId="19">
    <w:abstractNumId w:val="24"/>
  </w:num>
  <w:num w:numId="20">
    <w:abstractNumId w:val="20"/>
  </w:num>
  <w:num w:numId="21">
    <w:abstractNumId w:val="16"/>
  </w:num>
  <w:num w:numId="22">
    <w:abstractNumId w:val="6"/>
  </w:num>
  <w:num w:numId="23">
    <w:abstractNumId w:val="7"/>
  </w:num>
  <w:num w:numId="24">
    <w:abstractNumId w:val="8"/>
  </w:num>
  <w:num w:numId="25">
    <w:abstractNumId w:val="15"/>
  </w:num>
  <w:num w:numId="26">
    <w:abstractNumId w:val="28"/>
  </w:num>
  <w:num w:numId="27">
    <w:abstractNumId w:val="14"/>
  </w:num>
  <w:num w:numId="28">
    <w:abstractNumId w:val="12"/>
  </w:num>
  <w:num w:numId="29">
    <w:abstractNumId w:val="17"/>
  </w:num>
  <w:num w:numId="30">
    <w:abstractNumId w:val="0"/>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20A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0A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0A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0A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0A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0A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A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A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A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A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0A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0A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0A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0A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0A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A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A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A31"/>
    <w:rPr>
      <w:rFonts w:eastAsiaTheme="majorEastAsia" w:cstheme="majorBidi"/>
      <w:color w:val="272727" w:themeColor="text1" w:themeTint="D8"/>
    </w:rPr>
  </w:style>
  <w:style w:type="paragraph" w:styleId="Title">
    <w:name w:val="Title"/>
    <w:basedOn w:val="Normal"/>
    <w:next w:val="Normal"/>
    <w:link w:val="TitleChar"/>
    <w:uiPriority w:val="10"/>
    <w:qFormat/>
    <w:rsid w:val="00220A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A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A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A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A31"/>
    <w:pPr>
      <w:spacing w:before="160"/>
      <w:jc w:val="center"/>
    </w:pPr>
    <w:rPr>
      <w:i/>
      <w:iCs/>
      <w:color w:val="404040" w:themeColor="text1" w:themeTint="BF"/>
    </w:rPr>
  </w:style>
  <w:style w:type="character" w:customStyle="1" w:styleId="QuoteChar">
    <w:name w:val="Quote Char"/>
    <w:basedOn w:val="DefaultParagraphFont"/>
    <w:link w:val="Quote"/>
    <w:uiPriority w:val="29"/>
    <w:rsid w:val="00220A31"/>
    <w:rPr>
      <w:i/>
      <w:iCs/>
      <w:color w:val="404040" w:themeColor="text1" w:themeTint="BF"/>
    </w:rPr>
  </w:style>
  <w:style w:type="paragraph" w:styleId="ListParagraph">
    <w:name w:val="List Paragraph"/>
    <w:basedOn w:val="Normal"/>
    <w:uiPriority w:val="34"/>
    <w:qFormat/>
    <w:rsid w:val="00220A31"/>
    <w:pPr>
      <w:ind w:left="720"/>
      <w:contextualSpacing/>
    </w:pPr>
  </w:style>
  <w:style w:type="character" w:styleId="IntenseEmphasis">
    <w:name w:val="Intense Emphasis"/>
    <w:basedOn w:val="DefaultParagraphFont"/>
    <w:uiPriority w:val="21"/>
    <w:qFormat/>
    <w:rsid w:val="00220A31"/>
    <w:rPr>
      <w:i/>
      <w:iCs/>
      <w:color w:val="2F5496" w:themeColor="accent1" w:themeShade="BF"/>
    </w:rPr>
  </w:style>
  <w:style w:type="paragraph" w:styleId="IntenseQuote">
    <w:name w:val="Intense Quote"/>
    <w:basedOn w:val="Normal"/>
    <w:next w:val="Normal"/>
    <w:link w:val="IntenseQuoteChar"/>
    <w:uiPriority w:val="30"/>
    <w:qFormat/>
    <w:rsid w:val="00220A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0A31"/>
    <w:rPr>
      <w:i/>
      <w:iCs/>
      <w:color w:val="2F5496" w:themeColor="accent1" w:themeShade="BF"/>
    </w:rPr>
  </w:style>
  <w:style w:type="character" w:styleId="IntenseReference">
    <w:name w:val="Intense Reference"/>
    <w:basedOn w:val="DefaultParagraphFont"/>
    <w:uiPriority w:val="32"/>
    <w:qFormat/>
    <w:rsid w:val="00220A31"/>
    <w:rPr>
      <w:b/>
      <w:bCs/>
      <w:smallCaps/>
      <w:color w:val="2F5496" w:themeColor="accent1" w:themeShade="BF"/>
      <w:spacing w:val="5"/>
    </w:rPr>
  </w:style>
  <w:style w:type="paragraph" w:styleId="CommentText">
    <w:name w:val="annotation text"/>
    <w:basedOn w:val="Normal"/>
    <w:link w:val="CommentTextChar"/>
    <w:uiPriority w:val="99"/>
    <w:unhideWhenUsed/>
    <w:rsid w:val="00220A31"/>
    <w:pPr>
      <w:spacing w:line="240" w:lineRule="auto"/>
    </w:pPr>
    <w:rPr>
      <w:sz w:val="20"/>
      <w:szCs w:val="20"/>
    </w:rPr>
  </w:style>
  <w:style w:type="character" w:customStyle="1" w:styleId="CommentTextChar">
    <w:name w:val="Comment Text Char"/>
    <w:basedOn w:val="DefaultParagraphFont"/>
    <w:link w:val="CommentText"/>
    <w:uiPriority w:val="99"/>
    <w:rsid w:val="00220A31"/>
    <w:rPr>
      <w:sz w:val="20"/>
      <w:szCs w:val="20"/>
    </w:rPr>
  </w:style>
  <w:style w:type="character" w:styleId="CommentReference">
    <w:name w:val="annotation reference"/>
    <w:basedOn w:val="DefaultParagraphFont"/>
    <w:uiPriority w:val="99"/>
    <w:semiHidden/>
    <w:unhideWhenUsed/>
    <w:rsid w:val="00220A31"/>
    <w:rPr>
      <w:sz w:val="16"/>
      <w:szCs w:val="16"/>
    </w:rPr>
  </w:style>
  <w:style w:type="paragraph" w:styleId="Header">
    <w:name w:val="header"/>
    <w:basedOn w:val="Normal"/>
    <w:link w:val="HeaderChar"/>
    <w:uiPriority w:val="99"/>
    <w:unhideWhenUsed/>
    <w:rsid w:val="009676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656"/>
  </w:style>
  <w:style w:type="paragraph" w:styleId="Footer">
    <w:name w:val="footer"/>
    <w:basedOn w:val="Normal"/>
    <w:link w:val="FooterChar"/>
    <w:uiPriority w:val="99"/>
    <w:unhideWhenUsed/>
    <w:rsid w:val="009676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B2153-28B3-42D6-BB73-74927ACEA16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ECA0120</dc:title>
  <cp:revision>0</cp:revision>
</cp:coreProperties>
</file>