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D1ABE" w:rsidRPr="003751B0" w:rsidP="005D1ABE">
      <w:pPr>
        <w:pStyle w:val="Heading1"/>
        <w:jc w:val="center"/>
        <w:rPr>
          <w:rFonts w:ascii="Calibri" w:hAnsi="Calibri" w:cs="Calibri"/>
          <w:b/>
          <w:bCs/>
          <w:color w:val="auto"/>
          <w:sz w:val="22"/>
          <w:szCs w:val="22"/>
        </w:rPr>
      </w:pPr>
      <w:r w:rsidRPr="003751B0">
        <w:rPr>
          <w:rFonts w:ascii="Calibri" w:hAnsi="Calibri" w:cs="Calibri"/>
          <w:b/>
          <w:bCs/>
          <w:color w:val="auto"/>
          <w:sz w:val="22"/>
          <w:szCs w:val="22"/>
        </w:rPr>
        <w:t xml:space="preserve">Written evidence by </w:t>
      </w:r>
      <w:r w:rsidRPr="003751B0">
        <w:rPr>
          <w:rFonts w:ascii="Calibri" w:hAnsi="Calibri" w:cs="Calibri"/>
          <w:b/>
          <w:bCs/>
          <w:color w:val="auto"/>
          <w:sz w:val="22"/>
          <w:szCs w:val="22"/>
        </w:rPr>
        <w:t>Anna Freud</w:t>
      </w:r>
      <w:r w:rsidRPr="003751B0">
        <w:rPr>
          <w:rFonts w:ascii="Calibri" w:hAnsi="Calibri" w:cs="Calibri"/>
          <w:b/>
          <w:bCs/>
          <w:color w:val="auto"/>
          <w:sz w:val="22"/>
          <w:szCs w:val="22"/>
        </w:rPr>
        <w:t xml:space="preserve"> (</w:t>
      </w:r>
      <w:r w:rsidRPr="003751B0">
        <w:rPr>
          <w:rFonts w:ascii="Calibri" w:hAnsi="Calibri" w:cs="Calibri"/>
          <w:b/>
          <w:bCs/>
          <w:color w:val="auto"/>
          <w:sz w:val="22"/>
          <w:szCs w:val="22"/>
        </w:rPr>
        <w:t>ECA0119</w:t>
      </w:r>
      <w:r w:rsidRPr="003751B0">
        <w:rPr>
          <w:rFonts w:ascii="Calibri" w:hAnsi="Calibri" w:cs="Calibri"/>
          <w:b/>
          <w:bCs/>
          <w:color w:val="auto"/>
          <w:sz w:val="22"/>
          <w:szCs w:val="22"/>
        </w:rPr>
        <w:t>)</w:t>
      </w:r>
    </w:p>
    <w:p w:rsidR="005D1ABE" w:rsidRPr="003751B0" w:rsidP="005D1ABE">
      <w:pPr>
        <w:rPr>
          <w:rFonts w:ascii="Calibri" w:hAnsi="Calibri" w:cs="Calibri"/>
          <w:b/>
          <w:bCs/>
          <w:sz w:val="22"/>
          <w:szCs w:val="22"/>
        </w:rPr>
      </w:pPr>
      <w:r w:rsidRPr="003751B0">
        <w:rPr>
          <w:rFonts w:ascii="Calibri" w:hAnsi="Calibri" w:cs="Calibri"/>
          <w:b/>
          <w:bCs/>
          <w:sz w:val="22"/>
          <w:szCs w:val="22"/>
        </w:rPr>
        <w:t>Education Committee</w:t>
      </w:r>
    </w:p>
    <w:p w:rsidR="005D1ABE" w:rsidRPr="003751B0" w:rsidP="005D1ABE">
      <w:pPr>
        <w:rPr>
          <w:rFonts w:ascii="Calibri" w:hAnsi="Calibri" w:cs="Calibri"/>
          <w:b/>
          <w:bCs/>
          <w:sz w:val="22"/>
          <w:szCs w:val="22"/>
        </w:rPr>
      </w:pPr>
      <w:r w:rsidRPr="003751B0">
        <w:rPr>
          <w:rFonts w:ascii="Calibri" w:eastAsia="Aptos" w:hAnsi="Calibri" w:cs="Calibri"/>
          <w:b/>
          <w:bCs/>
          <w:sz w:val="22"/>
          <w:szCs w:val="22"/>
        </w:rPr>
        <w:t>Every Child Achieving and Thriving’ White Paper</w:t>
      </w:r>
    </w:p>
    <w:p w:rsidR="00812990" w:rsidRPr="003751B0" w:rsidP="003D27FD">
      <w:pPr>
        <w:pStyle w:val="Heading1"/>
        <w:rPr>
          <w:rFonts w:ascii="Calibri" w:hAnsi="Calibri" w:cs="Calibri"/>
          <w:sz w:val="22"/>
          <w:szCs w:val="22"/>
        </w:rPr>
      </w:pPr>
      <w:r w:rsidRPr="003751B0">
        <w:rPr>
          <w:rFonts w:ascii="Calibri" w:hAnsi="Calibri" w:cs="Calibri"/>
          <w:sz w:val="22"/>
          <w:szCs w:val="22"/>
        </w:rPr>
        <w:t xml:space="preserve">About </w:t>
      </w:r>
      <w:r w:rsidRPr="003751B0">
        <w:rPr>
          <w:rFonts w:ascii="Calibri" w:hAnsi="Calibri" w:cs="Calibri"/>
          <w:sz w:val="22"/>
          <w:szCs w:val="22"/>
        </w:rPr>
        <w:t>An</w:t>
      </w:r>
      <w:r w:rsidRPr="003751B0">
        <w:rPr>
          <w:rFonts w:ascii="Calibri" w:hAnsi="Calibri" w:cs="Calibri"/>
          <w:sz w:val="22"/>
          <w:szCs w:val="22"/>
        </w:rPr>
        <w:t>na Freu</w:t>
      </w:r>
      <w:r w:rsidRPr="003751B0">
        <w:rPr>
          <w:rFonts w:ascii="Calibri" w:hAnsi="Calibri" w:cs="Calibri"/>
          <w:sz w:val="22"/>
          <w:szCs w:val="22"/>
        </w:rPr>
        <w:t>d</w:t>
      </w:r>
      <w:r w:rsidRPr="003751B0">
        <w:rPr>
          <w:rFonts w:ascii="Calibri" w:hAnsi="Calibri" w:cs="Calibri"/>
          <w:sz w:val="22"/>
          <w:szCs w:val="22"/>
        </w:rPr>
        <w:t xml:space="preserve">  </w:t>
      </w:r>
    </w:p>
    <w:p w:rsidR="00812990" w:rsidRPr="003751B0" w:rsidP="0099177E">
      <w:pPr>
        <w:rPr>
          <w:rFonts w:ascii="Calibri" w:eastAsia="Aptos" w:hAnsi="Calibri" w:cs="Calibri"/>
          <w:color w:val="000000" w:themeColor="text1"/>
          <w:sz w:val="22"/>
          <w:szCs w:val="22"/>
        </w:rPr>
      </w:pPr>
      <w:r w:rsidRPr="003751B0">
        <w:rPr>
          <w:rFonts w:ascii="Calibri" w:eastAsia="Aptos" w:hAnsi="Calibri" w:cs="Calibri"/>
          <w:color w:val="000000" w:themeColor="text1"/>
          <w:sz w:val="22"/>
          <w:szCs w:val="22"/>
        </w:rPr>
        <w:t>Anna Freud is a pioneering mental health charity, transforming care for children and young people through science, collaboration and clinical innovation. Our research sheds light on why mental health problems develop so we can design new approaches to prevention and intervention with children, young people, families and communities.</w:t>
      </w:r>
    </w:p>
    <w:p w:rsidR="00812990" w:rsidRPr="003751B0" w:rsidP="0099177E">
      <w:pPr>
        <w:rPr>
          <w:rFonts w:ascii="Calibri" w:hAnsi="Calibri" w:cs="Calibri"/>
          <w:sz w:val="22"/>
          <w:szCs w:val="22"/>
        </w:rPr>
      </w:pPr>
      <w:r w:rsidRPr="003751B0">
        <w:rPr>
          <w:rFonts w:ascii="Calibri" w:hAnsi="Calibri" w:cs="Calibri"/>
          <w:sz w:val="22"/>
          <w:szCs w:val="22"/>
        </w:rPr>
        <w:t xml:space="preserve">Drawing on our expertise as a children’s mental health charity, alongside our research and delivery experience in supporting schools to promote wellbeing, we offer evidence and recommendations </w:t>
      </w:r>
      <w:r w:rsidRPr="003751B0">
        <w:rPr>
          <w:rFonts w:ascii="Calibri" w:hAnsi="Calibri" w:cs="Calibri"/>
          <w:sz w:val="22"/>
          <w:szCs w:val="22"/>
        </w:rPr>
        <w:t xml:space="preserve">regarding </w:t>
      </w:r>
      <w:r w:rsidRPr="003751B0">
        <w:rPr>
          <w:rFonts w:ascii="Calibri" w:hAnsi="Calibri" w:cs="Calibri"/>
          <w:sz w:val="22"/>
          <w:szCs w:val="22"/>
        </w:rPr>
        <w:t xml:space="preserve">the </w:t>
      </w:r>
      <w:r w:rsidRPr="003751B0">
        <w:rPr>
          <w:rFonts w:ascii="Calibri" w:hAnsi="Calibri" w:cs="Calibri"/>
          <w:sz w:val="22"/>
          <w:szCs w:val="22"/>
        </w:rPr>
        <w:t>Whit</w:t>
      </w:r>
      <w:r w:rsidRPr="003751B0">
        <w:rPr>
          <w:rFonts w:ascii="Calibri" w:hAnsi="Calibri" w:cs="Calibri"/>
          <w:sz w:val="22"/>
          <w:szCs w:val="22"/>
        </w:rPr>
        <w:t>e</w:t>
      </w:r>
      <w:r w:rsidRPr="003751B0">
        <w:rPr>
          <w:rFonts w:ascii="Calibri" w:hAnsi="Calibri" w:cs="Calibri"/>
          <w:sz w:val="22"/>
          <w:szCs w:val="22"/>
        </w:rPr>
        <w:t xml:space="preserve"> Paper </w:t>
      </w:r>
      <w:r w:rsidRPr="003751B0">
        <w:rPr>
          <w:rFonts w:ascii="Calibri" w:hAnsi="Calibri" w:cs="Calibri"/>
          <w:sz w:val="22"/>
          <w:szCs w:val="22"/>
        </w:rPr>
        <w:t>proposal</w:t>
      </w:r>
      <w:r w:rsidRPr="003751B0">
        <w:rPr>
          <w:rFonts w:ascii="Calibri" w:hAnsi="Calibri" w:cs="Calibri"/>
          <w:sz w:val="22"/>
          <w:szCs w:val="22"/>
        </w:rPr>
        <w:t>s</w:t>
      </w:r>
      <w:r w:rsidRPr="003751B0">
        <w:rPr>
          <w:rFonts w:ascii="Calibri" w:hAnsi="Calibri" w:cs="Calibri"/>
          <w:sz w:val="22"/>
          <w:szCs w:val="22"/>
        </w:rPr>
        <w:t xml:space="preserve"> </w:t>
      </w:r>
      <w:r w:rsidRPr="003751B0">
        <w:rPr>
          <w:rFonts w:ascii="Calibri" w:hAnsi="Calibri" w:cs="Calibri"/>
          <w:sz w:val="22"/>
          <w:szCs w:val="22"/>
        </w:rPr>
        <w:t>about</w:t>
      </w:r>
      <w:r w:rsidRPr="003751B0">
        <w:rPr>
          <w:rFonts w:ascii="Calibri" w:hAnsi="Calibri" w:cs="Calibri"/>
          <w:sz w:val="22"/>
          <w:szCs w:val="22"/>
        </w:rPr>
        <w:t xml:space="preserve"> </w:t>
      </w:r>
      <w:r w:rsidRPr="003751B0">
        <w:rPr>
          <w:rFonts w:ascii="Calibri" w:hAnsi="Calibri" w:cs="Calibri"/>
          <w:sz w:val="22"/>
          <w:szCs w:val="22"/>
        </w:rPr>
        <w:t>school belonging, non-attendance, workforce support, and reducing the number of young people who are not in education, employment or training (NEET).</w:t>
      </w:r>
    </w:p>
    <w:p w:rsidR="00812990" w:rsidRPr="003751B0" w:rsidP="0099177E">
      <w:pPr>
        <w:rPr>
          <w:rFonts w:ascii="Calibri" w:hAnsi="Calibri" w:cs="Calibri"/>
          <w:sz w:val="22"/>
          <w:szCs w:val="22"/>
        </w:rPr>
      </w:pPr>
      <w:r w:rsidRPr="003751B0">
        <w:rPr>
          <w:rFonts w:ascii="Calibri" w:hAnsi="Calibri" w:cs="Calibri"/>
          <w:sz w:val="22"/>
          <w:szCs w:val="22"/>
        </w:rPr>
        <w:t>This submission reflects input from subject matter experts across our organisation and is informed by the available evidence base.</w:t>
      </w:r>
    </w:p>
    <w:p w:rsidR="00812990" w:rsidRPr="003751B0" w:rsidP="00812990">
      <w:pPr>
        <w:pStyle w:val="Heading1"/>
        <w:numPr>
          <w:ilvl w:val="0"/>
          <w:numId w:val="1"/>
        </w:numPr>
        <w:rPr>
          <w:rFonts w:ascii="Calibri" w:hAnsi="Calibri" w:cs="Calibri"/>
          <w:sz w:val="22"/>
          <w:szCs w:val="22"/>
        </w:rPr>
      </w:pPr>
      <w:r w:rsidRPr="003751B0">
        <w:rPr>
          <w:rFonts w:ascii="Calibri" w:hAnsi="Calibri" w:cs="Calibri"/>
          <w:sz w:val="22"/>
          <w:szCs w:val="22"/>
        </w:rPr>
        <w:t>Non-attendance</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The White Paper recogn</w:t>
      </w:r>
      <w:r w:rsidRPr="003751B0">
        <w:rPr>
          <w:rFonts w:ascii="Calibri" w:hAnsi="Calibri" w:cs="Calibri"/>
          <w:sz w:val="22"/>
          <w:szCs w:val="22"/>
        </w:rPr>
        <w:t>ises</w:t>
      </w:r>
      <w:r w:rsidRPr="003751B0">
        <w:rPr>
          <w:rFonts w:ascii="Calibri" w:hAnsi="Calibri" w:cs="Calibri"/>
          <w:sz w:val="22"/>
          <w:szCs w:val="22"/>
        </w:rPr>
        <w:t xml:space="preserve"> that pupils </w:t>
      </w:r>
      <w:r w:rsidRPr="003751B0">
        <w:rPr>
          <w:rFonts w:ascii="Calibri" w:hAnsi="Calibri" w:cs="Calibri"/>
          <w:sz w:val="22"/>
          <w:szCs w:val="22"/>
        </w:rPr>
        <w:t xml:space="preserve">who experience belonging and strong relationships with staff and peers </w:t>
      </w:r>
      <w:r w:rsidRPr="003751B0">
        <w:rPr>
          <w:rFonts w:ascii="Calibri" w:hAnsi="Calibri" w:cs="Calibri"/>
          <w:sz w:val="22"/>
          <w:szCs w:val="22"/>
        </w:rPr>
        <w:t>are more likely to attend</w:t>
      </w:r>
      <w:r w:rsidRPr="003751B0">
        <w:rPr>
          <w:rFonts w:ascii="Calibri" w:hAnsi="Calibri" w:cs="Calibri"/>
          <w:sz w:val="22"/>
          <w:szCs w:val="22"/>
        </w:rPr>
        <w:t xml:space="preserve"> school</w:t>
      </w:r>
      <w:r w:rsidRPr="003751B0">
        <w:rPr>
          <w:rFonts w:ascii="Calibri" w:hAnsi="Calibri" w:cs="Calibri"/>
          <w:sz w:val="22"/>
          <w:szCs w:val="22"/>
        </w:rPr>
        <w:t xml:space="preserve"> regularly. </w:t>
      </w:r>
      <w:r w:rsidRPr="003751B0">
        <w:rPr>
          <w:rFonts w:ascii="Calibri" w:hAnsi="Calibri" w:cs="Calibri"/>
          <w:sz w:val="22"/>
          <w:szCs w:val="22"/>
        </w:rPr>
        <w:t xml:space="preserve">We would further argue for </w:t>
      </w:r>
      <w:r w:rsidRPr="003751B0">
        <w:rPr>
          <w:rFonts w:ascii="Calibri" w:hAnsi="Calibri" w:cs="Calibri"/>
          <w:sz w:val="22"/>
          <w:szCs w:val="22"/>
        </w:rPr>
        <w:t>a conceptualisation of</w:t>
      </w:r>
      <w:r w:rsidRPr="003751B0">
        <w:rPr>
          <w:rFonts w:ascii="Calibri" w:hAnsi="Calibri" w:cs="Calibri"/>
          <w:sz w:val="22"/>
          <w:szCs w:val="22"/>
        </w:rPr>
        <w:t xml:space="preserve"> attendance </w:t>
      </w:r>
      <w:r w:rsidRPr="003751B0">
        <w:rPr>
          <w:rFonts w:ascii="Calibri" w:hAnsi="Calibri" w:cs="Calibri"/>
          <w:sz w:val="22"/>
          <w:szCs w:val="22"/>
        </w:rPr>
        <w:t>as an outcome of a child’s wellbeing, sense of belonging and ability to engage in education.</w:t>
      </w:r>
      <w:r w:rsidRPr="003751B0">
        <w:rPr>
          <w:rFonts w:ascii="Calibri" w:hAnsi="Calibri" w:cs="Calibri"/>
          <w:sz w:val="22"/>
          <w:szCs w:val="22"/>
        </w:rPr>
        <w:t xml:space="preserve"> </w:t>
      </w:r>
      <w:r w:rsidRPr="003751B0">
        <w:rPr>
          <w:rFonts w:ascii="Calibri" w:hAnsi="Calibri" w:cs="Calibri"/>
          <w:sz w:val="22"/>
          <w:szCs w:val="22"/>
        </w:rPr>
        <w:t>School absences reflect wider inequalities</w:t>
      </w:r>
      <w:r w:rsidRPr="003751B0">
        <w:rPr>
          <w:rFonts w:ascii="Calibri" w:hAnsi="Calibri" w:cs="Calibri"/>
          <w:sz w:val="22"/>
          <w:szCs w:val="22"/>
        </w:rPr>
        <w:t xml:space="preserve"> with a disproportionate number of students from disadvantaged regions</w:t>
      </w:r>
      <w:r w:rsidRPr="003751B0">
        <w:rPr>
          <w:rFonts w:ascii="Calibri" w:hAnsi="Calibri" w:cs="Calibri"/>
          <w:sz w:val="22"/>
          <w:szCs w:val="22"/>
        </w:rPr>
        <w:t xml:space="preserve"> having higher persistent absence rates</w:t>
      </w:r>
      <w:r w:rsidRPr="003751B0">
        <w:rPr>
          <w:rFonts w:ascii="Calibri" w:hAnsi="Calibri" w:cs="Calibri"/>
          <w:sz w:val="22"/>
          <w:szCs w:val="22"/>
        </w:rPr>
        <w:t>.</w:t>
      </w:r>
      <w:r>
        <w:rPr>
          <w:rStyle w:val="FootnoteReference"/>
          <w:rFonts w:ascii="Calibri" w:hAnsi="Calibri" w:cs="Calibri"/>
          <w:sz w:val="22"/>
          <w:szCs w:val="22"/>
        </w:rPr>
        <w:footnoteReference w:id="2"/>
      </w:r>
      <w:r w:rsidRPr="003751B0">
        <w:rPr>
          <w:rFonts w:ascii="Calibri" w:hAnsi="Calibri" w:cs="Calibri"/>
          <w:sz w:val="22"/>
          <w:szCs w:val="22"/>
        </w:rPr>
        <w:t xml:space="preserve"> </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Effective responses focus on understanding and addressing the underlying reasons for absence.</w:t>
      </w:r>
      <w:r>
        <w:rPr>
          <w:rStyle w:val="FootnoteReference"/>
          <w:rFonts w:ascii="Calibri" w:hAnsi="Calibri" w:cs="Calibri"/>
          <w:sz w:val="22"/>
          <w:szCs w:val="22"/>
        </w:rPr>
        <w:footnoteReference w:id="3"/>
      </w:r>
      <w:r w:rsidRPr="003751B0">
        <w:rPr>
          <w:rFonts w:ascii="Calibri" w:hAnsi="Calibri" w:cs="Calibri"/>
          <w:sz w:val="22"/>
          <w:szCs w:val="22"/>
        </w:rPr>
        <w:t xml:space="preserve"> An inclusive </w:t>
      </w:r>
      <w:r w:rsidRPr="003751B0">
        <w:rPr>
          <w:rFonts w:ascii="Calibri" w:hAnsi="Calibri" w:cs="Calibri"/>
          <w:sz w:val="22"/>
          <w:szCs w:val="22"/>
        </w:rPr>
        <w:t xml:space="preserve">culture fostered through a whole school approach </w:t>
      </w:r>
      <w:r w:rsidRPr="003751B0">
        <w:rPr>
          <w:rFonts w:ascii="Calibri" w:hAnsi="Calibri" w:cs="Calibri"/>
          <w:sz w:val="22"/>
          <w:szCs w:val="22"/>
        </w:rPr>
        <w:t xml:space="preserve">alongside individualised support </w:t>
      </w:r>
      <w:r w:rsidRPr="003751B0">
        <w:rPr>
          <w:rFonts w:ascii="Calibri" w:hAnsi="Calibri" w:cs="Calibri"/>
          <w:sz w:val="22"/>
          <w:szCs w:val="22"/>
        </w:rPr>
        <w:t>is necessary.</w:t>
      </w:r>
      <w:r w:rsidRPr="003751B0">
        <w:rPr>
          <w:rFonts w:ascii="Calibri" w:hAnsi="Calibri" w:cs="Calibri"/>
          <w:sz w:val="22"/>
          <w:szCs w:val="22"/>
        </w:rPr>
        <w:t xml:space="preserve"> </w:t>
      </w:r>
      <w:r w:rsidRPr="003751B0">
        <w:rPr>
          <w:rFonts w:ascii="Calibri" w:hAnsi="Calibri" w:cs="Calibri"/>
          <w:sz w:val="22"/>
          <w:szCs w:val="22"/>
        </w:rPr>
        <w:t xml:space="preserve">In theory, a new pupil engagement framework that helps schools measure and improve pupil engagement, belonging and participation is welcomed, as they are </w:t>
      </w:r>
      <w:r w:rsidRPr="003751B0">
        <w:rPr>
          <w:rFonts w:ascii="Calibri" w:hAnsi="Calibri" w:cs="Calibri"/>
          <w:sz w:val="22"/>
          <w:szCs w:val="22"/>
        </w:rPr>
        <w:t xml:space="preserve">important areas, however, it is unclear what this framework will include. </w:t>
      </w:r>
      <w:r w:rsidRPr="003751B0">
        <w:rPr>
          <w:rFonts w:ascii="Calibri" w:hAnsi="Calibri" w:cs="Calibri"/>
          <w:sz w:val="22"/>
          <w:szCs w:val="22"/>
        </w:rPr>
        <w:t>We would suggest</w:t>
      </w:r>
      <w:r w:rsidRPr="003751B0">
        <w:rPr>
          <w:rFonts w:ascii="Calibri" w:hAnsi="Calibri" w:cs="Calibri"/>
          <w:sz w:val="22"/>
          <w:szCs w:val="22"/>
        </w:rPr>
        <w:t xml:space="preserve"> it includes</w:t>
      </w:r>
      <w:r w:rsidRPr="003751B0">
        <w:rPr>
          <w:rFonts w:ascii="Calibri" w:hAnsi="Calibri" w:cs="Calibri"/>
          <w:sz w:val="22"/>
          <w:szCs w:val="22"/>
        </w:rPr>
        <w:t xml:space="preserve"> </w:t>
      </w:r>
      <w:r w:rsidRPr="003751B0">
        <w:rPr>
          <w:rFonts w:ascii="Calibri" w:hAnsi="Calibri" w:cs="Calibri"/>
          <w:sz w:val="22"/>
          <w:szCs w:val="22"/>
        </w:rPr>
        <w:t xml:space="preserve">wellbeing and mental health </w:t>
      </w:r>
      <w:r w:rsidRPr="003751B0">
        <w:rPr>
          <w:rFonts w:ascii="Calibri" w:hAnsi="Calibri" w:cs="Calibri"/>
          <w:sz w:val="22"/>
          <w:szCs w:val="22"/>
        </w:rPr>
        <w:t>alongside measures of</w:t>
      </w:r>
      <w:r w:rsidRPr="003751B0">
        <w:rPr>
          <w:rFonts w:ascii="Calibri" w:hAnsi="Calibri" w:cs="Calibri"/>
          <w:sz w:val="22"/>
          <w:szCs w:val="22"/>
        </w:rPr>
        <w:t xml:space="preserve"> belonging, motivation</w:t>
      </w:r>
      <w:r w:rsidRPr="003751B0">
        <w:rPr>
          <w:rFonts w:ascii="Calibri" w:hAnsi="Calibri" w:cs="Calibri"/>
          <w:sz w:val="22"/>
          <w:szCs w:val="22"/>
        </w:rPr>
        <w:t xml:space="preserve"> </w:t>
      </w:r>
      <w:r w:rsidRPr="003751B0">
        <w:rPr>
          <w:rFonts w:ascii="Calibri" w:hAnsi="Calibri" w:cs="Calibri"/>
          <w:sz w:val="22"/>
          <w:szCs w:val="22"/>
        </w:rPr>
        <w:t>and inclusi</w:t>
      </w:r>
      <w:r w:rsidRPr="003751B0">
        <w:rPr>
          <w:rFonts w:ascii="Calibri" w:hAnsi="Calibri" w:cs="Calibri"/>
          <w:sz w:val="22"/>
          <w:szCs w:val="22"/>
        </w:rPr>
        <w:t>ve practices th</w:t>
      </w:r>
      <w:r w:rsidRPr="003751B0">
        <w:rPr>
          <w:rFonts w:ascii="Calibri" w:hAnsi="Calibri" w:cs="Calibri"/>
          <w:sz w:val="22"/>
          <w:szCs w:val="22"/>
        </w:rPr>
        <w:t>at support the most vulnerable</w:t>
      </w:r>
      <w:r w:rsidRPr="003751B0">
        <w:rPr>
          <w:rFonts w:ascii="Calibri" w:hAnsi="Calibri" w:cs="Calibri"/>
          <w:sz w:val="22"/>
          <w:szCs w:val="22"/>
        </w:rPr>
        <w:t>.</w:t>
      </w:r>
      <w:r w:rsidRPr="003751B0">
        <w:rPr>
          <w:rFonts w:ascii="Calibri" w:hAnsi="Calibri" w:cs="Calibri"/>
          <w:sz w:val="22"/>
          <w:szCs w:val="22"/>
        </w:rPr>
        <w:t xml:space="preserve"> </w:t>
      </w:r>
      <w:r w:rsidRPr="003751B0">
        <w:rPr>
          <w:rFonts w:ascii="Calibri" w:hAnsi="Calibri" w:cs="Calibri"/>
          <w:sz w:val="22"/>
          <w:szCs w:val="22"/>
        </w:rPr>
        <w:t>Poo</w:t>
      </w:r>
      <w:r w:rsidRPr="003751B0">
        <w:rPr>
          <w:rFonts w:ascii="Calibri" w:hAnsi="Calibri" w:cs="Calibri"/>
          <w:sz w:val="22"/>
          <w:szCs w:val="22"/>
        </w:rPr>
        <w:t>r m</w:t>
      </w:r>
      <w:r w:rsidRPr="003751B0">
        <w:rPr>
          <w:rFonts w:ascii="Calibri" w:hAnsi="Calibri" w:cs="Calibri"/>
          <w:sz w:val="22"/>
          <w:szCs w:val="22"/>
        </w:rPr>
        <w:t>ental health is a precursor to poor attendance and</w:t>
      </w:r>
      <w:r w:rsidRPr="003751B0">
        <w:rPr>
          <w:rFonts w:ascii="Calibri" w:hAnsi="Calibri" w:cs="Calibri"/>
          <w:sz w:val="22"/>
          <w:szCs w:val="22"/>
        </w:rPr>
        <w:t xml:space="preserve"> </w:t>
      </w:r>
      <w:r w:rsidRPr="003751B0">
        <w:rPr>
          <w:rFonts w:ascii="Calibri" w:hAnsi="Calibri" w:cs="Calibri"/>
          <w:sz w:val="22"/>
          <w:szCs w:val="22"/>
        </w:rPr>
        <w:t xml:space="preserve">“schools can best support adolescent mental health by fostering environments where students feel connected, supported, and understood, rather than focusing only on whether they are physically present in the </w:t>
      </w:r>
      <w:r w:rsidRPr="003751B0">
        <w:rPr>
          <w:rFonts w:ascii="Calibri" w:hAnsi="Calibri" w:cs="Calibri"/>
          <w:sz w:val="22"/>
          <w:szCs w:val="22"/>
        </w:rPr>
        <w:t>building"</w:t>
      </w:r>
      <w:r w:rsidRPr="003751B0">
        <w:rPr>
          <w:rFonts w:ascii="Calibri" w:hAnsi="Calibri" w:cs="Calibri"/>
          <w:sz w:val="22"/>
          <w:szCs w:val="22"/>
        </w:rPr>
        <w:t>.</w:t>
      </w:r>
      <w:r>
        <w:rPr>
          <w:rStyle w:val="FootnoteReference"/>
          <w:rFonts w:ascii="Calibri" w:hAnsi="Calibri" w:cs="Calibri"/>
          <w:sz w:val="22"/>
          <w:szCs w:val="22"/>
        </w:rPr>
        <w:footnoteReference w:id="4"/>
      </w:r>
      <w:r w:rsidRPr="003751B0">
        <w:rPr>
          <w:rFonts w:ascii="Calibri" w:hAnsi="Calibri" w:cs="Calibri"/>
          <w:sz w:val="22"/>
          <w:szCs w:val="22"/>
        </w:rPr>
        <w:t xml:space="preserve"> </w:t>
      </w:r>
      <w:r w:rsidRPr="003751B0">
        <w:rPr>
          <w:rFonts w:ascii="Calibri" w:hAnsi="Calibri" w:cs="Calibri"/>
          <w:sz w:val="22"/>
          <w:szCs w:val="22"/>
        </w:rPr>
        <w:t>The framework provides an opportunity to ensure that schools develop a robust understanding of their pupils’ mental wellbeing, while also generating data that can strengthen system-wide intelligence on levels of need. Several successful locally delivered initiatives, including #BeeWell, demonstrate the potential of this approach</w:t>
      </w:r>
      <w:r w:rsidRPr="003751B0">
        <w:rPr>
          <w:rFonts w:ascii="Calibri" w:hAnsi="Calibri" w:cs="Calibri"/>
          <w:sz w:val="22"/>
          <w:szCs w:val="22"/>
        </w:rPr>
        <w:t xml:space="preserve"> to </w:t>
      </w:r>
      <w:r w:rsidRPr="003751B0">
        <w:rPr>
          <w:rFonts w:ascii="Calibri" w:hAnsi="Calibri" w:cs="Calibri"/>
          <w:sz w:val="22"/>
          <w:szCs w:val="22"/>
        </w:rPr>
        <w:t>improve pupil mental health.</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However, the effectiveness of the</w:t>
      </w:r>
      <w:r w:rsidRPr="003751B0">
        <w:rPr>
          <w:rFonts w:ascii="Calibri" w:hAnsi="Calibri" w:cs="Calibri"/>
          <w:sz w:val="22"/>
          <w:szCs w:val="22"/>
        </w:rPr>
        <w:t xml:space="preserve"> proposed</w:t>
      </w:r>
      <w:r w:rsidRPr="003751B0">
        <w:rPr>
          <w:rFonts w:ascii="Calibri" w:hAnsi="Calibri" w:cs="Calibri"/>
          <w:sz w:val="22"/>
          <w:szCs w:val="22"/>
        </w:rPr>
        <w:t xml:space="preserve"> framework depends on the rigorous measurement of its core constructs. Poorly specified or insufficiently validated measures would compromise the value and interpretability of the evidence generated, reducing its usefulness for both targeted action within schools and strategic planning across the wider system.</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 xml:space="preserve">School </w:t>
      </w:r>
      <w:r w:rsidRPr="003751B0">
        <w:rPr>
          <w:rFonts w:ascii="Calibri" w:hAnsi="Calibri" w:cs="Calibri"/>
          <w:sz w:val="22"/>
          <w:szCs w:val="22"/>
        </w:rPr>
        <w:t xml:space="preserve">belonging </w:t>
      </w:r>
      <w:r w:rsidRPr="003751B0">
        <w:rPr>
          <w:rFonts w:ascii="Calibri" w:hAnsi="Calibri" w:cs="Calibri"/>
          <w:sz w:val="22"/>
          <w:szCs w:val="22"/>
        </w:rPr>
        <w:t>is</w:t>
      </w:r>
      <w:r w:rsidRPr="003751B0">
        <w:rPr>
          <w:rFonts w:ascii="Calibri" w:hAnsi="Calibri" w:cs="Calibri"/>
          <w:sz w:val="22"/>
          <w:szCs w:val="22"/>
        </w:rPr>
        <w:t xml:space="preserve"> shaped by school-related factors</w:t>
      </w:r>
      <w:r w:rsidRPr="003751B0">
        <w:rPr>
          <w:rFonts w:ascii="Calibri" w:hAnsi="Calibri" w:cs="Calibri"/>
          <w:sz w:val="22"/>
          <w:szCs w:val="22"/>
        </w:rPr>
        <w:t>.</w:t>
      </w:r>
      <w:r>
        <w:rPr>
          <w:rStyle w:val="FootnoteReference"/>
          <w:rFonts w:ascii="Calibri" w:hAnsi="Calibri" w:cs="Calibri"/>
          <w:sz w:val="22"/>
          <w:szCs w:val="22"/>
        </w:rPr>
        <w:footnoteReference w:id="5"/>
      </w:r>
      <w:r w:rsidRPr="003751B0">
        <w:rPr>
          <w:rFonts w:ascii="Calibri" w:hAnsi="Calibri" w:cs="Calibri"/>
          <w:sz w:val="22"/>
          <w:szCs w:val="22"/>
        </w:rPr>
        <w:t xml:space="preserve"> </w:t>
      </w:r>
      <w:r w:rsidRPr="003751B0">
        <w:rPr>
          <w:rFonts w:ascii="Calibri" w:hAnsi="Calibri" w:cs="Calibri"/>
          <w:sz w:val="22"/>
          <w:szCs w:val="22"/>
        </w:rPr>
        <w:t>Any pupil engagement framework should therefore assess these factors alongside wellbeing.</w:t>
      </w:r>
      <w:r w:rsidRPr="003751B0">
        <w:rPr>
          <w:rFonts w:ascii="Calibri" w:hAnsi="Calibri" w:cs="Calibri"/>
          <w:sz w:val="22"/>
          <w:szCs w:val="22"/>
        </w:rPr>
        <w:t xml:space="preserve"> </w:t>
      </w:r>
      <w:r w:rsidRPr="003751B0">
        <w:rPr>
          <w:rFonts w:ascii="Calibri" w:hAnsi="Calibri" w:cs="Calibri"/>
          <w:sz w:val="22"/>
          <w:szCs w:val="22"/>
        </w:rPr>
        <w:t xml:space="preserve">To make this data </w:t>
      </w:r>
      <w:r w:rsidRPr="003751B0">
        <w:rPr>
          <w:rFonts w:ascii="Calibri" w:hAnsi="Calibri" w:cs="Calibri"/>
          <w:sz w:val="22"/>
          <w:szCs w:val="22"/>
        </w:rPr>
        <w:t xml:space="preserve">more </w:t>
      </w:r>
      <w:r w:rsidRPr="003751B0">
        <w:rPr>
          <w:rFonts w:ascii="Calibri" w:hAnsi="Calibri" w:cs="Calibri"/>
          <w:sz w:val="22"/>
          <w:szCs w:val="22"/>
        </w:rPr>
        <w:t xml:space="preserve">meaningful, schools should be able to link framework findings with their existing school systems. This would allow them to examine patterns for vulnerable groups and use the data for both inclusion and prevention. </w:t>
      </w:r>
      <w:r w:rsidRPr="003751B0">
        <w:rPr>
          <w:rFonts w:ascii="Calibri" w:hAnsi="Calibri" w:cs="Calibri"/>
          <w:sz w:val="22"/>
          <w:szCs w:val="22"/>
        </w:rPr>
        <w:t>Research with autistic girls in mainstream secondary schools highlights the importance of recognising children who are effectively “missing from school before they are missing from school</w:t>
      </w:r>
      <w:r w:rsidRPr="003751B0">
        <w:rPr>
          <w:rFonts w:ascii="Calibri" w:hAnsi="Calibri" w:cs="Calibri"/>
          <w:sz w:val="22"/>
          <w:szCs w:val="22"/>
        </w:rPr>
        <w:t>.</w:t>
      </w:r>
      <w:r w:rsidRPr="003751B0">
        <w:rPr>
          <w:rFonts w:ascii="Calibri" w:hAnsi="Calibri" w:cs="Calibri"/>
          <w:sz w:val="22"/>
          <w:szCs w:val="22"/>
        </w:rPr>
        <w:t>”</w:t>
      </w:r>
      <w:r w:rsidRPr="003751B0">
        <w:rPr>
          <w:rFonts w:ascii="Calibri" w:hAnsi="Calibri" w:cs="Calibri"/>
          <w:sz w:val="22"/>
          <w:szCs w:val="22"/>
        </w:rPr>
        <w:t xml:space="preserve"> Many pupils experience significant distress and disengagement long before persistent absence becomes visible in attendance data.</w:t>
      </w:r>
      <w:r>
        <w:rPr>
          <w:rStyle w:val="FootnoteReference"/>
          <w:rFonts w:ascii="Calibri" w:hAnsi="Calibri" w:cs="Calibri"/>
          <w:sz w:val="22"/>
          <w:szCs w:val="22"/>
        </w:rPr>
        <w:footnoteReference w:id="6"/>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The White Paper rightly identifies a need for strengthened support for the transition from primary to secondary school</w:t>
      </w:r>
      <w:r w:rsidRPr="003751B0">
        <w:rPr>
          <w:rFonts w:ascii="Calibri" w:hAnsi="Calibri" w:cs="Calibri"/>
          <w:sz w:val="22"/>
          <w:szCs w:val="22"/>
        </w:rPr>
        <w:t>, a time when engagement often declines.</w:t>
      </w:r>
      <w:r>
        <w:rPr>
          <w:rStyle w:val="FootnoteReference"/>
          <w:rFonts w:ascii="Calibri" w:hAnsi="Calibri" w:cs="Calibri"/>
          <w:sz w:val="22"/>
          <w:szCs w:val="22"/>
        </w:rPr>
        <w:footnoteReference w:id="7"/>
      </w:r>
      <w:r w:rsidRPr="003751B0">
        <w:rPr>
          <w:rFonts w:ascii="Calibri" w:hAnsi="Calibri" w:cs="Calibri"/>
          <w:sz w:val="22"/>
          <w:szCs w:val="22"/>
        </w:rPr>
        <w:t xml:space="preserve"> </w:t>
      </w:r>
      <w:r w:rsidRPr="003751B0">
        <w:rPr>
          <w:rFonts w:ascii="Calibri" w:hAnsi="Calibri" w:cs="Calibri"/>
          <w:sz w:val="22"/>
          <w:szCs w:val="22"/>
        </w:rPr>
        <w:t xml:space="preserve">Emerging evidence </w:t>
      </w:r>
      <w:r w:rsidRPr="003751B0">
        <w:rPr>
          <w:rFonts w:ascii="Calibri" w:hAnsi="Calibri" w:cs="Calibri"/>
          <w:sz w:val="22"/>
          <w:szCs w:val="22"/>
        </w:rPr>
        <w:t xml:space="preserve">from our own work </w:t>
      </w:r>
      <w:r w:rsidRPr="003751B0">
        <w:rPr>
          <w:rFonts w:ascii="Calibri" w:hAnsi="Calibri" w:cs="Calibri"/>
          <w:sz w:val="22"/>
          <w:szCs w:val="22"/>
        </w:rPr>
        <w:t xml:space="preserve">suggests that factors promoting agency, relatedness and competence </w:t>
      </w:r>
      <w:r w:rsidRPr="003751B0">
        <w:rPr>
          <w:rFonts w:ascii="Calibri" w:hAnsi="Calibri" w:cs="Calibri"/>
          <w:sz w:val="22"/>
          <w:szCs w:val="22"/>
        </w:rPr>
        <w:t>are</w:t>
      </w:r>
      <w:r w:rsidRPr="003751B0">
        <w:rPr>
          <w:rFonts w:ascii="Calibri" w:hAnsi="Calibri" w:cs="Calibri"/>
          <w:sz w:val="22"/>
          <w:szCs w:val="22"/>
        </w:rPr>
        <w:t xml:space="preserve"> crucial for students </w:t>
      </w:r>
      <w:r w:rsidRPr="003751B0">
        <w:rPr>
          <w:rFonts w:ascii="Calibri" w:hAnsi="Calibri" w:cs="Calibri"/>
          <w:sz w:val="22"/>
          <w:szCs w:val="22"/>
        </w:rPr>
        <w:t xml:space="preserve">as they start secondary school </w:t>
      </w:r>
      <w:r w:rsidRPr="003751B0">
        <w:rPr>
          <w:rFonts w:ascii="Calibri" w:hAnsi="Calibri" w:cs="Calibri"/>
          <w:sz w:val="22"/>
          <w:szCs w:val="22"/>
        </w:rPr>
        <w:t>and help ease the transition</w:t>
      </w:r>
      <w:r w:rsidRPr="003751B0">
        <w:rPr>
          <w:rFonts w:ascii="Calibri" w:hAnsi="Calibri" w:cs="Calibri"/>
          <w:sz w:val="22"/>
          <w:szCs w:val="22"/>
        </w:rPr>
        <w:t>.</w:t>
      </w:r>
      <w:r>
        <w:rPr>
          <w:rStyle w:val="FootnoteReference"/>
          <w:rFonts w:ascii="Calibri" w:hAnsi="Calibri" w:cs="Calibri"/>
          <w:sz w:val="22"/>
          <w:szCs w:val="22"/>
        </w:rPr>
        <w:footnoteReference w:id="8"/>
      </w:r>
      <w:r w:rsidRPr="003751B0">
        <w:rPr>
          <w:rFonts w:ascii="Calibri" w:hAnsi="Calibri" w:cs="Calibri"/>
          <w:sz w:val="22"/>
          <w:szCs w:val="22"/>
        </w:rPr>
        <w:t xml:space="preserve"> </w:t>
      </w:r>
      <w:r w:rsidRPr="003751B0">
        <w:rPr>
          <w:rFonts w:ascii="Calibri" w:hAnsi="Calibri" w:cs="Calibri"/>
          <w:sz w:val="22"/>
          <w:szCs w:val="22"/>
        </w:rPr>
        <w:t xml:space="preserve">A framework that specifically guides schools in supporting students through this </w:t>
      </w:r>
      <w:r w:rsidRPr="003751B0">
        <w:rPr>
          <w:rFonts w:ascii="Calibri" w:hAnsi="Calibri" w:cs="Calibri"/>
          <w:sz w:val="22"/>
          <w:szCs w:val="22"/>
        </w:rPr>
        <w:t>challenging transition is necessary and being developed</w:t>
      </w:r>
      <w:r w:rsidRPr="003751B0">
        <w:rPr>
          <w:rFonts w:ascii="Calibri" w:hAnsi="Calibri" w:cs="Calibri"/>
          <w:sz w:val="22"/>
          <w:szCs w:val="22"/>
        </w:rPr>
        <w:t xml:space="preserve"> based on young people’s experiences</w:t>
      </w:r>
      <w:r w:rsidRPr="003751B0">
        <w:rPr>
          <w:rFonts w:ascii="Calibri" w:hAnsi="Calibri" w:cs="Calibri"/>
          <w:sz w:val="22"/>
          <w:szCs w:val="22"/>
        </w:rPr>
        <w:t xml:space="preserve">. </w:t>
      </w:r>
      <w:r w:rsidRPr="003751B0">
        <w:rPr>
          <w:rFonts w:ascii="Calibri" w:hAnsi="Calibri" w:cs="Calibri"/>
          <w:sz w:val="22"/>
          <w:szCs w:val="22"/>
        </w:rPr>
        <w:t xml:space="preserve">For many children and young people, particularly those with SEND or neurodivergent profiles, non-attendance may reflect emotional distress linked directly to school experiences, including issues of belonging, safety, autonomy, and inclusion. </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 xml:space="preserve">Research on emotionally based school avoidance following the COVID-19 pandemic highlights the role of neurodiversity and school belonging as key factors influencing </w:t>
      </w:r>
      <w:r w:rsidRPr="003751B0">
        <w:rPr>
          <w:rFonts w:ascii="Calibri" w:hAnsi="Calibri" w:cs="Calibri"/>
          <w:sz w:val="22"/>
          <w:szCs w:val="22"/>
        </w:rPr>
        <w:t>attendance.</w:t>
      </w:r>
      <w:r w:rsidRPr="003751B0">
        <w:rPr>
          <w:rFonts w:ascii="Calibri" w:hAnsi="Calibri" w:cs="Calibri"/>
          <w:sz w:val="22"/>
          <w:szCs w:val="22"/>
          <w:vertAlign w:val="superscript"/>
        </w:rPr>
        <w:t>4</w:t>
      </w:r>
      <w:r w:rsidRPr="003751B0">
        <w:rPr>
          <w:rFonts w:ascii="Calibri" w:hAnsi="Calibri" w:cs="Calibri"/>
          <w:sz w:val="22"/>
          <w:szCs w:val="22"/>
        </w:rPr>
        <w:t xml:space="preserve"> This perspective also recognises that attendance statistics alone can mask difficulties; some pupils may attend school every day yet remain unable to access learning, stay in class, or participate meaningfully in school life. Consequently, non-attendance is often </w:t>
      </w:r>
      <w:r w:rsidRPr="003751B0">
        <w:rPr>
          <w:rFonts w:ascii="Calibri" w:hAnsi="Calibri" w:cs="Calibri"/>
          <w:sz w:val="22"/>
          <w:szCs w:val="22"/>
        </w:rPr>
        <w:t>best</w:t>
      </w:r>
      <w:r w:rsidRPr="003751B0">
        <w:rPr>
          <w:rFonts w:ascii="Calibri" w:hAnsi="Calibri" w:cs="Calibri"/>
          <w:sz w:val="22"/>
          <w:szCs w:val="22"/>
        </w:rPr>
        <w:t xml:space="preserve"> understood as a sign of unmet need.</w:t>
      </w:r>
      <w:r w:rsidRPr="003751B0">
        <w:rPr>
          <w:rFonts w:ascii="Calibri" w:hAnsi="Calibri" w:cs="Calibri"/>
          <w:sz w:val="22"/>
          <w:szCs w:val="22"/>
        </w:rPr>
        <w:t xml:space="preserve"> Attendance data and the wider framework should therefore be used as a mechanism for early identification and support, rather than as a performance measure.</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C</w:t>
      </w:r>
      <w:r w:rsidRPr="003751B0">
        <w:rPr>
          <w:rFonts w:ascii="Calibri" w:hAnsi="Calibri" w:cs="Calibri"/>
          <w:sz w:val="22"/>
          <w:szCs w:val="22"/>
        </w:rPr>
        <w:t xml:space="preserve">ritical review </w:t>
      </w:r>
      <w:r w:rsidRPr="003751B0">
        <w:rPr>
          <w:rFonts w:ascii="Calibri" w:hAnsi="Calibri" w:cs="Calibri"/>
          <w:sz w:val="22"/>
          <w:szCs w:val="22"/>
        </w:rPr>
        <w:t xml:space="preserve">of </w:t>
      </w:r>
      <w:r w:rsidRPr="003751B0">
        <w:rPr>
          <w:rFonts w:ascii="Calibri" w:hAnsi="Calibri" w:cs="Calibri"/>
          <w:sz w:val="22"/>
          <w:szCs w:val="22"/>
        </w:rPr>
        <w:t>existing practices that may be inadvertently harmful</w:t>
      </w:r>
      <w:r w:rsidRPr="003751B0">
        <w:rPr>
          <w:rFonts w:ascii="Calibri" w:hAnsi="Calibri" w:cs="Calibri"/>
          <w:sz w:val="22"/>
          <w:szCs w:val="22"/>
        </w:rPr>
        <w:t xml:space="preserve"> is needed</w:t>
      </w:r>
      <w:r w:rsidRPr="003751B0">
        <w:rPr>
          <w:rFonts w:ascii="Calibri" w:hAnsi="Calibri" w:cs="Calibri"/>
          <w:sz w:val="22"/>
          <w:szCs w:val="22"/>
        </w:rPr>
        <w:t xml:space="preserve">. </w:t>
      </w:r>
      <w:r w:rsidRPr="003751B0">
        <w:rPr>
          <w:rFonts w:ascii="Calibri" w:hAnsi="Calibri" w:cs="Calibri"/>
          <w:sz w:val="22"/>
          <w:szCs w:val="22"/>
        </w:rPr>
        <w:t>P</w:t>
      </w:r>
      <w:r w:rsidRPr="003751B0">
        <w:rPr>
          <w:rFonts w:ascii="Calibri" w:hAnsi="Calibri" w:cs="Calibri"/>
          <w:sz w:val="22"/>
          <w:szCs w:val="22"/>
        </w:rPr>
        <w:t>ractices such as zero-tolerance behaviour policies and attendance-based reward systems can have unintended consequences, disproportionately disadvantaging some groups of pupils</w:t>
      </w:r>
      <w:r w:rsidRPr="003751B0">
        <w:rPr>
          <w:rFonts w:ascii="Calibri" w:hAnsi="Calibri" w:cs="Calibri"/>
          <w:sz w:val="22"/>
          <w:szCs w:val="22"/>
        </w:rPr>
        <w:t xml:space="preserve"> </w:t>
      </w:r>
      <w:r w:rsidRPr="003751B0">
        <w:rPr>
          <w:rFonts w:ascii="Calibri" w:hAnsi="Calibri" w:cs="Calibri"/>
          <w:sz w:val="22"/>
          <w:szCs w:val="22"/>
        </w:rPr>
        <w:t>and undermin</w:t>
      </w:r>
      <w:r w:rsidRPr="003751B0">
        <w:rPr>
          <w:rFonts w:ascii="Calibri" w:hAnsi="Calibri" w:cs="Calibri"/>
          <w:sz w:val="22"/>
          <w:szCs w:val="22"/>
        </w:rPr>
        <w:t>ing</w:t>
      </w:r>
      <w:r w:rsidRPr="003751B0">
        <w:rPr>
          <w:rFonts w:ascii="Calibri" w:hAnsi="Calibri" w:cs="Calibri"/>
          <w:sz w:val="22"/>
          <w:szCs w:val="22"/>
        </w:rPr>
        <w:t xml:space="preserve"> pupils’ sense of belonging. For example,</w:t>
      </w:r>
      <w:r w:rsidRPr="003751B0">
        <w:rPr>
          <w:rFonts w:ascii="Calibri" w:hAnsi="Calibri" w:cs="Calibri"/>
          <w:sz w:val="22"/>
          <w:szCs w:val="22"/>
        </w:rPr>
        <w:t xml:space="preserve"> the #BeeWell programme, examined the prevalence and consequences of internal exclusion (isolation rooms) in mainstream secondary schools</w:t>
      </w:r>
      <w:r w:rsidRPr="003751B0">
        <w:rPr>
          <w:rFonts w:ascii="Calibri" w:hAnsi="Calibri" w:cs="Calibri"/>
          <w:sz w:val="22"/>
          <w:szCs w:val="22"/>
        </w:rPr>
        <w:t xml:space="preserve"> and</w:t>
      </w:r>
      <w:r w:rsidRPr="003751B0">
        <w:rPr>
          <w:rFonts w:ascii="Calibri" w:hAnsi="Calibri" w:cs="Calibri"/>
          <w:sz w:val="22"/>
          <w:szCs w:val="22"/>
        </w:rPr>
        <w:t xml:space="preserve"> found that older pupils, boys, LGBTQ+ young people, pupils with </w:t>
      </w:r>
      <w:r w:rsidRPr="003751B0">
        <w:rPr>
          <w:rFonts w:ascii="Calibri" w:hAnsi="Calibri" w:cs="Calibri"/>
          <w:sz w:val="22"/>
          <w:szCs w:val="22"/>
        </w:rPr>
        <w:t>SEN</w:t>
      </w:r>
      <w:r w:rsidRPr="003751B0">
        <w:rPr>
          <w:rFonts w:ascii="Calibri" w:hAnsi="Calibri" w:cs="Calibri"/>
          <w:sz w:val="22"/>
          <w:szCs w:val="22"/>
        </w:rPr>
        <w:t xml:space="preserve">, </w:t>
      </w:r>
      <w:r w:rsidRPr="003751B0">
        <w:rPr>
          <w:rFonts w:ascii="Calibri" w:hAnsi="Calibri" w:cs="Calibri"/>
          <w:sz w:val="22"/>
          <w:szCs w:val="22"/>
        </w:rPr>
        <w:t>pupils experiencing material poverty</w:t>
      </w:r>
      <w:r w:rsidRPr="003751B0">
        <w:rPr>
          <w:rFonts w:ascii="Calibri" w:hAnsi="Calibri" w:cs="Calibri"/>
          <w:sz w:val="22"/>
          <w:szCs w:val="22"/>
        </w:rPr>
        <w:t>, and pupils from minoritised ethnic groups were disproportionately subjected to internal exclusion.</w:t>
      </w:r>
      <w:r>
        <w:rPr>
          <w:rStyle w:val="FootnoteReference"/>
          <w:rFonts w:ascii="Calibri" w:hAnsi="Calibri" w:cs="Calibri"/>
          <w:sz w:val="22"/>
          <w:szCs w:val="22"/>
        </w:rPr>
        <w:footnoteReference w:id="9"/>
      </w:r>
      <w:r w:rsidRPr="003751B0">
        <w:rPr>
          <w:rFonts w:ascii="Calibri" w:hAnsi="Calibri" w:cs="Calibri"/>
          <w:sz w:val="22"/>
          <w:szCs w:val="22"/>
        </w:rPr>
        <w:t xml:space="preserve"> </w:t>
      </w:r>
      <w:r w:rsidRPr="003751B0">
        <w:rPr>
          <w:rFonts w:ascii="Calibri" w:hAnsi="Calibri" w:cs="Calibri"/>
          <w:sz w:val="22"/>
          <w:szCs w:val="22"/>
        </w:rPr>
        <w:t>I</w:t>
      </w:r>
      <w:r w:rsidRPr="003751B0">
        <w:rPr>
          <w:rFonts w:ascii="Calibri" w:hAnsi="Calibri" w:cs="Calibri"/>
          <w:sz w:val="22"/>
          <w:szCs w:val="22"/>
        </w:rPr>
        <w:t xml:space="preserve">nternal exclusion was associated with significantly poorer school belonging, weaker relationships with school staff, and, among girls, lower mental wellbeing. The authors conclude that internal exclusion is a widespread practice that is likely to be both discriminatory and harmful, highlighting the need for </w:t>
      </w:r>
      <w:r w:rsidRPr="003751B0">
        <w:rPr>
          <w:rFonts w:ascii="Calibri" w:hAnsi="Calibri" w:cs="Calibri"/>
          <w:sz w:val="22"/>
          <w:szCs w:val="22"/>
        </w:rPr>
        <w:t>a rethink</w:t>
      </w:r>
      <w:r w:rsidRPr="003751B0">
        <w:rPr>
          <w:rFonts w:ascii="Calibri" w:hAnsi="Calibri" w:cs="Calibri"/>
          <w:sz w:val="22"/>
          <w:szCs w:val="22"/>
        </w:rPr>
        <w:t xml:space="preserve"> of</w:t>
      </w:r>
      <w:r w:rsidRPr="003751B0">
        <w:rPr>
          <w:rFonts w:ascii="Calibri" w:hAnsi="Calibri" w:cs="Calibri"/>
          <w:sz w:val="22"/>
          <w:szCs w:val="22"/>
        </w:rPr>
        <w:t xml:space="preserve"> be</w:t>
      </w:r>
      <w:r w:rsidRPr="003751B0">
        <w:rPr>
          <w:rFonts w:ascii="Calibri" w:hAnsi="Calibri" w:cs="Calibri"/>
          <w:sz w:val="22"/>
          <w:szCs w:val="22"/>
        </w:rPr>
        <w:t>haviour management</w:t>
      </w:r>
      <w:r w:rsidRPr="003751B0">
        <w:rPr>
          <w:rFonts w:ascii="Calibri" w:hAnsi="Calibri" w:cs="Calibri"/>
          <w:sz w:val="22"/>
          <w:szCs w:val="22"/>
        </w:rPr>
        <w:t xml:space="preserve"> in secondary schools</w:t>
      </w:r>
      <w:r w:rsidRPr="003751B0">
        <w:rPr>
          <w:rFonts w:ascii="Calibri" w:hAnsi="Calibri" w:cs="Calibri"/>
          <w:sz w:val="22"/>
          <w:szCs w:val="22"/>
        </w:rPr>
        <w:t>.</w:t>
      </w:r>
      <w:r w:rsidRPr="003751B0">
        <w:rPr>
          <w:rFonts w:ascii="Calibri" w:hAnsi="Calibri" w:cs="Calibri"/>
          <w:sz w:val="22"/>
          <w:szCs w:val="22"/>
          <w:vertAlign w:val="superscript"/>
        </w:rPr>
        <w:t>8</w:t>
      </w:r>
      <w:r w:rsidRPr="003751B0">
        <w:rPr>
          <w:rFonts w:ascii="Calibri" w:hAnsi="Calibri" w:cs="Calibri"/>
          <w:sz w:val="22"/>
          <w:szCs w:val="22"/>
        </w:rPr>
        <w:t xml:space="preserve"> </w:t>
      </w:r>
      <w:r w:rsidRPr="003751B0">
        <w:rPr>
          <w:rFonts w:ascii="Calibri" w:hAnsi="Calibri" w:cs="Calibri"/>
          <w:sz w:val="22"/>
          <w:szCs w:val="22"/>
        </w:rPr>
        <w:t xml:space="preserve">The framework should therefore support schools to move beyond compliance-focused responses and instead </w:t>
      </w:r>
      <w:r w:rsidRPr="003751B0">
        <w:rPr>
          <w:rFonts w:ascii="Calibri" w:hAnsi="Calibri" w:cs="Calibri"/>
          <w:sz w:val="22"/>
          <w:szCs w:val="22"/>
        </w:rPr>
        <w:t>identify underlying needs, taking account of wider systemic pressures and enabling tailored, supportive interventions.</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 xml:space="preserve">While </w:t>
      </w:r>
      <w:r w:rsidRPr="003751B0">
        <w:rPr>
          <w:rFonts w:ascii="Calibri" w:hAnsi="Calibri" w:cs="Calibri"/>
          <w:sz w:val="22"/>
          <w:szCs w:val="22"/>
        </w:rPr>
        <w:t>F</w:t>
      </w:r>
      <w:r w:rsidRPr="003751B0">
        <w:rPr>
          <w:rFonts w:ascii="Calibri" w:hAnsi="Calibri" w:cs="Calibri"/>
          <w:sz w:val="22"/>
          <w:szCs w:val="22"/>
        </w:rPr>
        <w:t xml:space="preserve">amily </w:t>
      </w:r>
      <w:r w:rsidRPr="003751B0">
        <w:rPr>
          <w:rFonts w:ascii="Calibri" w:hAnsi="Calibri" w:cs="Calibri"/>
          <w:sz w:val="22"/>
          <w:szCs w:val="22"/>
        </w:rPr>
        <w:t>F</w:t>
      </w:r>
      <w:r w:rsidRPr="003751B0">
        <w:rPr>
          <w:rFonts w:ascii="Calibri" w:hAnsi="Calibri" w:cs="Calibri"/>
          <w:sz w:val="22"/>
          <w:szCs w:val="22"/>
        </w:rPr>
        <w:t xml:space="preserve">irst </w:t>
      </w:r>
      <w:r w:rsidRPr="003751B0">
        <w:rPr>
          <w:rFonts w:ascii="Calibri" w:hAnsi="Calibri" w:cs="Calibri"/>
          <w:sz w:val="22"/>
          <w:szCs w:val="22"/>
        </w:rPr>
        <w:t>P</w:t>
      </w:r>
      <w:r w:rsidRPr="003751B0">
        <w:rPr>
          <w:rFonts w:ascii="Calibri" w:hAnsi="Calibri" w:cs="Calibri"/>
          <w:sz w:val="22"/>
          <w:szCs w:val="22"/>
        </w:rPr>
        <w:t>artnerships may be helpful</w:t>
      </w:r>
      <w:r w:rsidRPr="003751B0">
        <w:rPr>
          <w:rFonts w:ascii="Calibri" w:hAnsi="Calibri" w:cs="Calibri"/>
          <w:sz w:val="22"/>
          <w:szCs w:val="22"/>
        </w:rPr>
        <w:t xml:space="preserve"> in supporting attendance</w:t>
      </w:r>
      <w:r w:rsidRPr="003751B0">
        <w:rPr>
          <w:rFonts w:ascii="Calibri" w:hAnsi="Calibri" w:cs="Calibri"/>
          <w:sz w:val="22"/>
          <w:szCs w:val="22"/>
        </w:rPr>
        <w:t>, learning from previous national programmes such as the Mental Health in Schools and Colleges Link Programme</w:t>
      </w:r>
      <w:r w:rsidRPr="003751B0">
        <w:rPr>
          <w:rFonts w:ascii="Calibri" w:hAnsi="Calibri" w:cs="Calibri"/>
          <w:sz w:val="22"/>
          <w:szCs w:val="22"/>
        </w:rPr>
        <w:t xml:space="preserve"> need</w:t>
      </w:r>
      <w:r w:rsidRPr="003751B0">
        <w:rPr>
          <w:rFonts w:ascii="Calibri" w:hAnsi="Calibri" w:cs="Calibri"/>
          <w:sz w:val="22"/>
          <w:szCs w:val="22"/>
        </w:rPr>
        <w:t>s</w:t>
      </w:r>
      <w:r w:rsidRPr="003751B0">
        <w:rPr>
          <w:rFonts w:ascii="Calibri" w:hAnsi="Calibri" w:cs="Calibri"/>
          <w:sz w:val="22"/>
          <w:szCs w:val="22"/>
        </w:rPr>
        <w:t xml:space="preserve"> to be highlighted</w:t>
      </w:r>
      <w:r w:rsidRPr="003751B0">
        <w:rPr>
          <w:rFonts w:ascii="Calibri" w:hAnsi="Calibri" w:cs="Calibri"/>
          <w:sz w:val="22"/>
          <w:szCs w:val="22"/>
        </w:rPr>
        <w:t>.</w:t>
      </w:r>
      <w:r>
        <w:rPr>
          <w:rStyle w:val="FootnoteReference"/>
          <w:rFonts w:ascii="Calibri" w:hAnsi="Calibri" w:cs="Calibri"/>
          <w:sz w:val="22"/>
          <w:szCs w:val="22"/>
        </w:rPr>
        <w:footnoteReference w:id="10"/>
      </w:r>
      <w:r w:rsidRPr="003751B0">
        <w:rPr>
          <w:rFonts w:ascii="Calibri" w:hAnsi="Calibri" w:cs="Calibri"/>
          <w:sz w:val="22"/>
          <w:szCs w:val="22"/>
        </w:rPr>
        <w:t xml:space="preserve"> Many local areas </w:t>
      </w:r>
      <w:r w:rsidRPr="003751B0">
        <w:rPr>
          <w:rFonts w:ascii="Calibri" w:hAnsi="Calibri" w:cs="Calibri"/>
          <w:sz w:val="22"/>
          <w:szCs w:val="22"/>
        </w:rPr>
        <w:t>face</w:t>
      </w:r>
      <w:r w:rsidRPr="003751B0">
        <w:rPr>
          <w:rFonts w:ascii="Calibri" w:hAnsi="Calibri" w:cs="Calibri"/>
          <w:sz w:val="22"/>
          <w:szCs w:val="22"/>
        </w:rPr>
        <w:t xml:space="preserve"> significant</w:t>
      </w:r>
      <w:r w:rsidRPr="003751B0">
        <w:rPr>
          <w:rFonts w:ascii="Calibri" w:hAnsi="Calibri" w:cs="Calibri"/>
          <w:sz w:val="22"/>
          <w:szCs w:val="22"/>
        </w:rPr>
        <w:t xml:space="preserve"> barriers to interagency working. </w:t>
      </w:r>
      <w:r w:rsidRPr="003751B0">
        <w:rPr>
          <w:rFonts w:ascii="Calibri" w:hAnsi="Calibri" w:cs="Calibri"/>
          <w:sz w:val="22"/>
          <w:szCs w:val="22"/>
        </w:rPr>
        <w:t xml:space="preserve">Aspects like referral pathways, </w:t>
      </w:r>
      <w:r w:rsidRPr="003751B0">
        <w:rPr>
          <w:rFonts w:ascii="Calibri" w:hAnsi="Calibri" w:cs="Calibri"/>
          <w:sz w:val="22"/>
          <w:szCs w:val="22"/>
        </w:rPr>
        <w:t>communication, and shared-decision making need to be addressed and local areas need support to develop and action plans</w:t>
      </w:r>
      <w:r w:rsidRPr="003751B0">
        <w:rPr>
          <w:rFonts w:ascii="Calibri" w:hAnsi="Calibri" w:cs="Calibri"/>
          <w:sz w:val="22"/>
          <w:szCs w:val="22"/>
        </w:rPr>
        <w:t xml:space="preserve"> </w:t>
      </w:r>
      <w:r w:rsidRPr="003751B0">
        <w:rPr>
          <w:rFonts w:ascii="Calibri" w:hAnsi="Calibri" w:cs="Calibri"/>
          <w:sz w:val="22"/>
          <w:szCs w:val="22"/>
        </w:rPr>
        <w:t>to b</w:t>
      </w:r>
      <w:r w:rsidRPr="003751B0">
        <w:rPr>
          <w:rFonts w:ascii="Calibri" w:hAnsi="Calibri" w:cs="Calibri"/>
          <w:sz w:val="22"/>
          <w:szCs w:val="22"/>
        </w:rPr>
        <w:t xml:space="preserve">uild trusted relationships </w:t>
      </w:r>
      <w:r w:rsidRPr="003751B0">
        <w:rPr>
          <w:rFonts w:ascii="Calibri" w:hAnsi="Calibri" w:cs="Calibri"/>
          <w:sz w:val="22"/>
          <w:szCs w:val="22"/>
        </w:rPr>
        <w:t xml:space="preserve">and improve communication </w:t>
      </w:r>
      <w:r w:rsidRPr="003751B0">
        <w:rPr>
          <w:rFonts w:ascii="Calibri" w:hAnsi="Calibri" w:cs="Calibri"/>
          <w:sz w:val="22"/>
          <w:szCs w:val="22"/>
        </w:rPr>
        <w:t>between schools, children, young people, and families</w:t>
      </w:r>
      <w:r w:rsidRPr="003751B0">
        <w:rPr>
          <w:rFonts w:ascii="Calibri" w:hAnsi="Calibri" w:cs="Calibri"/>
          <w:sz w:val="22"/>
          <w:szCs w:val="22"/>
        </w:rPr>
        <w:t xml:space="preserve"> and the wider </w:t>
      </w:r>
      <w:r w:rsidRPr="003751B0">
        <w:rPr>
          <w:rFonts w:ascii="Calibri" w:hAnsi="Calibri" w:cs="Calibri"/>
          <w:sz w:val="22"/>
          <w:szCs w:val="22"/>
        </w:rPr>
        <w:t>community</w:t>
      </w:r>
      <w:r w:rsidRPr="003751B0">
        <w:rPr>
          <w:rFonts w:ascii="Calibri" w:hAnsi="Calibri" w:cs="Calibri"/>
          <w:sz w:val="22"/>
          <w:szCs w:val="22"/>
        </w:rPr>
        <w:t>. L</w:t>
      </w:r>
      <w:r w:rsidRPr="003751B0">
        <w:rPr>
          <w:rFonts w:ascii="Calibri" w:hAnsi="Calibri" w:cs="Calibri"/>
          <w:sz w:val="22"/>
          <w:szCs w:val="22"/>
        </w:rPr>
        <w:t>isten</w:t>
      </w:r>
      <w:r w:rsidRPr="003751B0">
        <w:rPr>
          <w:rFonts w:ascii="Calibri" w:hAnsi="Calibri" w:cs="Calibri"/>
          <w:sz w:val="22"/>
          <w:szCs w:val="22"/>
        </w:rPr>
        <w:t>ing</w:t>
      </w:r>
      <w:r w:rsidRPr="003751B0">
        <w:rPr>
          <w:rFonts w:ascii="Calibri" w:hAnsi="Calibri" w:cs="Calibri"/>
          <w:sz w:val="22"/>
          <w:szCs w:val="22"/>
        </w:rPr>
        <w:t xml:space="preserve"> to the voices and experiences of children and </w:t>
      </w:r>
      <w:r w:rsidRPr="003751B0">
        <w:rPr>
          <w:rFonts w:ascii="Calibri" w:hAnsi="Calibri" w:cs="Calibri"/>
          <w:sz w:val="22"/>
          <w:szCs w:val="22"/>
        </w:rPr>
        <w:t>families is key</w:t>
      </w:r>
      <w:r w:rsidRPr="003751B0">
        <w:rPr>
          <w:rFonts w:ascii="Calibri" w:hAnsi="Calibri" w:cs="Calibri"/>
          <w:sz w:val="22"/>
          <w:szCs w:val="22"/>
        </w:rPr>
        <w:t>.</w:t>
      </w:r>
    </w:p>
    <w:p w:rsidR="00812990" w:rsidRPr="003751B0" w:rsidP="00812990">
      <w:pPr>
        <w:pStyle w:val="Heading1"/>
        <w:numPr>
          <w:ilvl w:val="0"/>
          <w:numId w:val="1"/>
        </w:numPr>
        <w:rPr>
          <w:rFonts w:ascii="Calibri" w:hAnsi="Calibri" w:cs="Calibri"/>
          <w:sz w:val="22"/>
          <w:szCs w:val="22"/>
        </w:rPr>
      </w:pPr>
      <w:r w:rsidRPr="003751B0">
        <w:rPr>
          <w:rFonts w:ascii="Calibri" w:hAnsi="Calibri" w:cs="Calibri"/>
          <w:sz w:val="22"/>
          <w:szCs w:val="22"/>
        </w:rPr>
        <w:t>Belonging and engagement</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 xml:space="preserve">Schools promote belonging and engagement when every child feels safe, valued, respected, heard, and able to participate fully in school life. </w:t>
      </w:r>
      <w:r w:rsidRPr="003751B0">
        <w:rPr>
          <w:rFonts w:ascii="Calibri" w:hAnsi="Calibri" w:cs="Calibri"/>
          <w:sz w:val="22"/>
          <w:szCs w:val="22"/>
        </w:rPr>
        <w:t>T</w:t>
      </w:r>
      <w:r w:rsidRPr="003751B0">
        <w:rPr>
          <w:rFonts w:ascii="Calibri" w:hAnsi="Calibri" w:cs="Calibri"/>
          <w:sz w:val="22"/>
          <w:szCs w:val="22"/>
        </w:rPr>
        <w:t xml:space="preserve">here is robust data which supports </w:t>
      </w:r>
      <w:r w:rsidRPr="003751B0">
        <w:rPr>
          <w:rFonts w:ascii="Calibri" w:hAnsi="Calibri" w:cs="Calibri"/>
          <w:sz w:val="22"/>
          <w:szCs w:val="22"/>
        </w:rPr>
        <w:t xml:space="preserve">prioritising </w:t>
      </w:r>
      <w:r w:rsidRPr="003751B0">
        <w:rPr>
          <w:rFonts w:ascii="Calibri" w:hAnsi="Calibri" w:cs="Calibri"/>
          <w:sz w:val="22"/>
          <w:szCs w:val="22"/>
        </w:rPr>
        <w:t>relationships, inclusive cultures, and meaningful opportunities for participation</w:t>
      </w:r>
      <w:r w:rsidRPr="003751B0">
        <w:rPr>
          <w:rFonts w:ascii="Calibri" w:hAnsi="Calibri" w:cs="Calibri"/>
          <w:sz w:val="22"/>
          <w:szCs w:val="22"/>
        </w:rPr>
        <w:t>.</w:t>
      </w:r>
      <w:r w:rsidRPr="003751B0">
        <w:rPr>
          <w:rFonts w:ascii="Calibri" w:hAnsi="Calibri" w:cs="Calibri"/>
          <w:sz w:val="22"/>
          <w:szCs w:val="22"/>
          <w:vertAlign w:val="superscript"/>
        </w:rPr>
        <w:t>2,6</w:t>
      </w:r>
      <w:r w:rsidRPr="003751B0">
        <w:rPr>
          <w:rFonts w:ascii="Calibri" w:hAnsi="Calibri" w:cs="Calibri"/>
          <w:sz w:val="22"/>
          <w:szCs w:val="22"/>
          <w:vertAlign w:val="superscript"/>
        </w:rPr>
        <w:t xml:space="preserve"> </w:t>
      </w:r>
      <w:r w:rsidRPr="003751B0">
        <w:rPr>
          <w:rFonts w:ascii="Calibri" w:hAnsi="Calibri" w:cs="Calibri"/>
          <w:sz w:val="22"/>
          <w:szCs w:val="22"/>
        </w:rPr>
        <w:t xml:space="preserve">It is essential that the new pupil engagement framework takes this evidence </w:t>
      </w:r>
      <w:r w:rsidRPr="003751B0">
        <w:rPr>
          <w:rFonts w:ascii="Calibri" w:hAnsi="Calibri" w:cs="Calibri"/>
          <w:sz w:val="22"/>
          <w:szCs w:val="22"/>
        </w:rPr>
        <w:t>into account</w:t>
      </w:r>
      <w:r w:rsidRPr="003751B0">
        <w:rPr>
          <w:rFonts w:ascii="Calibri" w:hAnsi="Calibri" w:cs="Calibri"/>
          <w:sz w:val="22"/>
          <w:szCs w:val="22"/>
        </w:rPr>
        <w:t xml:space="preserve"> and provides a </w:t>
      </w:r>
      <w:r w:rsidRPr="003751B0">
        <w:rPr>
          <w:rFonts w:ascii="Calibri" w:hAnsi="Calibri" w:cs="Calibri"/>
          <w:sz w:val="22"/>
          <w:szCs w:val="22"/>
        </w:rPr>
        <w:t>shared, practical definition of belonging.</w:t>
      </w:r>
      <w:r>
        <w:rPr>
          <w:rStyle w:val="FootnoteReference"/>
          <w:rFonts w:ascii="Calibri" w:hAnsi="Calibri" w:cs="Calibri"/>
          <w:sz w:val="22"/>
          <w:szCs w:val="22"/>
        </w:rPr>
        <w:footnoteReference w:id="11"/>
      </w:r>
      <w:r w:rsidRPr="003751B0">
        <w:rPr>
          <w:rFonts w:ascii="Calibri" w:hAnsi="Calibri" w:cs="Calibri"/>
          <w:sz w:val="22"/>
          <w:szCs w:val="22"/>
        </w:rPr>
        <w:t xml:space="preserve"> </w:t>
      </w:r>
      <w:r w:rsidRPr="003751B0">
        <w:rPr>
          <w:rFonts w:ascii="Calibri" w:hAnsi="Calibri" w:cs="Calibri"/>
          <w:sz w:val="22"/>
          <w:szCs w:val="22"/>
        </w:rPr>
        <w:t>Allen p</w:t>
      </w:r>
      <w:r w:rsidRPr="003751B0">
        <w:rPr>
          <w:rFonts w:ascii="Calibri" w:hAnsi="Calibri" w:cs="Calibri"/>
          <w:sz w:val="22"/>
          <w:szCs w:val="22"/>
        </w:rPr>
        <w:t>roposes a framework of school belonging</w:t>
      </w:r>
      <w:r w:rsidRPr="003751B0">
        <w:rPr>
          <w:rFonts w:ascii="Calibri" w:hAnsi="Calibri" w:cs="Calibri"/>
          <w:sz w:val="22"/>
          <w:szCs w:val="22"/>
        </w:rPr>
        <w:t xml:space="preserve"> </w:t>
      </w:r>
      <w:r w:rsidRPr="003751B0">
        <w:rPr>
          <w:rFonts w:ascii="Calibri" w:hAnsi="Calibri" w:cs="Calibri"/>
          <w:sz w:val="22"/>
          <w:szCs w:val="22"/>
        </w:rPr>
        <w:t xml:space="preserve">built through the daily experiences and interactions that shape school culture. Consistent relational support, positive peer relationships, inclusive practices and opportunities for meaningful participation all contribute to belonging. </w:t>
      </w:r>
      <w:r w:rsidRPr="003751B0">
        <w:rPr>
          <w:rFonts w:ascii="Calibri" w:hAnsi="Calibri" w:cs="Calibri"/>
          <w:sz w:val="22"/>
          <w:szCs w:val="22"/>
        </w:rPr>
        <w:t>I</w:t>
      </w:r>
      <w:r w:rsidRPr="003751B0">
        <w:rPr>
          <w:rFonts w:ascii="Calibri" w:hAnsi="Calibri" w:cs="Calibri"/>
          <w:sz w:val="22"/>
          <w:szCs w:val="22"/>
        </w:rPr>
        <w:t xml:space="preserve">ntentional fostering </w:t>
      </w:r>
      <w:r w:rsidRPr="003751B0">
        <w:rPr>
          <w:rFonts w:ascii="Calibri" w:hAnsi="Calibri" w:cs="Calibri"/>
          <w:sz w:val="22"/>
          <w:szCs w:val="22"/>
        </w:rPr>
        <w:t xml:space="preserve">of </w:t>
      </w:r>
      <w:r w:rsidRPr="003751B0">
        <w:rPr>
          <w:rFonts w:ascii="Calibri" w:hAnsi="Calibri" w:cs="Calibri"/>
          <w:sz w:val="22"/>
          <w:szCs w:val="22"/>
        </w:rPr>
        <w:t xml:space="preserve">environments in which </w:t>
      </w:r>
      <w:r w:rsidRPr="003751B0">
        <w:rPr>
          <w:rFonts w:ascii="Calibri" w:hAnsi="Calibri" w:cs="Calibri"/>
          <w:sz w:val="22"/>
          <w:szCs w:val="22"/>
        </w:rPr>
        <w:t>pupils</w:t>
      </w:r>
      <w:r w:rsidRPr="003751B0">
        <w:rPr>
          <w:rFonts w:ascii="Calibri" w:hAnsi="Calibri" w:cs="Calibri"/>
          <w:sz w:val="22"/>
          <w:szCs w:val="22"/>
        </w:rPr>
        <w:t xml:space="preserve"> feel connected, valued, safe, and heard</w:t>
      </w:r>
      <w:r w:rsidRPr="003751B0">
        <w:rPr>
          <w:rFonts w:ascii="Calibri" w:hAnsi="Calibri" w:cs="Calibri"/>
          <w:sz w:val="22"/>
          <w:szCs w:val="22"/>
        </w:rPr>
        <w:t xml:space="preserve"> </w:t>
      </w:r>
      <w:r w:rsidRPr="003751B0">
        <w:rPr>
          <w:rFonts w:ascii="Calibri" w:hAnsi="Calibri" w:cs="Calibri"/>
          <w:sz w:val="22"/>
          <w:szCs w:val="22"/>
        </w:rPr>
        <w:t xml:space="preserve">is needed </w:t>
      </w:r>
      <w:r w:rsidRPr="003751B0">
        <w:rPr>
          <w:rFonts w:ascii="Calibri" w:hAnsi="Calibri" w:cs="Calibri"/>
          <w:sz w:val="22"/>
          <w:szCs w:val="22"/>
        </w:rPr>
        <w:t>because</w:t>
      </w:r>
      <w:r w:rsidRPr="003751B0">
        <w:rPr>
          <w:rFonts w:ascii="Calibri" w:hAnsi="Calibri" w:cs="Calibri"/>
          <w:sz w:val="22"/>
          <w:szCs w:val="22"/>
        </w:rPr>
        <w:t xml:space="preserve"> b</w:t>
      </w:r>
      <w:r w:rsidRPr="003751B0">
        <w:rPr>
          <w:rFonts w:ascii="Calibri" w:hAnsi="Calibri" w:cs="Calibri"/>
          <w:sz w:val="22"/>
          <w:szCs w:val="22"/>
        </w:rPr>
        <w:t>elonging and wellbeing are mutually reinforcing</w:t>
      </w:r>
      <w:r w:rsidRPr="003751B0">
        <w:rPr>
          <w:rFonts w:ascii="Calibri" w:hAnsi="Calibri" w:cs="Calibri"/>
          <w:sz w:val="22"/>
          <w:szCs w:val="22"/>
        </w:rPr>
        <w:t>.</w:t>
      </w:r>
      <w:r w:rsidRPr="003751B0">
        <w:rPr>
          <w:rFonts w:ascii="Calibri" w:hAnsi="Calibri" w:cs="Calibri"/>
          <w:sz w:val="22"/>
          <w:szCs w:val="22"/>
          <w:vertAlign w:val="superscript"/>
        </w:rPr>
        <w:t>10</w:t>
      </w:r>
      <w:r w:rsidRPr="003751B0">
        <w:rPr>
          <w:rFonts w:ascii="Calibri" w:hAnsi="Calibri" w:cs="Calibri"/>
          <w:sz w:val="22"/>
          <w:szCs w:val="22"/>
        </w:rPr>
        <w:t xml:space="preserve"> </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 </w:t>
      </w:r>
      <w:r w:rsidRPr="003751B0">
        <w:rPr>
          <w:rFonts w:ascii="Calibri" w:hAnsi="Calibri" w:cs="Calibri"/>
          <w:sz w:val="22"/>
          <w:szCs w:val="22"/>
        </w:rPr>
        <w:t>C</w:t>
      </w:r>
      <w:r w:rsidRPr="003751B0">
        <w:rPr>
          <w:rFonts w:ascii="Calibri" w:hAnsi="Calibri" w:cs="Calibri"/>
          <w:sz w:val="22"/>
          <w:szCs w:val="22"/>
        </w:rPr>
        <w:t xml:space="preserve">onnectedness and belonging before the transition from primary to secondary school are associated with better </w:t>
      </w:r>
      <w:r w:rsidRPr="003751B0">
        <w:rPr>
          <w:rFonts w:ascii="Calibri" w:hAnsi="Calibri" w:cs="Calibri"/>
          <w:sz w:val="22"/>
          <w:szCs w:val="22"/>
        </w:rPr>
        <w:t xml:space="preserve">subsequent </w:t>
      </w:r>
      <w:r w:rsidRPr="003751B0">
        <w:rPr>
          <w:rFonts w:ascii="Calibri" w:hAnsi="Calibri" w:cs="Calibri"/>
          <w:sz w:val="22"/>
          <w:szCs w:val="22"/>
        </w:rPr>
        <w:t>mental health and wellbeing.</w:t>
      </w:r>
      <w:r>
        <w:rPr>
          <w:rStyle w:val="FootnoteReference"/>
          <w:rFonts w:ascii="Calibri" w:hAnsi="Calibri" w:cs="Calibri"/>
          <w:sz w:val="22"/>
          <w:szCs w:val="22"/>
        </w:rPr>
        <w:footnoteReference w:id="12"/>
      </w:r>
      <w:r w:rsidRPr="003751B0">
        <w:rPr>
          <w:rFonts w:ascii="Calibri" w:hAnsi="Calibri" w:cs="Calibri"/>
          <w:sz w:val="22"/>
          <w:szCs w:val="22"/>
        </w:rPr>
        <w:t xml:space="preserve"> </w:t>
      </w:r>
      <w:r w:rsidRPr="003751B0">
        <w:rPr>
          <w:rFonts w:ascii="Calibri" w:hAnsi="Calibri" w:cs="Calibri"/>
          <w:sz w:val="22"/>
          <w:szCs w:val="22"/>
        </w:rPr>
        <w:t>W</w:t>
      </w:r>
      <w:r w:rsidRPr="003751B0">
        <w:rPr>
          <w:rFonts w:ascii="Calibri" w:hAnsi="Calibri" w:cs="Calibri"/>
          <w:sz w:val="22"/>
          <w:szCs w:val="22"/>
        </w:rPr>
        <w:t>hen school environments support students</w:t>
      </w:r>
      <w:r w:rsidRPr="003751B0">
        <w:rPr>
          <w:rFonts w:ascii="Calibri" w:hAnsi="Calibri" w:cs="Calibri"/>
          <w:sz w:val="22"/>
          <w:szCs w:val="22"/>
        </w:rPr>
        <w:t>’</w:t>
      </w:r>
      <w:r w:rsidRPr="003751B0">
        <w:rPr>
          <w:rFonts w:ascii="Calibri" w:hAnsi="Calibri" w:cs="Calibri"/>
          <w:sz w:val="22"/>
          <w:szCs w:val="22"/>
        </w:rPr>
        <w:t xml:space="preserve"> needs for </w:t>
      </w:r>
      <w:r w:rsidRPr="003751B0">
        <w:rPr>
          <w:rFonts w:ascii="Calibri" w:hAnsi="Calibri" w:cs="Calibri"/>
          <w:sz w:val="22"/>
          <w:szCs w:val="22"/>
        </w:rPr>
        <w:t xml:space="preserve">autonomy, </w:t>
      </w:r>
      <w:r w:rsidRPr="003751B0">
        <w:rPr>
          <w:rFonts w:ascii="Calibri" w:hAnsi="Calibri" w:cs="Calibri"/>
          <w:sz w:val="22"/>
          <w:szCs w:val="22"/>
        </w:rPr>
        <w:t>competence and relatedness</w:t>
      </w:r>
      <w:r w:rsidRPr="003751B0">
        <w:rPr>
          <w:rFonts w:ascii="Calibri" w:hAnsi="Calibri" w:cs="Calibri"/>
          <w:sz w:val="22"/>
          <w:szCs w:val="22"/>
        </w:rPr>
        <w:t>,</w:t>
      </w:r>
      <w:r>
        <w:rPr>
          <w:rStyle w:val="FootnoteReference"/>
          <w:rFonts w:ascii="Calibri" w:hAnsi="Calibri" w:cs="Calibri"/>
          <w:sz w:val="22"/>
          <w:szCs w:val="22"/>
        </w:rPr>
        <w:footnoteReference w:id="13"/>
      </w:r>
      <w:r w:rsidRPr="003751B0">
        <w:rPr>
          <w:rFonts w:ascii="Calibri" w:hAnsi="Calibri" w:cs="Calibri"/>
          <w:sz w:val="22"/>
          <w:szCs w:val="22"/>
        </w:rPr>
        <w:t xml:space="preserve"> </w:t>
      </w:r>
      <w:r w:rsidRPr="003751B0">
        <w:rPr>
          <w:rFonts w:ascii="Calibri" w:hAnsi="Calibri" w:cs="Calibri"/>
          <w:sz w:val="22"/>
          <w:szCs w:val="22"/>
        </w:rPr>
        <w:t>student engag</w:t>
      </w:r>
      <w:r w:rsidRPr="003751B0">
        <w:rPr>
          <w:rFonts w:ascii="Calibri" w:hAnsi="Calibri" w:cs="Calibri"/>
          <w:sz w:val="22"/>
          <w:szCs w:val="22"/>
        </w:rPr>
        <w:t>e</w:t>
      </w:r>
      <w:r w:rsidRPr="003751B0">
        <w:rPr>
          <w:rFonts w:ascii="Calibri" w:hAnsi="Calibri" w:cs="Calibri"/>
          <w:sz w:val="22"/>
          <w:szCs w:val="22"/>
        </w:rPr>
        <w:t>ment</w:t>
      </w:r>
      <w:r w:rsidRPr="003751B0">
        <w:rPr>
          <w:rFonts w:ascii="Calibri" w:hAnsi="Calibri" w:cs="Calibri"/>
          <w:sz w:val="22"/>
          <w:szCs w:val="22"/>
        </w:rPr>
        <w:t>,</w:t>
      </w:r>
      <w:r w:rsidRPr="003751B0">
        <w:rPr>
          <w:rFonts w:ascii="Calibri" w:hAnsi="Calibri" w:cs="Calibri"/>
          <w:sz w:val="22"/>
          <w:szCs w:val="22"/>
        </w:rPr>
        <w:t xml:space="preserve"> connectedness and wellbeing is improved</w:t>
      </w:r>
      <w:r w:rsidRPr="003751B0">
        <w:rPr>
          <w:rFonts w:ascii="Calibri" w:hAnsi="Calibri" w:cs="Calibri"/>
          <w:sz w:val="22"/>
          <w:szCs w:val="22"/>
        </w:rPr>
        <w:t>.</w:t>
      </w:r>
      <w:r>
        <w:rPr>
          <w:rStyle w:val="FootnoteReference"/>
          <w:rFonts w:ascii="Calibri" w:hAnsi="Calibri" w:cs="Calibri"/>
          <w:sz w:val="22"/>
          <w:szCs w:val="22"/>
        </w:rPr>
        <w:footnoteReference w:id="14"/>
      </w:r>
      <w:r w:rsidRPr="003751B0">
        <w:rPr>
          <w:rFonts w:ascii="Calibri" w:hAnsi="Calibri" w:cs="Calibri"/>
          <w:sz w:val="22"/>
          <w:szCs w:val="22"/>
          <w:vertAlign w:val="superscript"/>
        </w:rPr>
        <w:t>,</w:t>
      </w:r>
      <w:r>
        <w:rPr>
          <w:rStyle w:val="FootnoteReference"/>
          <w:rFonts w:ascii="Calibri" w:hAnsi="Calibri" w:cs="Calibri"/>
          <w:sz w:val="22"/>
          <w:szCs w:val="22"/>
        </w:rPr>
        <w:footnoteReference w:id="15"/>
      </w:r>
      <w:r w:rsidRPr="003751B0">
        <w:rPr>
          <w:rFonts w:ascii="Calibri" w:hAnsi="Calibri" w:cs="Calibri"/>
          <w:sz w:val="22"/>
          <w:szCs w:val="22"/>
          <w:vertAlign w:val="superscript"/>
        </w:rPr>
        <w:t>,</w:t>
      </w:r>
      <w:r>
        <w:rPr>
          <w:rStyle w:val="FootnoteReference"/>
          <w:rFonts w:ascii="Calibri" w:hAnsi="Calibri" w:cs="Calibri"/>
          <w:sz w:val="22"/>
          <w:szCs w:val="22"/>
        </w:rPr>
        <w:footnoteReference w:id="16"/>
      </w:r>
      <w:r w:rsidRPr="003751B0">
        <w:rPr>
          <w:rFonts w:ascii="Calibri" w:hAnsi="Calibri" w:cs="Calibri"/>
          <w:sz w:val="22"/>
          <w:szCs w:val="22"/>
        </w:rPr>
        <w:t xml:space="preserve"> Supportive relationships with teachers and peers, opportunities for meaningful participation and clear support to build confidence and independence are all associated with stronger school connectedness and engagement</w:t>
      </w:r>
      <w:r w:rsidRPr="003751B0">
        <w:rPr>
          <w:rFonts w:ascii="Calibri" w:hAnsi="Calibri" w:cs="Calibri"/>
          <w:sz w:val="22"/>
          <w:szCs w:val="22"/>
        </w:rPr>
        <w:t>.</w:t>
      </w:r>
      <w:r w:rsidRPr="003751B0">
        <w:rPr>
          <w:rFonts w:ascii="Calibri" w:hAnsi="Calibri" w:cs="Calibri"/>
          <w:sz w:val="22"/>
          <w:szCs w:val="22"/>
          <w:vertAlign w:val="superscript"/>
        </w:rPr>
        <w:t>1</w:t>
      </w:r>
      <w:r w:rsidRPr="003751B0">
        <w:rPr>
          <w:rFonts w:ascii="Calibri" w:hAnsi="Calibri" w:cs="Calibri"/>
          <w:sz w:val="22"/>
          <w:szCs w:val="22"/>
          <w:vertAlign w:val="superscript"/>
        </w:rPr>
        <w:t>4</w:t>
      </w:r>
      <w:r w:rsidRPr="003751B0">
        <w:rPr>
          <w:rFonts w:ascii="Calibri" w:hAnsi="Calibri" w:cs="Calibri"/>
          <w:sz w:val="22"/>
          <w:szCs w:val="22"/>
          <w:vertAlign w:val="superscript"/>
        </w:rPr>
        <w:t>,1</w:t>
      </w:r>
      <w:r w:rsidRPr="003751B0">
        <w:rPr>
          <w:rFonts w:ascii="Calibri" w:hAnsi="Calibri" w:cs="Calibri"/>
          <w:sz w:val="22"/>
          <w:szCs w:val="22"/>
          <w:vertAlign w:val="superscript"/>
        </w:rPr>
        <w:t>5</w:t>
      </w:r>
      <w:r w:rsidRPr="003751B0">
        <w:rPr>
          <w:rFonts w:ascii="Calibri" w:hAnsi="Calibri" w:cs="Calibri"/>
          <w:sz w:val="22"/>
          <w:szCs w:val="22"/>
        </w:rPr>
        <w:t xml:space="preserve"> </w:t>
      </w:r>
      <w:r w:rsidRPr="003751B0">
        <w:rPr>
          <w:rFonts w:ascii="Calibri" w:hAnsi="Calibri" w:cs="Calibri"/>
          <w:sz w:val="22"/>
          <w:szCs w:val="22"/>
        </w:rPr>
        <w:t xml:space="preserve"> In contrast, highly controlling or restrictive school environments can undermine students’ autonomy and wellbeing</w:t>
      </w:r>
      <w:r w:rsidRPr="003751B0">
        <w:rPr>
          <w:rFonts w:ascii="Calibri" w:hAnsi="Calibri" w:cs="Calibri"/>
          <w:sz w:val="22"/>
          <w:szCs w:val="22"/>
        </w:rPr>
        <w:t>.</w:t>
      </w:r>
      <w:r>
        <w:rPr>
          <w:rStyle w:val="FootnoteReference"/>
          <w:rFonts w:ascii="Calibri" w:hAnsi="Calibri" w:cs="Calibri"/>
          <w:sz w:val="22"/>
          <w:szCs w:val="22"/>
        </w:rPr>
        <w:footnoteReference w:id="17"/>
      </w:r>
      <w:r w:rsidRPr="003751B0">
        <w:rPr>
          <w:rFonts w:ascii="Calibri" w:hAnsi="Calibri" w:cs="Calibri"/>
          <w:sz w:val="22"/>
          <w:szCs w:val="22"/>
        </w:rPr>
        <w:t xml:space="preserve"> </w:t>
      </w:r>
      <w:r w:rsidRPr="003751B0">
        <w:rPr>
          <w:rFonts w:ascii="Calibri" w:hAnsi="Calibri" w:cs="Calibri"/>
          <w:sz w:val="22"/>
          <w:szCs w:val="22"/>
        </w:rPr>
        <w:t>W</w:t>
      </w:r>
      <w:r w:rsidRPr="003751B0">
        <w:rPr>
          <w:rFonts w:ascii="Calibri" w:hAnsi="Calibri" w:cs="Calibri"/>
          <w:sz w:val="22"/>
          <w:szCs w:val="22"/>
        </w:rPr>
        <w:t>hen</w:t>
      </w:r>
      <w:r w:rsidRPr="003751B0">
        <w:rPr>
          <w:rFonts w:ascii="Calibri" w:hAnsi="Calibri" w:cs="Calibri"/>
          <w:sz w:val="22"/>
          <w:szCs w:val="22"/>
        </w:rPr>
        <w:t xml:space="preserve"> young people feel that they have some influence over institutional policies</w:t>
      </w:r>
      <w:r w:rsidRPr="003751B0">
        <w:rPr>
          <w:rFonts w:ascii="Calibri" w:hAnsi="Calibri" w:cs="Calibri"/>
          <w:sz w:val="22"/>
          <w:szCs w:val="22"/>
        </w:rPr>
        <w:t xml:space="preserve"> and there is c</w:t>
      </w:r>
      <w:r w:rsidRPr="003751B0">
        <w:rPr>
          <w:rFonts w:ascii="Calibri" w:hAnsi="Calibri" w:cs="Calibri"/>
          <w:sz w:val="22"/>
          <w:szCs w:val="22"/>
        </w:rPr>
        <w:t>onsistent application by school staff of collectively agreed upon disciplinary policies</w:t>
      </w:r>
      <w:r w:rsidRPr="003751B0">
        <w:rPr>
          <w:rFonts w:ascii="Calibri" w:hAnsi="Calibri" w:cs="Calibri"/>
          <w:sz w:val="22"/>
          <w:szCs w:val="22"/>
        </w:rPr>
        <w:t>, connectedness is increased and risk</w:t>
      </w:r>
      <w:r w:rsidRPr="003751B0">
        <w:rPr>
          <w:rFonts w:ascii="Calibri" w:hAnsi="Calibri" w:cs="Calibri"/>
          <w:sz w:val="22"/>
          <w:szCs w:val="22"/>
        </w:rPr>
        <w:t xml:space="preserve"> behaviour can be reduced</w:t>
      </w:r>
      <w:r w:rsidRPr="003751B0">
        <w:rPr>
          <w:rFonts w:ascii="Calibri" w:hAnsi="Calibri" w:cs="Calibri"/>
          <w:sz w:val="22"/>
          <w:szCs w:val="22"/>
        </w:rPr>
        <w:t>.</w:t>
      </w:r>
      <w:r>
        <w:rPr>
          <w:rStyle w:val="FootnoteReference"/>
          <w:rFonts w:ascii="Calibri" w:hAnsi="Calibri" w:cs="Calibri"/>
          <w:sz w:val="22"/>
          <w:szCs w:val="22"/>
        </w:rPr>
        <w:footnoteReference w:id="18"/>
      </w:r>
      <w:r w:rsidRPr="003751B0">
        <w:rPr>
          <w:rFonts w:ascii="Calibri" w:hAnsi="Calibri" w:cs="Calibri"/>
          <w:sz w:val="22"/>
          <w:szCs w:val="22"/>
        </w:rPr>
        <w:t xml:space="preserve"> </w:t>
      </w:r>
      <w:r w:rsidRPr="003751B0">
        <w:rPr>
          <w:rFonts w:ascii="Calibri" w:hAnsi="Calibri" w:cs="Calibri"/>
          <w:sz w:val="22"/>
          <w:szCs w:val="22"/>
        </w:rPr>
        <w:t>P</w:t>
      </w:r>
      <w:r w:rsidRPr="003751B0">
        <w:rPr>
          <w:rFonts w:ascii="Calibri" w:hAnsi="Calibri" w:cs="Calibri"/>
          <w:sz w:val="22"/>
          <w:szCs w:val="22"/>
        </w:rPr>
        <w:t xml:space="preserve">upil voice and leadership </w:t>
      </w:r>
      <w:r w:rsidRPr="003751B0">
        <w:rPr>
          <w:rFonts w:ascii="Calibri" w:hAnsi="Calibri" w:cs="Calibri"/>
          <w:sz w:val="22"/>
          <w:szCs w:val="22"/>
        </w:rPr>
        <w:t>is</w:t>
      </w:r>
      <w:r w:rsidRPr="003751B0">
        <w:rPr>
          <w:rFonts w:ascii="Calibri" w:hAnsi="Calibri" w:cs="Calibri"/>
          <w:sz w:val="22"/>
          <w:szCs w:val="22"/>
        </w:rPr>
        <w:t xml:space="preserve"> a mechanism for promoting belonging</w:t>
      </w:r>
      <w:r w:rsidRPr="003751B0">
        <w:rPr>
          <w:rFonts w:ascii="Calibri" w:hAnsi="Calibri" w:cs="Calibri"/>
          <w:sz w:val="22"/>
          <w:szCs w:val="22"/>
        </w:rPr>
        <w:t>.</w:t>
      </w:r>
      <w:r w:rsidRPr="003751B0">
        <w:rPr>
          <w:rFonts w:ascii="Calibri" w:hAnsi="Calibri" w:cs="Calibri"/>
          <w:sz w:val="22"/>
          <w:szCs w:val="22"/>
          <w:vertAlign w:val="superscript"/>
        </w:rPr>
        <w:t>6</w:t>
      </w:r>
      <w:r w:rsidRPr="003751B0">
        <w:rPr>
          <w:rFonts w:ascii="Calibri" w:hAnsi="Calibri" w:cs="Calibri"/>
          <w:sz w:val="22"/>
          <w:szCs w:val="22"/>
        </w:rPr>
        <w:t xml:space="preserve"> </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Relationships with school staff, happiness with attainment and bullying</w:t>
      </w:r>
      <w:r w:rsidRPr="003751B0">
        <w:rPr>
          <w:rFonts w:ascii="Calibri" w:hAnsi="Calibri" w:cs="Calibri"/>
          <w:sz w:val="22"/>
          <w:szCs w:val="22"/>
        </w:rPr>
        <w:t xml:space="preserve"> are key </w:t>
      </w:r>
      <w:r w:rsidRPr="003751B0">
        <w:rPr>
          <w:rFonts w:ascii="Calibri" w:hAnsi="Calibri" w:cs="Calibri"/>
          <w:sz w:val="22"/>
          <w:szCs w:val="22"/>
        </w:rPr>
        <w:t>contributors</w:t>
      </w:r>
      <w:r w:rsidRPr="003751B0">
        <w:rPr>
          <w:rFonts w:ascii="Calibri" w:hAnsi="Calibri" w:cs="Calibri"/>
          <w:sz w:val="22"/>
          <w:szCs w:val="22"/>
        </w:rPr>
        <w:t xml:space="preserve"> to school belonging</w:t>
      </w:r>
      <w:r w:rsidRPr="003751B0">
        <w:rPr>
          <w:rFonts w:ascii="Calibri" w:hAnsi="Calibri" w:cs="Calibri"/>
          <w:sz w:val="22"/>
          <w:szCs w:val="22"/>
        </w:rPr>
        <w:t>.</w:t>
      </w:r>
      <w:r w:rsidRPr="003751B0">
        <w:rPr>
          <w:rStyle w:val="FootnoteReference"/>
          <w:rFonts w:ascii="Calibri" w:hAnsi="Calibri" w:cs="Calibri"/>
          <w:sz w:val="22"/>
          <w:szCs w:val="22"/>
        </w:rPr>
        <w:t xml:space="preserve"> </w:t>
      </w:r>
      <w:r>
        <w:rPr>
          <w:rStyle w:val="FootnoteReference"/>
          <w:rFonts w:ascii="Calibri" w:hAnsi="Calibri" w:cs="Calibri"/>
          <w:sz w:val="22"/>
          <w:szCs w:val="22"/>
        </w:rPr>
        <w:footnoteReference w:id="19"/>
      </w:r>
      <w:r w:rsidRPr="003751B0">
        <w:rPr>
          <w:rFonts w:ascii="Calibri" w:hAnsi="Calibri" w:cs="Calibri"/>
          <w:sz w:val="22"/>
          <w:szCs w:val="22"/>
          <w:vertAlign w:val="superscript"/>
        </w:rPr>
        <w:t>,</w:t>
      </w:r>
      <w:r>
        <w:rPr>
          <w:rStyle w:val="FootnoteReference"/>
          <w:rFonts w:ascii="Calibri" w:hAnsi="Calibri" w:cs="Calibri"/>
          <w:sz w:val="22"/>
          <w:szCs w:val="22"/>
        </w:rPr>
        <w:footnoteReference w:id="20"/>
      </w:r>
      <w:r w:rsidRPr="003751B0">
        <w:rPr>
          <w:rFonts w:ascii="Calibri" w:hAnsi="Calibri" w:cs="Calibri"/>
          <w:sz w:val="22"/>
          <w:szCs w:val="22"/>
        </w:rPr>
        <w:t xml:space="preserve"> Schools need to create</w:t>
      </w:r>
      <w:r w:rsidRPr="003751B0">
        <w:rPr>
          <w:rFonts w:ascii="Calibri" w:hAnsi="Calibri" w:cs="Calibri"/>
          <w:sz w:val="22"/>
          <w:szCs w:val="22"/>
        </w:rPr>
        <w:t xml:space="preserve"> space to f</w:t>
      </w:r>
      <w:r w:rsidRPr="003751B0">
        <w:rPr>
          <w:rFonts w:ascii="Calibri" w:hAnsi="Calibri" w:cs="Calibri"/>
          <w:sz w:val="22"/>
          <w:szCs w:val="22"/>
        </w:rPr>
        <w:t>oster strong relationships between pupils, staff, and peers</w:t>
      </w:r>
      <w:r w:rsidRPr="003751B0">
        <w:rPr>
          <w:rFonts w:ascii="Calibri" w:hAnsi="Calibri" w:cs="Calibri"/>
          <w:sz w:val="22"/>
          <w:szCs w:val="22"/>
        </w:rPr>
        <w:t>.</w:t>
      </w:r>
      <w:r>
        <w:rPr>
          <w:rStyle w:val="FootnoteReference"/>
          <w:rFonts w:ascii="Calibri" w:hAnsi="Calibri" w:cs="Calibri"/>
          <w:sz w:val="22"/>
          <w:szCs w:val="22"/>
        </w:rPr>
        <w:footnoteReference w:id="21"/>
      </w:r>
      <w:r w:rsidRPr="003751B0">
        <w:rPr>
          <w:rFonts w:ascii="Calibri" w:hAnsi="Calibri" w:cs="Calibri"/>
          <w:sz w:val="22"/>
          <w:szCs w:val="22"/>
        </w:rPr>
        <w:t xml:space="preserve"> </w:t>
      </w:r>
      <w:r w:rsidRPr="003751B0">
        <w:rPr>
          <w:rFonts w:ascii="Calibri" w:hAnsi="Calibri" w:cs="Calibri"/>
          <w:sz w:val="22"/>
          <w:szCs w:val="22"/>
        </w:rPr>
        <w:t>Some school practices</w:t>
      </w:r>
      <w:r w:rsidRPr="003751B0">
        <w:rPr>
          <w:rFonts w:ascii="Calibri" w:hAnsi="Calibri" w:cs="Calibri"/>
          <w:sz w:val="22"/>
          <w:szCs w:val="22"/>
        </w:rPr>
        <w:t xml:space="preserve"> limit opportunities for social interaction to build peer connectedness, in favour of behaviour control. </w:t>
      </w:r>
      <w:r w:rsidRPr="003751B0">
        <w:rPr>
          <w:rFonts w:ascii="Calibri" w:hAnsi="Calibri" w:cs="Calibri"/>
          <w:sz w:val="22"/>
          <w:szCs w:val="22"/>
        </w:rPr>
        <w:t>A whole school and community approach to wellbeing</w:t>
      </w:r>
      <w:r w:rsidRPr="003751B0">
        <w:rPr>
          <w:rFonts w:ascii="Calibri" w:hAnsi="Calibri" w:cs="Calibri"/>
          <w:sz w:val="22"/>
          <w:szCs w:val="22"/>
        </w:rPr>
        <w:t>,</w:t>
      </w:r>
      <w:r w:rsidRPr="003751B0">
        <w:rPr>
          <w:rFonts w:ascii="Calibri" w:hAnsi="Calibri" w:cs="Calibri"/>
          <w:sz w:val="22"/>
          <w:szCs w:val="22"/>
        </w:rPr>
        <w:t xml:space="preserve"> which brings together school, parents and community </w:t>
      </w:r>
      <w:r w:rsidRPr="003751B0">
        <w:rPr>
          <w:rFonts w:ascii="Calibri" w:hAnsi="Calibri" w:cs="Calibri"/>
          <w:sz w:val="22"/>
          <w:szCs w:val="22"/>
        </w:rPr>
        <w:t xml:space="preserve">offers an opportunity to build </w:t>
      </w:r>
      <w:r w:rsidRPr="003751B0">
        <w:rPr>
          <w:rFonts w:ascii="Calibri" w:hAnsi="Calibri" w:cs="Calibri"/>
          <w:sz w:val="22"/>
          <w:szCs w:val="22"/>
        </w:rPr>
        <w:t xml:space="preserve">inclusion and </w:t>
      </w:r>
      <w:r w:rsidRPr="003751B0">
        <w:rPr>
          <w:rFonts w:ascii="Calibri" w:hAnsi="Calibri" w:cs="Calibri"/>
          <w:sz w:val="22"/>
          <w:szCs w:val="22"/>
        </w:rPr>
        <w:t>connectedness</w:t>
      </w:r>
      <w:r w:rsidRPr="003751B0">
        <w:rPr>
          <w:rFonts w:ascii="Calibri" w:hAnsi="Calibri" w:cs="Calibri"/>
          <w:sz w:val="22"/>
          <w:szCs w:val="22"/>
        </w:rPr>
        <w:t>.</w:t>
      </w:r>
      <w:r w:rsidRPr="003751B0">
        <w:rPr>
          <w:rFonts w:ascii="Calibri" w:hAnsi="Calibri" w:cs="Calibri"/>
          <w:sz w:val="22"/>
          <w:szCs w:val="22"/>
          <w:vertAlign w:val="superscript"/>
        </w:rPr>
        <w:t>1</w:t>
      </w:r>
      <w:r w:rsidRPr="003751B0">
        <w:rPr>
          <w:rFonts w:ascii="Calibri" w:hAnsi="Calibri" w:cs="Calibri"/>
          <w:sz w:val="22"/>
          <w:szCs w:val="22"/>
          <w:vertAlign w:val="superscript"/>
        </w:rPr>
        <w:t>8</w:t>
      </w:r>
      <w:r w:rsidRPr="003751B0">
        <w:rPr>
          <w:rFonts w:ascii="Calibri" w:hAnsi="Calibri" w:cs="Calibri"/>
          <w:sz w:val="22"/>
          <w:szCs w:val="22"/>
          <w:vertAlign w:val="superscript"/>
        </w:rPr>
        <w:t xml:space="preserve"> </w:t>
      </w:r>
      <w:r w:rsidRPr="003751B0">
        <w:rPr>
          <w:rFonts w:ascii="Calibri" w:hAnsi="Calibri" w:cs="Calibri"/>
          <w:sz w:val="22"/>
          <w:szCs w:val="22"/>
          <w:vertAlign w:val="superscript"/>
        </w:rPr>
        <w:t xml:space="preserve"> </w:t>
      </w:r>
      <w:r w:rsidRPr="003751B0">
        <w:rPr>
          <w:rFonts w:ascii="Calibri" w:hAnsi="Calibri" w:cs="Calibri"/>
          <w:sz w:val="22"/>
          <w:szCs w:val="22"/>
        </w:rPr>
        <w:t>M</w:t>
      </w:r>
      <w:r w:rsidRPr="003751B0">
        <w:rPr>
          <w:rFonts w:ascii="Calibri" w:hAnsi="Calibri" w:cs="Calibri"/>
          <w:sz w:val="22"/>
          <w:szCs w:val="22"/>
        </w:rPr>
        <w:t>eaningful</w:t>
      </w:r>
      <w:r w:rsidRPr="003751B0">
        <w:rPr>
          <w:rFonts w:ascii="Calibri" w:hAnsi="Calibri" w:cs="Calibri"/>
          <w:sz w:val="22"/>
          <w:szCs w:val="22"/>
        </w:rPr>
        <w:t xml:space="preserve"> opportunities for children and young people to influence school policies, practices, and culture</w:t>
      </w:r>
      <w:r w:rsidRPr="003751B0">
        <w:rPr>
          <w:rFonts w:ascii="Calibri" w:hAnsi="Calibri" w:cs="Calibri"/>
          <w:sz w:val="22"/>
          <w:szCs w:val="22"/>
        </w:rPr>
        <w:t xml:space="preserve"> require </w:t>
      </w:r>
      <w:r w:rsidRPr="003751B0">
        <w:rPr>
          <w:rFonts w:ascii="Calibri" w:hAnsi="Calibri" w:cs="Calibri"/>
          <w:sz w:val="22"/>
          <w:szCs w:val="22"/>
        </w:rPr>
        <w:t>m</w:t>
      </w:r>
      <w:r w:rsidRPr="003751B0">
        <w:rPr>
          <w:rFonts w:ascii="Calibri" w:hAnsi="Calibri" w:cs="Calibri"/>
          <w:sz w:val="22"/>
          <w:szCs w:val="22"/>
        </w:rPr>
        <w:t>ov</w:t>
      </w:r>
      <w:r w:rsidRPr="003751B0">
        <w:rPr>
          <w:rFonts w:ascii="Calibri" w:hAnsi="Calibri" w:cs="Calibri"/>
          <w:sz w:val="22"/>
          <w:szCs w:val="22"/>
        </w:rPr>
        <w:t>ing</w:t>
      </w:r>
      <w:r w:rsidRPr="003751B0">
        <w:rPr>
          <w:rFonts w:ascii="Calibri" w:hAnsi="Calibri" w:cs="Calibri"/>
          <w:sz w:val="22"/>
          <w:szCs w:val="22"/>
        </w:rPr>
        <w:t xml:space="preserve"> beyond one-off consultations to ongoing participation and co-production</w:t>
      </w:r>
      <w:r w:rsidRPr="003751B0">
        <w:rPr>
          <w:rFonts w:ascii="Calibri" w:hAnsi="Calibri" w:cs="Calibri"/>
          <w:sz w:val="22"/>
          <w:szCs w:val="22"/>
        </w:rPr>
        <w:t>.</w:t>
      </w:r>
      <w:r>
        <w:rPr>
          <w:rStyle w:val="FootnoteReference"/>
          <w:rFonts w:ascii="Calibri" w:hAnsi="Calibri" w:cs="Calibri"/>
          <w:sz w:val="22"/>
          <w:szCs w:val="22"/>
        </w:rPr>
        <w:footnoteReference w:id="22"/>
      </w:r>
      <w:r w:rsidRPr="003751B0">
        <w:rPr>
          <w:rFonts w:ascii="Calibri" w:hAnsi="Calibri" w:cs="Calibri"/>
          <w:sz w:val="22"/>
          <w:szCs w:val="22"/>
        </w:rPr>
        <w:t xml:space="preserve"> </w:t>
      </w:r>
      <w:r w:rsidRPr="003751B0">
        <w:rPr>
          <w:rFonts w:ascii="Calibri" w:hAnsi="Calibri" w:cs="Calibri"/>
          <w:sz w:val="22"/>
          <w:szCs w:val="22"/>
        </w:rPr>
        <w:t>UNICEF, The European Commission,</w:t>
      </w:r>
      <w:r w:rsidRPr="003751B0">
        <w:rPr>
          <w:rFonts w:ascii="Calibri" w:hAnsi="Calibri" w:cs="Calibri"/>
          <w:sz w:val="22"/>
          <w:szCs w:val="22"/>
        </w:rPr>
        <w:t xml:space="preserve"> The EU Children’s Voice Platform</w:t>
      </w:r>
      <w:r w:rsidRPr="003751B0">
        <w:rPr>
          <w:rFonts w:ascii="Calibri" w:hAnsi="Calibri" w:cs="Calibri"/>
          <w:sz w:val="22"/>
          <w:szCs w:val="22"/>
        </w:rPr>
        <w:t xml:space="preserve"> and Anna Freud </w:t>
      </w:r>
      <w:r w:rsidRPr="003751B0">
        <w:rPr>
          <w:rFonts w:ascii="Calibri" w:hAnsi="Calibri" w:cs="Calibri"/>
          <w:sz w:val="22"/>
          <w:szCs w:val="22"/>
        </w:rPr>
        <w:t>all have adopted the Lundy Model of participation</w:t>
      </w:r>
      <w:r w:rsidRPr="003751B0">
        <w:rPr>
          <w:rFonts w:ascii="Calibri" w:hAnsi="Calibri" w:cs="Calibri"/>
          <w:sz w:val="22"/>
          <w:szCs w:val="22"/>
        </w:rPr>
        <w:t>.</w:t>
      </w:r>
      <w:r w:rsidRPr="003751B0">
        <w:rPr>
          <w:rFonts w:ascii="Calibri" w:hAnsi="Calibri" w:cs="Calibri"/>
          <w:sz w:val="22"/>
          <w:szCs w:val="22"/>
          <w:vertAlign w:val="superscript"/>
        </w:rPr>
        <w:t>2</w:t>
      </w:r>
      <w:r w:rsidRPr="003751B0">
        <w:rPr>
          <w:rFonts w:ascii="Calibri" w:hAnsi="Calibri" w:cs="Calibri"/>
          <w:sz w:val="22"/>
          <w:szCs w:val="22"/>
          <w:vertAlign w:val="superscript"/>
        </w:rPr>
        <w:t>1</w:t>
      </w:r>
      <w:r w:rsidRPr="003751B0">
        <w:rPr>
          <w:rFonts w:ascii="Calibri" w:hAnsi="Calibri" w:cs="Calibri"/>
          <w:sz w:val="22"/>
          <w:szCs w:val="22"/>
        </w:rPr>
        <w:t xml:space="preserve"> </w:t>
      </w:r>
      <w:r w:rsidRPr="003751B0">
        <w:rPr>
          <w:rFonts w:ascii="Calibri" w:hAnsi="Calibri" w:cs="Calibri"/>
          <w:sz w:val="22"/>
          <w:szCs w:val="22"/>
        </w:rPr>
        <w:t>The model e</w:t>
      </w:r>
      <w:r w:rsidRPr="003751B0">
        <w:rPr>
          <w:rFonts w:ascii="Calibri" w:hAnsi="Calibri" w:cs="Calibri"/>
          <w:sz w:val="22"/>
          <w:szCs w:val="22"/>
        </w:rPr>
        <w:t>nsure pupils feel their views are genuinely heard and acted upon</w:t>
      </w:r>
      <w:r w:rsidRPr="003751B0">
        <w:rPr>
          <w:rFonts w:ascii="Calibri" w:hAnsi="Calibri" w:cs="Calibri"/>
          <w:sz w:val="22"/>
          <w:szCs w:val="22"/>
        </w:rPr>
        <w:t xml:space="preserve"> and it is a useable framework that schools can employ. Genuinely doing so </w:t>
      </w:r>
      <w:r w:rsidRPr="003751B0">
        <w:rPr>
          <w:rFonts w:ascii="Calibri" w:hAnsi="Calibri" w:cs="Calibri"/>
          <w:sz w:val="22"/>
          <w:szCs w:val="22"/>
        </w:rPr>
        <w:t>would give students’ voice and foster a greater sense of belonging.</w:t>
      </w:r>
      <w:r>
        <w:rPr>
          <w:rStyle w:val="FootnoteReference"/>
          <w:rFonts w:ascii="Calibri" w:hAnsi="Calibri" w:cs="Calibri"/>
          <w:sz w:val="22"/>
          <w:szCs w:val="22"/>
        </w:rPr>
        <w:footnoteReference w:id="23"/>
      </w:r>
      <w:r w:rsidRPr="003751B0">
        <w:rPr>
          <w:rFonts w:ascii="Calibri" w:hAnsi="Calibri" w:cs="Calibri"/>
          <w:sz w:val="22"/>
          <w:szCs w:val="22"/>
        </w:rPr>
        <w:t xml:space="preserve"> </w:t>
      </w:r>
    </w:p>
    <w:p w:rsidR="00812990" w:rsidRPr="003751B0" w:rsidP="00812990">
      <w:pPr>
        <w:pStyle w:val="Heading1"/>
        <w:numPr>
          <w:ilvl w:val="0"/>
          <w:numId w:val="1"/>
        </w:numPr>
        <w:rPr>
          <w:rFonts w:ascii="Calibri" w:hAnsi="Calibri" w:cs="Calibri"/>
          <w:sz w:val="22"/>
          <w:szCs w:val="22"/>
        </w:rPr>
      </w:pPr>
      <w:r w:rsidRPr="003751B0">
        <w:rPr>
          <w:rFonts w:ascii="Calibri" w:hAnsi="Calibri" w:cs="Calibri"/>
          <w:sz w:val="22"/>
          <w:szCs w:val="22"/>
        </w:rPr>
        <w:t xml:space="preserve"> Workforce</w:t>
      </w:r>
      <w:r w:rsidRPr="003751B0">
        <w:rPr>
          <w:rFonts w:ascii="Calibri" w:hAnsi="Calibri" w:cs="Calibri"/>
          <w:sz w:val="22"/>
          <w:szCs w:val="22"/>
        </w:rPr>
        <w:t xml:space="preserve"> support</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Action at both school and system level is needed to a</w:t>
      </w:r>
      <w:r w:rsidRPr="003751B0">
        <w:rPr>
          <w:rFonts w:ascii="Calibri" w:hAnsi="Calibri" w:cs="Calibri"/>
          <w:sz w:val="22"/>
          <w:szCs w:val="22"/>
        </w:rPr>
        <w:t>ddress workload</w:t>
      </w:r>
      <w:r w:rsidRPr="003751B0">
        <w:rPr>
          <w:rFonts w:ascii="Calibri" w:hAnsi="Calibri" w:cs="Calibri"/>
          <w:sz w:val="22"/>
          <w:szCs w:val="22"/>
        </w:rPr>
        <w:t xml:space="preserve"> and</w:t>
      </w:r>
      <w:r w:rsidRPr="003751B0">
        <w:rPr>
          <w:rFonts w:ascii="Calibri" w:hAnsi="Calibri" w:cs="Calibri"/>
          <w:sz w:val="22"/>
          <w:szCs w:val="22"/>
        </w:rPr>
        <w:t xml:space="preserve"> wellbeing</w:t>
      </w:r>
      <w:r w:rsidRPr="003751B0">
        <w:rPr>
          <w:rFonts w:ascii="Calibri" w:hAnsi="Calibri" w:cs="Calibri"/>
          <w:sz w:val="22"/>
          <w:szCs w:val="22"/>
        </w:rPr>
        <w:t>.</w:t>
      </w:r>
      <w:r w:rsidRPr="003751B0">
        <w:rPr>
          <w:rFonts w:ascii="Calibri" w:hAnsi="Calibri" w:cs="Calibri"/>
          <w:sz w:val="22"/>
          <w:szCs w:val="22"/>
        </w:rPr>
        <w:t xml:space="preserve"> </w:t>
      </w:r>
      <w:r w:rsidRPr="003751B0">
        <w:rPr>
          <w:rFonts w:ascii="Calibri" w:hAnsi="Calibri" w:cs="Calibri"/>
          <w:sz w:val="22"/>
          <w:szCs w:val="22"/>
        </w:rPr>
        <w:t>Over three quarters of school staff are stressed and have poor mental health due to work and 40% feel their mental health is not supported</w:t>
      </w:r>
      <w:r w:rsidRPr="003751B0">
        <w:rPr>
          <w:rFonts w:ascii="Calibri" w:hAnsi="Calibri" w:cs="Calibri"/>
          <w:sz w:val="22"/>
          <w:szCs w:val="22"/>
        </w:rPr>
        <w:t>.</w:t>
      </w:r>
      <w:r>
        <w:rPr>
          <w:rStyle w:val="FootnoteReference"/>
          <w:rFonts w:ascii="Calibri" w:hAnsi="Calibri" w:cs="Calibri"/>
          <w:sz w:val="22"/>
          <w:szCs w:val="22"/>
        </w:rPr>
        <w:footnoteReference w:id="24"/>
      </w:r>
      <w:r w:rsidRPr="003751B0">
        <w:rPr>
          <w:rFonts w:ascii="Calibri" w:hAnsi="Calibri" w:cs="Calibri"/>
          <w:sz w:val="22"/>
          <w:szCs w:val="22"/>
        </w:rPr>
        <w:t xml:space="preserve">  </w:t>
      </w:r>
      <w:r w:rsidRPr="003751B0">
        <w:rPr>
          <w:rFonts w:ascii="Calibri" w:hAnsi="Calibri" w:cs="Calibri"/>
          <w:sz w:val="22"/>
          <w:szCs w:val="22"/>
        </w:rPr>
        <w:t>Staff need manageable workloads, adequate support, opportunities for professional growth, and workplace cultures that prioritise wellbeing, relationships and sustainable practice.</w:t>
      </w:r>
      <w:r w:rsidRPr="003751B0">
        <w:rPr>
          <w:rFonts w:ascii="Calibri" w:hAnsi="Calibri" w:cs="Calibri"/>
          <w:sz w:val="22"/>
          <w:szCs w:val="22"/>
        </w:rPr>
        <w:t xml:space="preserve"> </w:t>
      </w:r>
      <w:r w:rsidRPr="003751B0">
        <w:rPr>
          <w:rFonts w:ascii="Calibri" w:hAnsi="Calibri" w:cs="Calibri"/>
          <w:sz w:val="22"/>
          <w:szCs w:val="22"/>
        </w:rPr>
        <w:t>T</w:t>
      </w:r>
      <w:r w:rsidRPr="003751B0">
        <w:rPr>
          <w:rFonts w:ascii="Calibri" w:hAnsi="Calibri" w:cs="Calibri"/>
          <w:sz w:val="22"/>
          <w:szCs w:val="22"/>
        </w:rPr>
        <w:t>eachers</w:t>
      </w:r>
      <w:r w:rsidRPr="003751B0">
        <w:rPr>
          <w:rFonts w:ascii="Calibri" w:hAnsi="Calibri" w:cs="Calibri"/>
          <w:sz w:val="22"/>
          <w:szCs w:val="22"/>
        </w:rPr>
        <w:t xml:space="preserve"> report having low agency</w:t>
      </w:r>
      <w:r w:rsidRPr="003751B0">
        <w:rPr>
          <w:rFonts w:ascii="Calibri" w:hAnsi="Calibri" w:cs="Calibri"/>
          <w:sz w:val="22"/>
          <w:szCs w:val="22"/>
        </w:rPr>
        <w:t xml:space="preserve"> </w:t>
      </w:r>
      <w:r w:rsidRPr="003751B0">
        <w:rPr>
          <w:rFonts w:ascii="Calibri" w:hAnsi="Calibri" w:cs="Calibri"/>
          <w:sz w:val="22"/>
          <w:szCs w:val="22"/>
        </w:rPr>
        <w:t>at work which is</w:t>
      </w:r>
      <w:r w:rsidRPr="003751B0">
        <w:rPr>
          <w:rFonts w:ascii="Calibri" w:hAnsi="Calibri" w:cs="Calibri"/>
          <w:sz w:val="22"/>
          <w:szCs w:val="22"/>
        </w:rPr>
        <w:t xml:space="preserve"> significantly related to job satisfaction, </w:t>
      </w:r>
      <w:r w:rsidRPr="003751B0">
        <w:rPr>
          <w:rFonts w:ascii="Calibri" w:hAnsi="Calibri" w:cs="Calibri"/>
          <w:sz w:val="22"/>
          <w:szCs w:val="22"/>
        </w:rPr>
        <w:t xml:space="preserve">workload manageability, and </w:t>
      </w:r>
      <w:r w:rsidRPr="003751B0">
        <w:rPr>
          <w:rFonts w:ascii="Calibri" w:hAnsi="Calibri" w:cs="Calibri"/>
          <w:sz w:val="22"/>
          <w:szCs w:val="22"/>
        </w:rPr>
        <w:t>retention</w:t>
      </w:r>
      <w:r w:rsidRPr="003751B0">
        <w:rPr>
          <w:rFonts w:ascii="Calibri" w:hAnsi="Calibri" w:cs="Calibri"/>
          <w:sz w:val="22"/>
          <w:szCs w:val="22"/>
        </w:rPr>
        <w:t>.</w:t>
      </w:r>
      <w:r>
        <w:rPr>
          <w:rStyle w:val="FootnoteReference"/>
          <w:rFonts w:ascii="Calibri" w:hAnsi="Calibri" w:cs="Calibri"/>
          <w:sz w:val="22"/>
          <w:szCs w:val="22"/>
        </w:rPr>
        <w:footnoteReference w:id="25"/>
      </w:r>
      <w:r w:rsidRPr="003751B0">
        <w:rPr>
          <w:rFonts w:ascii="Calibri" w:hAnsi="Calibri" w:cs="Calibri"/>
          <w:sz w:val="22"/>
          <w:szCs w:val="22"/>
        </w:rPr>
        <w:t xml:space="preserve"> </w:t>
      </w:r>
      <w:r w:rsidRPr="003751B0">
        <w:rPr>
          <w:rFonts w:ascii="Calibri" w:hAnsi="Calibri" w:cs="Calibri"/>
          <w:sz w:val="22"/>
          <w:szCs w:val="22"/>
        </w:rPr>
        <w:t xml:space="preserve">The proposals </w:t>
      </w:r>
      <w:r w:rsidRPr="003751B0">
        <w:rPr>
          <w:rFonts w:ascii="Calibri" w:hAnsi="Calibri" w:cs="Calibri"/>
          <w:sz w:val="22"/>
          <w:szCs w:val="22"/>
        </w:rPr>
        <w:t>to</w:t>
      </w:r>
      <w:r w:rsidRPr="003751B0">
        <w:rPr>
          <w:rFonts w:ascii="Calibri" w:hAnsi="Calibri" w:cs="Calibri"/>
          <w:sz w:val="22"/>
          <w:szCs w:val="22"/>
        </w:rPr>
        <w:t xml:space="preserve"> recruit additional teachers, expand recruitment and retention, </w:t>
      </w:r>
      <w:r w:rsidRPr="003751B0">
        <w:rPr>
          <w:rFonts w:ascii="Calibri" w:hAnsi="Calibri" w:cs="Calibri"/>
          <w:sz w:val="22"/>
          <w:szCs w:val="22"/>
        </w:rPr>
        <w:t xml:space="preserve">reduce workload, </w:t>
      </w:r>
      <w:r w:rsidRPr="003751B0">
        <w:rPr>
          <w:rFonts w:ascii="Calibri" w:hAnsi="Calibri" w:cs="Calibri"/>
          <w:sz w:val="22"/>
          <w:szCs w:val="22"/>
        </w:rPr>
        <w:t>provide</w:t>
      </w:r>
      <w:r w:rsidRPr="003751B0">
        <w:rPr>
          <w:rFonts w:ascii="Calibri" w:hAnsi="Calibri" w:cs="Calibri"/>
          <w:sz w:val="22"/>
          <w:szCs w:val="22"/>
        </w:rPr>
        <w:t xml:space="preserve"> flexible working, and strengthen professional development pathways are a step in the right direction but fail to address the </w:t>
      </w:r>
      <w:r w:rsidRPr="003751B0">
        <w:rPr>
          <w:rFonts w:ascii="Calibri" w:hAnsi="Calibri" w:cs="Calibri"/>
          <w:sz w:val="22"/>
          <w:szCs w:val="22"/>
        </w:rPr>
        <w:t>relationship between staff and student wellbeing. T</w:t>
      </w:r>
      <w:r w:rsidRPr="003751B0">
        <w:rPr>
          <w:rFonts w:ascii="Calibri" w:hAnsi="Calibri" w:cs="Calibri"/>
          <w:sz w:val="22"/>
          <w:szCs w:val="22"/>
        </w:rPr>
        <w:t>he high level of unmet needs in the classroom is</w:t>
      </w:r>
      <w:r w:rsidRPr="003751B0">
        <w:rPr>
          <w:rFonts w:ascii="Calibri" w:hAnsi="Calibri" w:cs="Calibri"/>
          <w:sz w:val="22"/>
          <w:szCs w:val="22"/>
        </w:rPr>
        <w:t xml:space="preserve"> a large part of what makes teaching challenging</w:t>
      </w:r>
      <w:r w:rsidRPr="003751B0">
        <w:rPr>
          <w:rFonts w:ascii="Calibri" w:hAnsi="Calibri" w:cs="Calibri"/>
          <w:sz w:val="22"/>
          <w:szCs w:val="22"/>
        </w:rPr>
        <w:t>. Addressing the needs of belonging and connectedness</w:t>
      </w:r>
      <w:r>
        <w:rPr>
          <w:rStyle w:val="FootnoteReference"/>
          <w:rFonts w:ascii="Calibri" w:hAnsi="Calibri" w:cs="Calibri"/>
          <w:sz w:val="22"/>
          <w:szCs w:val="22"/>
        </w:rPr>
        <w:footnoteReference w:id="26"/>
      </w:r>
      <w:r w:rsidRPr="003751B0">
        <w:rPr>
          <w:rFonts w:ascii="Calibri" w:hAnsi="Calibri" w:cs="Calibri"/>
          <w:sz w:val="22"/>
          <w:szCs w:val="22"/>
          <w:vertAlign w:val="superscript"/>
        </w:rPr>
        <w:t>,1</w:t>
      </w:r>
      <w:r w:rsidRPr="003751B0">
        <w:rPr>
          <w:rFonts w:ascii="Calibri" w:hAnsi="Calibri" w:cs="Calibri"/>
          <w:sz w:val="22"/>
          <w:szCs w:val="22"/>
          <w:vertAlign w:val="superscript"/>
        </w:rPr>
        <w:t>2</w:t>
      </w:r>
      <w:r w:rsidRPr="003751B0">
        <w:rPr>
          <w:rFonts w:ascii="Calibri" w:hAnsi="Calibri" w:cs="Calibri"/>
          <w:sz w:val="22"/>
          <w:szCs w:val="22"/>
          <w:vertAlign w:val="superscript"/>
        </w:rPr>
        <w:t xml:space="preserve"> </w:t>
      </w:r>
      <w:r w:rsidRPr="003751B0">
        <w:rPr>
          <w:rFonts w:ascii="Calibri" w:hAnsi="Calibri" w:cs="Calibri"/>
          <w:sz w:val="22"/>
          <w:szCs w:val="22"/>
        </w:rPr>
        <w:t>of both staff and students</w:t>
      </w:r>
      <w:r w:rsidRPr="003751B0">
        <w:rPr>
          <w:rFonts w:ascii="Calibri" w:hAnsi="Calibri" w:cs="Calibri"/>
          <w:sz w:val="22"/>
          <w:szCs w:val="22"/>
        </w:rPr>
        <w:t xml:space="preserve"> would further support</w:t>
      </w:r>
      <w:r w:rsidRPr="003751B0">
        <w:rPr>
          <w:rFonts w:ascii="Calibri" w:hAnsi="Calibri" w:cs="Calibri"/>
          <w:sz w:val="22"/>
          <w:szCs w:val="22"/>
        </w:rPr>
        <w:t xml:space="preserve"> workload, wellbeing and job satisfaction</w:t>
      </w:r>
      <w:r w:rsidRPr="003751B0">
        <w:rPr>
          <w:rFonts w:ascii="Calibri" w:hAnsi="Calibri" w:cs="Calibri"/>
          <w:sz w:val="22"/>
          <w:szCs w:val="22"/>
        </w:rPr>
        <w:t xml:space="preserve">. </w:t>
      </w:r>
      <w:r w:rsidRPr="003751B0">
        <w:rPr>
          <w:rFonts w:ascii="Calibri" w:hAnsi="Calibri" w:cs="Calibri"/>
          <w:sz w:val="22"/>
          <w:szCs w:val="22"/>
        </w:rPr>
        <w:t>Student behaviour</w:t>
      </w:r>
      <w:r w:rsidRPr="003751B0">
        <w:rPr>
          <w:rFonts w:ascii="Calibri" w:hAnsi="Calibri" w:cs="Calibri"/>
          <w:sz w:val="22"/>
          <w:szCs w:val="22"/>
        </w:rPr>
        <w:t>,</w:t>
      </w:r>
      <w:r w:rsidRPr="003751B0">
        <w:rPr>
          <w:rFonts w:ascii="Calibri" w:hAnsi="Calibri" w:cs="Calibri"/>
          <w:sz w:val="22"/>
          <w:szCs w:val="22"/>
        </w:rPr>
        <w:t xml:space="preserve"> supportive school leadership</w:t>
      </w:r>
      <w:r w:rsidRPr="003751B0">
        <w:rPr>
          <w:rFonts w:ascii="Calibri" w:hAnsi="Calibri" w:cs="Calibri"/>
          <w:sz w:val="22"/>
          <w:szCs w:val="22"/>
        </w:rPr>
        <w:t>, and perceived workload</w:t>
      </w:r>
      <w:r w:rsidRPr="003751B0">
        <w:rPr>
          <w:rFonts w:ascii="Calibri" w:hAnsi="Calibri" w:cs="Calibri"/>
          <w:sz w:val="22"/>
          <w:szCs w:val="22"/>
        </w:rPr>
        <w:t xml:space="preserve"> contribute to job satisfaction</w:t>
      </w:r>
      <w:r w:rsidRPr="003751B0">
        <w:rPr>
          <w:rFonts w:ascii="Calibri" w:hAnsi="Calibri" w:cs="Calibri"/>
          <w:sz w:val="22"/>
          <w:szCs w:val="22"/>
        </w:rPr>
        <w:t>.</w:t>
      </w:r>
      <w:r>
        <w:rPr>
          <w:rStyle w:val="FootnoteReference"/>
          <w:rFonts w:ascii="Calibri" w:hAnsi="Calibri" w:cs="Calibri"/>
          <w:sz w:val="22"/>
          <w:szCs w:val="22"/>
        </w:rPr>
        <w:footnoteReference w:id="27"/>
      </w:r>
      <w:r w:rsidRPr="003751B0">
        <w:rPr>
          <w:rFonts w:ascii="Calibri" w:hAnsi="Calibri" w:cs="Calibri"/>
          <w:sz w:val="22"/>
          <w:szCs w:val="22"/>
        </w:rPr>
        <w:t xml:space="preserve"> Likewise, teacher wellbeing is related to teacher-student relationships and student engagement</w:t>
      </w:r>
      <w:r w:rsidRPr="003751B0">
        <w:rPr>
          <w:rFonts w:ascii="Calibri" w:hAnsi="Calibri" w:cs="Calibri"/>
          <w:sz w:val="22"/>
          <w:szCs w:val="22"/>
        </w:rPr>
        <w:t>.</w:t>
      </w:r>
      <w:r>
        <w:rPr>
          <w:rStyle w:val="FootnoteReference"/>
          <w:rFonts w:ascii="Calibri" w:hAnsi="Calibri" w:cs="Calibri"/>
          <w:sz w:val="22"/>
          <w:szCs w:val="22"/>
        </w:rPr>
        <w:footnoteReference w:id="28"/>
      </w:r>
      <w:r w:rsidRPr="003751B0">
        <w:rPr>
          <w:rFonts w:ascii="Calibri" w:hAnsi="Calibri" w:cs="Calibri"/>
          <w:sz w:val="22"/>
          <w:szCs w:val="22"/>
        </w:rPr>
        <w:t xml:space="preserve"> </w:t>
      </w:r>
      <w:r w:rsidRPr="003751B0">
        <w:rPr>
          <w:rFonts w:ascii="Calibri" w:hAnsi="Calibri" w:cs="Calibri"/>
          <w:sz w:val="22"/>
          <w:szCs w:val="22"/>
        </w:rPr>
        <w:t>Improving the overall school climate</w:t>
      </w:r>
      <w:r w:rsidRPr="003751B0">
        <w:rPr>
          <w:rFonts w:ascii="Calibri" w:hAnsi="Calibri" w:cs="Calibri"/>
          <w:sz w:val="22"/>
          <w:szCs w:val="22"/>
        </w:rPr>
        <w:t xml:space="preserve"> would improve job satisfaction</w:t>
      </w:r>
      <w:r w:rsidRPr="003751B0">
        <w:rPr>
          <w:rFonts w:ascii="Calibri" w:hAnsi="Calibri" w:cs="Calibri"/>
          <w:sz w:val="22"/>
          <w:szCs w:val="22"/>
        </w:rPr>
        <w:t>,</w:t>
      </w:r>
      <w:r>
        <w:rPr>
          <w:rStyle w:val="FootnoteReference"/>
          <w:rFonts w:ascii="Calibri" w:hAnsi="Calibri" w:cs="Calibri"/>
          <w:sz w:val="22"/>
          <w:szCs w:val="22"/>
        </w:rPr>
        <w:footnoteReference w:id="29"/>
      </w:r>
      <w:r w:rsidRPr="003751B0">
        <w:rPr>
          <w:rFonts w:ascii="Calibri" w:hAnsi="Calibri" w:cs="Calibri"/>
          <w:sz w:val="22"/>
          <w:szCs w:val="22"/>
          <w:vertAlign w:val="superscript"/>
        </w:rPr>
        <w:t>,</w:t>
      </w:r>
      <w:r>
        <w:rPr>
          <w:rStyle w:val="FootnoteReference"/>
          <w:rFonts w:ascii="Calibri" w:hAnsi="Calibri" w:cs="Calibri"/>
          <w:sz w:val="22"/>
          <w:szCs w:val="22"/>
        </w:rPr>
        <w:footnoteReference w:id="30"/>
      </w:r>
      <w:r w:rsidRPr="003751B0">
        <w:rPr>
          <w:rFonts w:ascii="Calibri" w:hAnsi="Calibri" w:cs="Calibri"/>
          <w:sz w:val="22"/>
          <w:szCs w:val="22"/>
        </w:rPr>
        <w:t xml:space="preserve"> </w:t>
      </w:r>
      <w:r w:rsidRPr="003751B0">
        <w:rPr>
          <w:rFonts w:ascii="Calibri" w:hAnsi="Calibri" w:cs="Calibri"/>
          <w:sz w:val="22"/>
          <w:szCs w:val="22"/>
        </w:rPr>
        <w:t>retention, and wellbeing</w:t>
      </w:r>
      <w:r w:rsidRPr="003751B0">
        <w:rPr>
          <w:rFonts w:ascii="Calibri" w:hAnsi="Calibri" w:cs="Calibri"/>
          <w:sz w:val="22"/>
          <w:szCs w:val="22"/>
        </w:rPr>
        <w:t>.</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Systematic reviews suggest that teacher wellbeing is associated with teacher–student relationship quality, student engagement and student outcomes</w:t>
      </w:r>
      <w:r w:rsidRPr="003751B0">
        <w:rPr>
          <w:rFonts w:ascii="Calibri" w:hAnsi="Calibri" w:cs="Calibri"/>
          <w:sz w:val="22"/>
          <w:szCs w:val="22"/>
        </w:rPr>
        <w:t>.</w:t>
      </w:r>
      <w:r w:rsidRPr="003751B0">
        <w:rPr>
          <w:rFonts w:ascii="Calibri" w:hAnsi="Calibri" w:cs="Calibri"/>
          <w:sz w:val="22"/>
          <w:szCs w:val="22"/>
          <w:vertAlign w:val="superscript"/>
        </w:rPr>
        <w:t>2</w:t>
      </w:r>
      <w:r w:rsidRPr="003751B0">
        <w:rPr>
          <w:rFonts w:ascii="Calibri" w:hAnsi="Calibri" w:cs="Calibri"/>
          <w:sz w:val="22"/>
          <w:szCs w:val="22"/>
          <w:vertAlign w:val="superscript"/>
        </w:rPr>
        <w:t>7</w:t>
      </w:r>
      <w:r w:rsidRPr="003751B0">
        <w:rPr>
          <w:rFonts w:ascii="Calibri" w:hAnsi="Calibri" w:cs="Calibri"/>
          <w:sz w:val="22"/>
          <w:szCs w:val="22"/>
        </w:rPr>
        <w:t xml:space="preserve"> Positive teacher–student relationships and emotionally supportive classroom environments contribute significantly to student wellbeing, while teacher stress and burnout may undermine these protective factors. Consequently, whole-school approaches that promote staff wellbeing are increasingly viewed as an important component of improving student wellbeing and educational outcomes</w:t>
      </w:r>
      <w:r w:rsidRPr="003751B0">
        <w:rPr>
          <w:rFonts w:ascii="Calibri" w:hAnsi="Calibri" w:cs="Calibri"/>
          <w:sz w:val="22"/>
          <w:szCs w:val="22"/>
        </w:rPr>
        <w:t>.</w:t>
      </w:r>
      <w:r w:rsidRPr="003751B0">
        <w:rPr>
          <w:rFonts w:ascii="Calibri" w:hAnsi="Calibri" w:cs="Calibri"/>
          <w:sz w:val="22"/>
          <w:szCs w:val="22"/>
          <w:vertAlign w:val="superscript"/>
        </w:rPr>
        <w:t>29</w:t>
      </w:r>
      <w:r w:rsidRPr="003751B0">
        <w:rPr>
          <w:rFonts w:ascii="Calibri" w:hAnsi="Calibri" w:cs="Calibri"/>
          <w:sz w:val="22"/>
          <w:szCs w:val="22"/>
          <w:vertAlign w:val="superscript"/>
        </w:rPr>
        <w:t>,</w:t>
      </w:r>
      <w:r>
        <w:rPr>
          <w:rStyle w:val="FootnoteReference"/>
          <w:rFonts w:ascii="Calibri" w:hAnsi="Calibri" w:cs="Calibri"/>
          <w:sz w:val="22"/>
          <w:szCs w:val="22"/>
        </w:rPr>
        <w:footnoteReference w:id="31"/>
      </w:r>
      <w:r w:rsidRPr="003751B0">
        <w:rPr>
          <w:rFonts w:ascii="Calibri" w:hAnsi="Calibri" w:cs="Calibri"/>
          <w:sz w:val="22"/>
          <w:szCs w:val="22"/>
        </w:rPr>
        <w:t xml:space="preserve"> One important component of</w:t>
      </w:r>
      <w:r w:rsidRPr="003751B0">
        <w:rPr>
          <w:rFonts w:ascii="Calibri" w:hAnsi="Calibri" w:cs="Calibri"/>
          <w:sz w:val="22"/>
          <w:szCs w:val="22"/>
        </w:rPr>
        <w:t xml:space="preserve"> staff wellbeing promotion is supervision</w:t>
      </w:r>
      <w:r w:rsidRPr="003751B0">
        <w:rPr>
          <w:rFonts w:ascii="Calibri" w:hAnsi="Calibri" w:cs="Calibri"/>
          <w:sz w:val="22"/>
          <w:szCs w:val="22"/>
        </w:rPr>
        <w:t>, which needs to be embedded within a whole school approach. Offering regular reflective supervision, consultation and mentoring opportunities, particularly for staff supporting pupils with complex emotional, behavioural or mental health needs is important.</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Wider system pressures</w:t>
      </w:r>
      <w:r w:rsidRPr="003751B0">
        <w:rPr>
          <w:rFonts w:ascii="Calibri" w:hAnsi="Calibri" w:cs="Calibri"/>
          <w:sz w:val="22"/>
          <w:szCs w:val="22"/>
        </w:rPr>
        <w:t xml:space="preserve"> including accountability systems and </w:t>
      </w:r>
      <w:r w:rsidRPr="003751B0">
        <w:rPr>
          <w:rFonts w:ascii="Calibri" w:hAnsi="Calibri" w:cs="Calibri"/>
          <w:sz w:val="22"/>
          <w:szCs w:val="22"/>
        </w:rPr>
        <w:t>performance pressures</w:t>
      </w:r>
      <w:r w:rsidRPr="003751B0">
        <w:rPr>
          <w:rFonts w:ascii="Calibri" w:hAnsi="Calibri" w:cs="Calibri"/>
          <w:sz w:val="22"/>
          <w:szCs w:val="22"/>
        </w:rPr>
        <w:t xml:space="preserve"> </w:t>
      </w:r>
      <w:r w:rsidRPr="003751B0">
        <w:rPr>
          <w:rFonts w:ascii="Calibri" w:hAnsi="Calibri" w:cs="Calibri"/>
          <w:sz w:val="22"/>
          <w:szCs w:val="22"/>
        </w:rPr>
        <w:t>also contribute to teacher stress</w:t>
      </w:r>
      <w:r w:rsidRPr="003751B0">
        <w:rPr>
          <w:rFonts w:ascii="Calibri" w:hAnsi="Calibri" w:cs="Calibri"/>
          <w:sz w:val="22"/>
          <w:szCs w:val="22"/>
        </w:rPr>
        <w:t xml:space="preserve"> and workload. </w:t>
      </w:r>
      <w:r w:rsidRPr="003751B0">
        <w:rPr>
          <w:rFonts w:ascii="Calibri" w:hAnsi="Calibri" w:cs="Calibri"/>
          <w:sz w:val="22"/>
          <w:szCs w:val="22"/>
        </w:rPr>
        <w:t xml:space="preserve">Teachers are often required to </w:t>
      </w:r>
      <w:r w:rsidRPr="003751B0">
        <w:rPr>
          <w:rFonts w:ascii="Calibri" w:hAnsi="Calibri" w:cs="Calibri"/>
          <w:sz w:val="22"/>
          <w:szCs w:val="22"/>
        </w:rPr>
        <w:t>implement or enforce policies they believe are harmful to student</w:t>
      </w:r>
      <w:r w:rsidRPr="003751B0">
        <w:rPr>
          <w:rFonts w:ascii="Calibri" w:hAnsi="Calibri" w:cs="Calibri"/>
          <w:sz w:val="22"/>
          <w:szCs w:val="22"/>
        </w:rPr>
        <w:t xml:space="preserve"> outcomes, </w:t>
      </w:r>
      <w:r w:rsidRPr="003751B0">
        <w:rPr>
          <w:rFonts w:ascii="Calibri" w:hAnsi="Calibri" w:cs="Calibri"/>
          <w:sz w:val="22"/>
          <w:szCs w:val="22"/>
        </w:rPr>
        <w:t xml:space="preserve">face conflicting institutional demands, </w:t>
      </w:r>
      <w:r w:rsidRPr="003751B0">
        <w:rPr>
          <w:rFonts w:ascii="Calibri" w:hAnsi="Calibri" w:cs="Calibri"/>
          <w:sz w:val="22"/>
          <w:szCs w:val="22"/>
        </w:rPr>
        <w:t xml:space="preserve">and feel disempowered by </w:t>
      </w:r>
      <w:r w:rsidRPr="003751B0">
        <w:rPr>
          <w:rFonts w:ascii="Calibri" w:hAnsi="Calibri" w:cs="Calibri"/>
          <w:sz w:val="22"/>
          <w:szCs w:val="22"/>
        </w:rPr>
        <w:t>inequitable policies</w:t>
      </w:r>
      <w:r w:rsidRPr="003751B0">
        <w:rPr>
          <w:rFonts w:ascii="Calibri" w:hAnsi="Calibri" w:cs="Calibri"/>
          <w:sz w:val="22"/>
          <w:szCs w:val="22"/>
        </w:rPr>
        <w:t>.</w:t>
      </w:r>
      <w:r>
        <w:rPr>
          <w:rStyle w:val="FootnoteReference"/>
          <w:rFonts w:ascii="Calibri" w:hAnsi="Calibri" w:cs="Calibri"/>
          <w:sz w:val="22"/>
          <w:szCs w:val="22"/>
        </w:rPr>
        <w:footnoteReference w:id="32"/>
      </w:r>
      <w:r w:rsidRPr="003751B0">
        <w:rPr>
          <w:rFonts w:ascii="Calibri" w:hAnsi="Calibri" w:cs="Calibri"/>
          <w:sz w:val="22"/>
          <w:szCs w:val="22"/>
        </w:rPr>
        <w:t xml:space="preserve"> </w:t>
      </w:r>
      <w:r w:rsidRPr="003751B0">
        <w:rPr>
          <w:rFonts w:ascii="Calibri" w:hAnsi="Calibri" w:cs="Calibri"/>
          <w:sz w:val="22"/>
          <w:szCs w:val="22"/>
        </w:rPr>
        <w:t xml:space="preserve"> </w:t>
      </w:r>
      <w:r w:rsidRPr="003751B0">
        <w:rPr>
          <w:rFonts w:ascii="Calibri" w:hAnsi="Calibri" w:cs="Calibri"/>
          <w:sz w:val="22"/>
          <w:szCs w:val="22"/>
        </w:rPr>
        <w:t>Reforms</w:t>
      </w:r>
      <w:r w:rsidRPr="003751B0">
        <w:rPr>
          <w:rFonts w:ascii="Calibri" w:hAnsi="Calibri" w:cs="Calibri"/>
          <w:sz w:val="22"/>
          <w:szCs w:val="22"/>
        </w:rPr>
        <w:t xml:space="preserve"> need to address </w:t>
      </w:r>
      <w:r w:rsidRPr="003751B0">
        <w:rPr>
          <w:rFonts w:ascii="Calibri" w:hAnsi="Calibri" w:cs="Calibri"/>
          <w:sz w:val="22"/>
          <w:szCs w:val="22"/>
        </w:rPr>
        <w:t>potential mor</w:t>
      </w:r>
      <w:r w:rsidRPr="003751B0">
        <w:rPr>
          <w:rFonts w:ascii="Calibri" w:hAnsi="Calibri" w:cs="Calibri"/>
          <w:sz w:val="22"/>
          <w:szCs w:val="22"/>
        </w:rPr>
        <w:t>al injury and demoralisation of teachers</w:t>
      </w:r>
      <w:r w:rsidRPr="003751B0">
        <w:rPr>
          <w:rFonts w:ascii="Calibri" w:hAnsi="Calibri" w:cs="Calibri"/>
          <w:sz w:val="22"/>
          <w:szCs w:val="22"/>
        </w:rPr>
        <w:t>.</w:t>
      </w:r>
      <w:r>
        <w:rPr>
          <w:rStyle w:val="FootnoteReference"/>
          <w:rFonts w:ascii="Calibri" w:hAnsi="Calibri" w:cs="Calibri"/>
          <w:sz w:val="22"/>
          <w:szCs w:val="22"/>
        </w:rPr>
        <w:footnoteReference w:id="33"/>
      </w:r>
      <w:r w:rsidRPr="003751B0">
        <w:rPr>
          <w:rFonts w:ascii="Calibri" w:hAnsi="Calibri" w:cs="Calibri"/>
          <w:sz w:val="22"/>
          <w:szCs w:val="22"/>
        </w:rPr>
        <w:t xml:space="preserve"> </w:t>
      </w:r>
    </w:p>
    <w:p w:rsidR="00812990" w:rsidRPr="003751B0" w:rsidP="00812990">
      <w:pPr>
        <w:pStyle w:val="Heading1"/>
        <w:numPr>
          <w:ilvl w:val="0"/>
          <w:numId w:val="1"/>
        </w:numPr>
        <w:rPr>
          <w:rFonts w:ascii="Calibri" w:hAnsi="Calibri" w:cs="Calibri"/>
          <w:sz w:val="22"/>
          <w:szCs w:val="22"/>
        </w:rPr>
      </w:pPr>
      <w:r w:rsidRPr="003751B0">
        <w:rPr>
          <w:rFonts w:ascii="Calibri" w:hAnsi="Calibri" w:cs="Calibri"/>
          <w:sz w:val="22"/>
          <w:szCs w:val="22"/>
        </w:rPr>
        <w:t>Young people not in education, employment or training (NEET)</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 xml:space="preserve">Reducing NEET requires earlier intervention, improved wellbeing support, more inclusive and flexible education pathways, and stronger connections between education, training and employment. </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You</w:t>
      </w:r>
      <w:r w:rsidRPr="003751B0">
        <w:rPr>
          <w:rFonts w:ascii="Calibri" w:hAnsi="Calibri" w:cs="Calibri"/>
          <w:sz w:val="22"/>
          <w:szCs w:val="22"/>
        </w:rPr>
        <w:t xml:space="preserve">ng </w:t>
      </w:r>
      <w:r w:rsidRPr="003751B0">
        <w:rPr>
          <w:rFonts w:ascii="Calibri" w:hAnsi="Calibri" w:cs="Calibri"/>
          <w:sz w:val="22"/>
          <w:szCs w:val="22"/>
        </w:rPr>
        <w:t xml:space="preserve">people </w:t>
      </w:r>
      <w:r w:rsidRPr="003751B0">
        <w:rPr>
          <w:rFonts w:ascii="Calibri" w:hAnsi="Calibri" w:cs="Calibri"/>
          <w:sz w:val="22"/>
          <w:szCs w:val="22"/>
        </w:rPr>
        <w:t>report</w:t>
      </w:r>
      <w:r w:rsidRPr="003751B0">
        <w:rPr>
          <w:rFonts w:ascii="Calibri" w:hAnsi="Calibri" w:cs="Calibri"/>
          <w:sz w:val="22"/>
          <w:szCs w:val="22"/>
        </w:rPr>
        <w:t xml:space="preserve"> that </w:t>
      </w:r>
      <w:r w:rsidRPr="003751B0">
        <w:rPr>
          <w:rFonts w:ascii="Calibri" w:hAnsi="Calibri" w:cs="Calibri"/>
          <w:sz w:val="22"/>
          <w:szCs w:val="22"/>
        </w:rPr>
        <w:t>their</w:t>
      </w:r>
      <w:r w:rsidRPr="003751B0">
        <w:rPr>
          <w:rFonts w:ascii="Calibri" w:hAnsi="Calibri" w:cs="Calibri"/>
          <w:sz w:val="22"/>
          <w:szCs w:val="22"/>
        </w:rPr>
        <w:t xml:space="preserve"> school experience</w:t>
      </w:r>
      <w:r w:rsidRPr="003751B0">
        <w:rPr>
          <w:rFonts w:ascii="Calibri" w:hAnsi="Calibri" w:cs="Calibri"/>
          <w:sz w:val="22"/>
          <w:szCs w:val="22"/>
        </w:rPr>
        <w:t xml:space="preserve">s play </w:t>
      </w:r>
      <w:r w:rsidRPr="003751B0">
        <w:rPr>
          <w:rFonts w:ascii="Calibri" w:hAnsi="Calibri" w:cs="Calibri"/>
          <w:sz w:val="22"/>
          <w:szCs w:val="22"/>
        </w:rPr>
        <w:t xml:space="preserve">a role </w:t>
      </w:r>
      <w:r w:rsidRPr="003751B0">
        <w:rPr>
          <w:rFonts w:ascii="Calibri" w:hAnsi="Calibri" w:cs="Calibri"/>
          <w:sz w:val="22"/>
          <w:szCs w:val="22"/>
        </w:rPr>
        <w:t xml:space="preserve">in </w:t>
      </w:r>
      <w:r w:rsidRPr="003751B0">
        <w:rPr>
          <w:rFonts w:ascii="Calibri" w:hAnsi="Calibri" w:cs="Calibri"/>
          <w:sz w:val="22"/>
          <w:szCs w:val="22"/>
        </w:rPr>
        <w:t>their</w:t>
      </w:r>
      <w:r w:rsidRPr="003751B0">
        <w:rPr>
          <w:rFonts w:ascii="Calibri" w:hAnsi="Calibri" w:cs="Calibri"/>
          <w:sz w:val="22"/>
          <w:szCs w:val="22"/>
        </w:rPr>
        <w:t xml:space="preserve"> becomin</w:t>
      </w:r>
      <w:r w:rsidRPr="003751B0">
        <w:rPr>
          <w:rFonts w:ascii="Calibri" w:hAnsi="Calibri" w:cs="Calibri"/>
          <w:sz w:val="22"/>
          <w:szCs w:val="22"/>
        </w:rPr>
        <w:t>g NEE</w:t>
      </w:r>
      <w:r w:rsidRPr="003751B0">
        <w:rPr>
          <w:rFonts w:ascii="Calibri" w:hAnsi="Calibri" w:cs="Calibri"/>
          <w:sz w:val="22"/>
          <w:szCs w:val="22"/>
        </w:rPr>
        <w:t>T</w:t>
      </w:r>
      <w:r w:rsidRPr="003751B0">
        <w:rPr>
          <w:rFonts w:ascii="Calibri" w:hAnsi="Calibri" w:cs="Calibri"/>
          <w:sz w:val="22"/>
          <w:szCs w:val="22"/>
        </w:rPr>
        <w:t>.</w:t>
      </w:r>
      <w:r>
        <w:rPr>
          <w:rStyle w:val="FootnoteReference"/>
          <w:rFonts w:ascii="Calibri" w:hAnsi="Calibri" w:cs="Calibri"/>
          <w:sz w:val="22"/>
          <w:szCs w:val="22"/>
        </w:rPr>
        <w:footnoteReference w:id="34"/>
      </w:r>
      <w:r w:rsidRPr="003751B0">
        <w:rPr>
          <w:rFonts w:ascii="Calibri" w:hAnsi="Calibri" w:cs="Calibri"/>
          <w:sz w:val="22"/>
          <w:szCs w:val="22"/>
        </w:rPr>
        <w:t xml:space="preserve"> </w:t>
      </w:r>
      <w:r w:rsidRPr="003751B0">
        <w:rPr>
          <w:rFonts w:ascii="Calibri" w:hAnsi="Calibri" w:cs="Calibri"/>
          <w:sz w:val="22"/>
          <w:szCs w:val="22"/>
        </w:rPr>
        <w:t>F</w:t>
      </w:r>
      <w:r w:rsidRPr="003751B0">
        <w:rPr>
          <w:rFonts w:ascii="Calibri" w:hAnsi="Calibri" w:cs="Calibri"/>
          <w:sz w:val="22"/>
          <w:szCs w:val="22"/>
        </w:rPr>
        <w:t xml:space="preserve">eeling </w:t>
      </w:r>
      <w:r w:rsidRPr="003751B0">
        <w:rPr>
          <w:rFonts w:ascii="Calibri" w:hAnsi="Calibri" w:cs="Calibri"/>
          <w:sz w:val="22"/>
          <w:szCs w:val="22"/>
        </w:rPr>
        <w:t>the</w:t>
      </w:r>
      <w:r w:rsidRPr="003751B0">
        <w:rPr>
          <w:rFonts w:ascii="Calibri" w:hAnsi="Calibri" w:cs="Calibri"/>
          <w:sz w:val="22"/>
          <w:szCs w:val="22"/>
        </w:rPr>
        <w:t xml:space="preserve">ir </w:t>
      </w:r>
      <w:r w:rsidRPr="003751B0">
        <w:rPr>
          <w:rFonts w:ascii="Calibri" w:hAnsi="Calibri" w:cs="Calibri"/>
          <w:sz w:val="22"/>
          <w:szCs w:val="22"/>
        </w:rPr>
        <w:t xml:space="preserve">strengths are </w:t>
      </w:r>
      <w:r w:rsidRPr="003751B0">
        <w:rPr>
          <w:rFonts w:ascii="Calibri" w:hAnsi="Calibri" w:cs="Calibri"/>
          <w:sz w:val="22"/>
          <w:szCs w:val="22"/>
        </w:rPr>
        <w:t xml:space="preserve">unvalued </w:t>
      </w:r>
      <w:r w:rsidRPr="003751B0">
        <w:rPr>
          <w:rFonts w:ascii="Calibri" w:hAnsi="Calibri" w:cs="Calibri"/>
          <w:sz w:val="22"/>
          <w:szCs w:val="22"/>
        </w:rPr>
        <w:t>in sch</w:t>
      </w:r>
      <w:r w:rsidRPr="003751B0">
        <w:rPr>
          <w:rFonts w:ascii="Calibri" w:hAnsi="Calibri" w:cs="Calibri"/>
          <w:sz w:val="22"/>
          <w:szCs w:val="22"/>
        </w:rPr>
        <w:t xml:space="preserve">ool </w:t>
      </w:r>
      <w:r w:rsidRPr="003751B0">
        <w:rPr>
          <w:rFonts w:ascii="Calibri" w:hAnsi="Calibri" w:cs="Calibri"/>
          <w:sz w:val="22"/>
          <w:szCs w:val="22"/>
        </w:rPr>
        <w:t>and</w:t>
      </w:r>
      <w:r w:rsidRPr="003751B0">
        <w:rPr>
          <w:rFonts w:ascii="Calibri" w:hAnsi="Calibri" w:cs="Calibri"/>
          <w:sz w:val="22"/>
          <w:szCs w:val="22"/>
        </w:rPr>
        <w:t xml:space="preserve"> d</w:t>
      </w:r>
      <w:r w:rsidRPr="003751B0">
        <w:rPr>
          <w:rFonts w:ascii="Calibri" w:hAnsi="Calibri" w:cs="Calibri"/>
          <w:sz w:val="22"/>
          <w:szCs w:val="22"/>
        </w:rPr>
        <w:t xml:space="preserve">isengagement with school and </w:t>
      </w:r>
      <w:r w:rsidRPr="003751B0">
        <w:rPr>
          <w:rFonts w:ascii="Calibri" w:hAnsi="Calibri" w:cs="Calibri"/>
          <w:sz w:val="22"/>
          <w:szCs w:val="22"/>
        </w:rPr>
        <w:t xml:space="preserve">were </w:t>
      </w:r>
      <w:r w:rsidRPr="003751B0">
        <w:rPr>
          <w:rFonts w:ascii="Calibri" w:hAnsi="Calibri" w:cs="Calibri"/>
          <w:sz w:val="22"/>
          <w:szCs w:val="22"/>
        </w:rPr>
        <w:t>not</w:t>
      </w:r>
      <w:r w:rsidRPr="003751B0">
        <w:rPr>
          <w:rFonts w:ascii="Calibri" w:hAnsi="Calibri" w:cs="Calibri"/>
          <w:sz w:val="22"/>
          <w:szCs w:val="22"/>
        </w:rPr>
        <w:t xml:space="preserve">ed as </w:t>
      </w:r>
      <w:r w:rsidRPr="003751B0">
        <w:rPr>
          <w:rFonts w:ascii="Calibri" w:hAnsi="Calibri" w:cs="Calibri"/>
          <w:sz w:val="22"/>
          <w:szCs w:val="22"/>
        </w:rPr>
        <w:t xml:space="preserve">contributors. </w:t>
      </w:r>
      <w:r w:rsidRPr="003751B0">
        <w:rPr>
          <w:rFonts w:ascii="Calibri" w:hAnsi="Calibri" w:cs="Calibri"/>
          <w:sz w:val="22"/>
          <w:szCs w:val="22"/>
        </w:rPr>
        <w:t xml:space="preserve">Young people are more likely to engage and persist in education, training and support programmes when their strengths, interests and individual circumstances are recognised, and when they are provided with opportunities for autonomy, </w:t>
      </w:r>
      <w:r w:rsidRPr="003751B0">
        <w:rPr>
          <w:rFonts w:ascii="Calibri" w:hAnsi="Calibri" w:cs="Calibri"/>
          <w:sz w:val="22"/>
          <w:szCs w:val="22"/>
        </w:rPr>
        <w:t xml:space="preserve">connectedness, </w:t>
      </w:r>
      <w:r w:rsidRPr="003751B0">
        <w:rPr>
          <w:rFonts w:ascii="Calibri" w:hAnsi="Calibri" w:cs="Calibri"/>
          <w:sz w:val="22"/>
          <w:szCs w:val="22"/>
        </w:rPr>
        <w:t>choice and personalised support</w:t>
      </w:r>
      <w:r w:rsidRPr="003751B0">
        <w:rPr>
          <w:rFonts w:ascii="Calibri" w:hAnsi="Calibri" w:cs="Calibri"/>
          <w:sz w:val="22"/>
          <w:szCs w:val="22"/>
        </w:rPr>
        <w:t>.</w:t>
      </w:r>
      <w:r>
        <w:rPr>
          <w:rStyle w:val="FootnoteReference"/>
          <w:rFonts w:ascii="Calibri" w:hAnsi="Calibri" w:cs="Calibri"/>
          <w:sz w:val="22"/>
          <w:szCs w:val="22"/>
        </w:rPr>
        <w:footnoteReference w:id="35"/>
      </w:r>
      <w:r w:rsidRPr="003751B0">
        <w:rPr>
          <w:rFonts w:ascii="Calibri" w:hAnsi="Calibri" w:cs="Calibri"/>
          <w:sz w:val="22"/>
          <w:szCs w:val="22"/>
          <w:vertAlign w:val="superscript"/>
        </w:rPr>
        <w:t>,</w:t>
      </w:r>
      <w:r>
        <w:rPr>
          <w:rStyle w:val="FootnoteReference"/>
          <w:rFonts w:ascii="Calibri" w:hAnsi="Calibri" w:cs="Calibri"/>
          <w:sz w:val="22"/>
          <w:szCs w:val="22"/>
        </w:rPr>
        <w:footnoteReference w:id="36"/>
      </w:r>
      <w:r w:rsidRPr="003751B0">
        <w:rPr>
          <w:rFonts w:ascii="Calibri" w:hAnsi="Calibri" w:cs="Calibri"/>
          <w:sz w:val="22"/>
          <w:szCs w:val="22"/>
        </w:rPr>
        <w:t xml:space="preserve"> </w:t>
      </w:r>
    </w:p>
    <w:p w:rsidR="00812990" w:rsidRPr="003751B0" w:rsidP="00812990">
      <w:pPr>
        <w:pStyle w:val="ListParagraph"/>
        <w:numPr>
          <w:ilvl w:val="1"/>
          <w:numId w:val="1"/>
        </w:numPr>
        <w:rPr>
          <w:rFonts w:ascii="Calibri" w:hAnsi="Calibri" w:cs="Calibri"/>
          <w:sz w:val="22"/>
          <w:szCs w:val="22"/>
        </w:rPr>
      </w:pPr>
      <w:r w:rsidRPr="003751B0">
        <w:rPr>
          <w:rFonts w:ascii="Calibri" w:hAnsi="Calibri" w:cs="Calibri"/>
          <w:sz w:val="22"/>
          <w:szCs w:val="22"/>
        </w:rPr>
        <w:t>C</w:t>
      </w:r>
      <w:r w:rsidRPr="003751B0">
        <w:rPr>
          <w:rFonts w:ascii="Calibri" w:hAnsi="Calibri" w:cs="Calibri"/>
          <w:sz w:val="22"/>
          <w:szCs w:val="22"/>
        </w:rPr>
        <w:t>hild</w:t>
      </w:r>
      <w:r w:rsidRPr="003751B0">
        <w:rPr>
          <w:rFonts w:ascii="Calibri" w:hAnsi="Calibri" w:cs="Calibri"/>
          <w:sz w:val="22"/>
          <w:szCs w:val="22"/>
        </w:rPr>
        <w:t xml:space="preserve">hood and </w:t>
      </w:r>
      <w:r w:rsidRPr="003751B0">
        <w:rPr>
          <w:rFonts w:ascii="Calibri" w:hAnsi="Calibri" w:cs="Calibri"/>
          <w:sz w:val="22"/>
          <w:szCs w:val="22"/>
        </w:rPr>
        <w:t>adoles</w:t>
      </w:r>
      <w:r w:rsidRPr="003751B0">
        <w:rPr>
          <w:rFonts w:ascii="Calibri" w:hAnsi="Calibri" w:cs="Calibri"/>
          <w:sz w:val="22"/>
          <w:szCs w:val="22"/>
        </w:rPr>
        <w:t>cen</w:t>
      </w:r>
      <w:r w:rsidRPr="003751B0">
        <w:rPr>
          <w:rFonts w:ascii="Calibri" w:hAnsi="Calibri" w:cs="Calibri"/>
          <w:sz w:val="22"/>
          <w:szCs w:val="22"/>
        </w:rPr>
        <w:t>ce</w:t>
      </w:r>
      <w:r w:rsidRPr="003751B0">
        <w:rPr>
          <w:rFonts w:ascii="Calibri" w:hAnsi="Calibri" w:cs="Calibri"/>
          <w:sz w:val="22"/>
          <w:szCs w:val="22"/>
        </w:rPr>
        <w:t xml:space="preserve"> </w:t>
      </w:r>
      <w:r w:rsidRPr="003751B0">
        <w:rPr>
          <w:rFonts w:ascii="Calibri" w:hAnsi="Calibri" w:cs="Calibri"/>
          <w:sz w:val="22"/>
          <w:szCs w:val="22"/>
        </w:rPr>
        <w:t>m</w:t>
      </w:r>
      <w:r w:rsidRPr="003751B0">
        <w:rPr>
          <w:rFonts w:ascii="Calibri" w:hAnsi="Calibri" w:cs="Calibri"/>
          <w:sz w:val="22"/>
          <w:szCs w:val="22"/>
        </w:rPr>
        <w:t>en</w:t>
      </w:r>
      <w:r w:rsidRPr="003751B0">
        <w:rPr>
          <w:rFonts w:ascii="Calibri" w:hAnsi="Calibri" w:cs="Calibri"/>
          <w:sz w:val="22"/>
          <w:szCs w:val="22"/>
        </w:rPr>
        <w:t>tal health pro</w:t>
      </w:r>
      <w:r w:rsidRPr="003751B0">
        <w:rPr>
          <w:rFonts w:ascii="Calibri" w:hAnsi="Calibri" w:cs="Calibri"/>
          <w:sz w:val="22"/>
          <w:szCs w:val="22"/>
        </w:rPr>
        <w:t>blems</w:t>
      </w:r>
      <w:r w:rsidRPr="003751B0">
        <w:rPr>
          <w:rFonts w:ascii="Calibri" w:hAnsi="Calibri" w:cs="Calibri"/>
          <w:sz w:val="22"/>
          <w:szCs w:val="22"/>
        </w:rPr>
        <w:t xml:space="preserve"> </w:t>
      </w:r>
      <w:r w:rsidRPr="003751B0">
        <w:rPr>
          <w:rFonts w:ascii="Calibri" w:hAnsi="Calibri" w:cs="Calibri"/>
          <w:sz w:val="22"/>
          <w:szCs w:val="22"/>
        </w:rPr>
        <w:t>increas</w:t>
      </w:r>
      <w:r w:rsidRPr="003751B0">
        <w:rPr>
          <w:rFonts w:ascii="Calibri" w:hAnsi="Calibri" w:cs="Calibri"/>
          <w:sz w:val="22"/>
          <w:szCs w:val="22"/>
        </w:rPr>
        <w:t>e the lik</w:t>
      </w:r>
      <w:r w:rsidRPr="003751B0">
        <w:rPr>
          <w:rFonts w:ascii="Calibri" w:hAnsi="Calibri" w:cs="Calibri"/>
          <w:sz w:val="22"/>
          <w:szCs w:val="22"/>
        </w:rPr>
        <w:t>elihood o</w:t>
      </w:r>
      <w:r w:rsidRPr="003751B0">
        <w:rPr>
          <w:rFonts w:ascii="Calibri" w:hAnsi="Calibri" w:cs="Calibri"/>
          <w:sz w:val="22"/>
          <w:szCs w:val="22"/>
        </w:rPr>
        <w:t xml:space="preserve">f becoming </w:t>
      </w:r>
      <w:r w:rsidRPr="003751B0">
        <w:rPr>
          <w:rFonts w:ascii="Calibri" w:hAnsi="Calibri" w:cs="Calibri"/>
          <w:sz w:val="22"/>
          <w:szCs w:val="22"/>
        </w:rPr>
        <w:t>NEET lat</w:t>
      </w:r>
      <w:r w:rsidRPr="003751B0">
        <w:rPr>
          <w:rFonts w:ascii="Calibri" w:hAnsi="Calibri" w:cs="Calibri"/>
          <w:sz w:val="22"/>
          <w:szCs w:val="22"/>
        </w:rPr>
        <w:t>er in life</w:t>
      </w:r>
      <w:r w:rsidRPr="003751B0">
        <w:rPr>
          <w:rFonts w:ascii="Calibri" w:hAnsi="Calibri" w:cs="Calibri"/>
          <w:sz w:val="22"/>
          <w:szCs w:val="22"/>
        </w:rPr>
        <w:t>.</w:t>
      </w:r>
      <w:r>
        <w:rPr>
          <w:rStyle w:val="FootnoteReference"/>
          <w:rFonts w:ascii="Calibri" w:hAnsi="Calibri" w:cs="Calibri"/>
          <w:sz w:val="22"/>
          <w:szCs w:val="22"/>
        </w:rPr>
        <w:footnoteReference w:id="37"/>
      </w:r>
      <w:r w:rsidRPr="003751B0">
        <w:rPr>
          <w:rFonts w:ascii="Calibri" w:hAnsi="Calibri" w:cs="Calibri"/>
          <w:sz w:val="22"/>
          <w:szCs w:val="22"/>
          <w:vertAlign w:val="superscript"/>
        </w:rPr>
        <w:t>,</w:t>
      </w:r>
      <w:r>
        <w:rPr>
          <w:rStyle w:val="FootnoteReference"/>
          <w:rFonts w:ascii="Calibri" w:hAnsi="Calibri" w:cs="Calibri"/>
          <w:sz w:val="22"/>
          <w:szCs w:val="22"/>
        </w:rPr>
        <w:footnoteReference w:id="38"/>
      </w:r>
      <w:r w:rsidRPr="003751B0">
        <w:rPr>
          <w:rFonts w:ascii="Calibri" w:hAnsi="Calibri" w:cs="Calibri"/>
          <w:sz w:val="22"/>
          <w:szCs w:val="22"/>
        </w:rPr>
        <w:t xml:space="preserve"> </w:t>
      </w:r>
      <w:r w:rsidRPr="003751B0">
        <w:rPr>
          <w:rFonts w:ascii="Calibri" w:hAnsi="Calibri" w:cs="Calibri"/>
          <w:sz w:val="22"/>
          <w:szCs w:val="22"/>
        </w:rPr>
        <w:t xml:space="preserve"> therefo</w:t>
      </w:r>
      <w:r w:rsidRPr="003751B0">
        <w:rPr>
          <w:rFonts w:ascii="Calibri" w:hAnsi="Calibri" w:cs="Calibri"/>
          <w:sz w:val="22"/>
          <w:szCs w:val="22"/>
        </w:rPr>
        <w:t xml:space="preserve">re </w:t>
      </w:r>
      <w:r w:rsidRPr="003751B0">
        <w:rPr>
          <w:rFonts w:ascii="Calibri" w:hAnsi="Calibri" w:cs="Calibri"/>
          <w:sz w:val="22"/>
          <w:szCs w:val="22"/>
        </w:rPr>
        <w:t>tac</w:t>
      </w:r>
      <w:r w:rsidRPr="003751B0">
        <w:rPr>
          <w:rFonts w:ascii="Calibri" w:hAnsi="Calibri" w:cs="Calibri"/>
          <w:sz w:val="22"/>
          <w:szCs w:val="22"/>
        </w:rPr>
        <w:t>k</w:t>
      </w:r>
      <w:r w:rsidRPr="003751B0">
        <w:rPr>
          <w:rFonts w:ascii="Calibri" w:hAnsi="Calibri" w:cs="Calibri"/>
          <w:sz w:val="22"/>
          <w:szCs w:val="22"/>
        </w:rPr>
        <w:t xml:space="preserve">ling the </w:t>
      </w:r>
      <w:r w:rsidRPr="003751B0">
        <w:rPr>
          <w:rFonts w:ascii="Calibri" w:hAnsi="Calibri" w:cs="Calibri"/>
          <w:sz w:val="22"/>
          <w:szCs w:val="22"/>
        </w:rPr>
        <w:t>curren</w:t>
      </w:r>
      <w:r w:rsidRPr="003751B0">
        <w:rPr>
          <w:rFonts w:ascii="Calibri" w:hAnsi="Calibri" w:cs="Calibri"/>
          <w:sz w:val="22"/>
          <w:szCs w:val="22"/>
        </w:rPr>
        <w:t xml:space="preserve">t mental </w:t>
      </w:r>
      <w:r w:rsidRPr="003751B0">
        <w:rPr>
          <w:rFonts w:ascii="Calibri" w:hAnsi="Calibri" w:cs="Calibri"/>
          <w:sz w:val="22"/>
          <w:szCs w:val="22"/>
        </w:rPr>
        <w:t>he</w:t>
      </w:r>
      <w:r w:rsidRPr="003751B0">
        <w:rPr>
          <w:rFonts w:ascii="Calibri" w:hAnsi="Calibri" w:cs="Calibri"/>
          <w:sz w:val="22"/>
          <w:szCs w:val="22"/>
        </w:rPr>
        <w:t>alt</w:t>
      </w:r>
      <w:r w:rsidRPr="003751B0">
        <w:rPr>
          <w:rFonts w:ascii="Calibri" w:hAnsi="Calibri" w:cs="Calibri"/>
          <w:sz w:val="22"/>
          <w:szCs w:val="22"/>
        </w:rPr>
        <w:t>h cris</w:t>
      </w:r>
      <w:r w:rsidRPr="003751B0">
        <w:rPr>
          <w:rFonts w:ascii="Calibri" w:hAnsi="Calibri" w:cs="Calibri"/>
          <w:sz w:val="22"/>
          <w:szCs w:val="22"/>
        </w:rPr>
        <w:t>is an</w:t>
      </w:r>
      <w:r w:rsidRPr="003751B0">
        <w:rPr>
          <w:rFonts w:ascii="Calibri" w:hAnsi="Calibri" w:cs="Calibri"/>
          <w:sz w:val="22"/>
          <w:szCs w:val="22"/>
        </w:rPr>
        <w:t>d support</w:t>
      </w:r>
      <w:r w:rsidRPr="003751B0">
        <w:rPr>
          <w:rFonts w:ascii="Calibri" w:hAnsi="Calibri" w:cs="Calibri"/>
          <w:sz w:val="22"/>
          <w:szCs w:val="22"/>
        </w:rPr>
        <w:t>ing the men</w:t>
      </w:r>
      <w:r w:rsidRPr="003751B0">
        <w:rPr>
          <w:rFonts w:ascii="Calibri" w:hAnsi="Calibri" w:cs="Calibri"/>
          <w:sz w:val="22"/>
          <w:szCs w:val="22"/>
        </w:rPr>
        <w:t>t</w:t>
      </w:r>
      <w:r w:rsidRPr="003751B0">
        <w:rPr>
          <w:rFonts w:ascii="Calibri" w:hAnsi="Calibri" w:cs="Calibri"/>
          <w:sz w:val="22"/>
          <w:szCs w:val="22"/>
        </w:rPr>
        <w:t>a</w:t>
      </w:r>
      <w:r w:rsidRPr="003751B0">
        <w:rPr>
          <w:rFonts w:ascii="Calibri" w:hAnsi="Calibri" w:cs="Calibri"/>
          <w:sz w:val="22"/>
          <w:szCs w:val="22"/>
        </w:rPr>
        <w:t>l health and we</w:t>
      </w:r>
      <w:r w:rsidRPr="003751B0">
        <w:rPr>
          <w:rFonts w:ascii="Calibri" w:hAnsi="Calibri" w:cs="Calibri"/>
          <w:sz w:val="22"/>
          <w:szCs w:val="22"/>
        </w:rPr>
        <w:t>llbeing of young people</w:t>
      </w:r>
      <w:r w:rsidRPr="003751B0">
        <w:rPr>
          <w:rFonts w:ascii="Calibri" w:hAnsi="Calibri" w:cs="Calibri"/>
          <w:sz w:val="22"/>
          <w:szCs w:val="22"/>
        </w:rPr>
        <w:t xml:space="preserve"> in school</w:t>
      </w:r>
      <w:r w:rsidRPr="003751B0">
        <w:rPr>
          <w:rFonts w:ascii="Calibri" w:hAnsi="Calibri" w:cs="Calibri"/>
          <w:sz w:val="22"/>
          <w:szCs w:val="22"/>
        </w:rPr>
        <w:t>s as e</w:t>
      </w:r>
      <w:r w:rsidRPr="003751B0">
        <w:rPr>
          <w:rFonts w:ascii="Calibri" w:hAnsi="Calibri" w:cs="Calibri"/>
          <w:sz w:val="22"/>
          <w:szCs w:val="22"/>
        </w:rPr>
        <w:t>arly inter</w:t>
      </w:r>
      <w:r w:rsidRPr="003751B0">
        <w:rPr>
          <w:rFonts w:ascii="Calibri" w:hAnsi="Calibri" w:cs="Calibri"/>
          <w:sz w:val="22"/>
          <w:szCs w:val="22"/>
        </w:rPr>
        <w:t>vention and preve</w:t>
      </w:r>
      <w:r w:rsidRPr="003751B0">
        <w:rPr>
          <w:rFonts w:ascii="Calibri" w:hAnsi="Calibri" w:cs="Calibri"/>
          <w:sz w:val="22"/>
          <w:szCs w:val="22"/>
        </w:rPr>
        <w:t>ntion will help to red</w:t>
      </w:r>
      <w:r w:rsidRPr="003751B0">
        <w:rPr>
          <w:rFonts w:ascii="Calibri" w:hAnsi="Calibri" w:cs="Calibri"/>
          <w:sz w:val="22"/>
          <w:szCs w:val="22"/>
        </w:rPr>
        <w:t>uce NEE</w:t>
      </w:r>
      <w:r w:rsidRPr="003751B0">
        <w:rPr>
          <w:rFonts w:ascii="Calibri" w:hAnsi="Calibri" w:cs="Calibri"/>
          <w:sz w:val="22"/>
          <w:szCs w:val="22"/>
        </w:rPr>
        <w:t xml:space="preserve">T. </w:t>
      </w:r>
      <w:r w:rsidRPr="003751B0">
        <w:rPr>
          <w:rFonts w:ascii="Calibri" w:hAnsi="Calibri" w:cs="Calibri"/>
          <w:sz w:val="22"/>
          <w:szCs w:val="22"/>
        </w:rPr>
        <w:t>Evidence also indicates that hope and career aspirations are important predictors of successful school-to-work transitions, influencing educational engagement, skill development and future employment outcomes. Young people who believe they can achieve meaningful future goals are more likely to remain engaged in pathways leading to work and training</w:t>
      </w:r>
      <w:r w:rsidRPr="003751B0">
        <w:rPr>
          <w:rFonts w:ascii="Calibri" w:hAnsi="Calibri" w:cs="Calibri"/>
          <w:sz w:val="22"/>
          <w:szCs w:val="22"/>
        </w:rPr>
        <w:t>.</w:t>
      </w:r>
      <w:r>
        <w:rPr>
          <w:rStyle w:val="FootnoteReference"/>
          <w:rFonts w:ascii="Calibri" w:hAnsi="Calibri" w:cs="Calibri"/>
          <w:sz w:val="22"/>
          <w:szCs w:val="22"/>
        </w:rPr>
        <w:footnoteReference w:id="39"/>
      </w:r>
      <w:r w:rsidRPr="003751B0">
        <w:rPr>
          <w:rFonts w:ascii="Calibri" w:hAnsi="Calibri" w:cs="Calibri"/>
          <w:sz w:val="22"/>
          <w:szCs w:val="22"/>
        </w:rPr>
        <w:t xml:space="preserve"> </w:t>
      </w:r>
      <w:r w:rsidRPr="003751B0">
        <w:rPr>
          <w:rFonts w:ascii="Calibri" w:hAnsi="Calibri" w:cs="Calibri"/>
          <w:sz w:val="22"/>
          <w:szCs w:val="22"/>
        </w:rPr>
        <w:t>There is a need for</w:t>
      </w:r>
      <w:r w:rsidRPr="003751B0">
        <w:rPr>
          <w:rFonts w:ascii="Calibri" w:hAnsi="Calibri" w:cs="Calibri"/>
          <w:sz w:val="22"/>
          <w:szCs w:val="22"/>
        </w:rPr>
        <w:t xml:space="preserve"> </w:t>
      </w:r>
      <w:r w:rsidRPr="003751B0">
        <w:rPr>
          <w:rFonts w:ascii="Calibri" w:hAnsi="Calibri" w:cs="Calibri"/>
          <w:sz w:val="22"/>
          <w:szCs w:val="22"/>
        </w:rPr>
        <w:t xml:space="preserve">a </w:t>
      </w:r>
      <w:r w:rsidRPr="003751B0">
        <w:rPr>
          <w:rFonts w:ascii="Calibri" w:hAnsi="Calibri" w:cs="Calibri"/>
          <w:sz w:val="22"/>
          <w:szCs w:val="22"/>
        </w:rPr>
        <w:t xml:space="preserve">preventative system that values diverse </w:t>
      </w:r>
      <w:r w:rsidRPr="003751B0">
        <w:rPr>
          <w:rFonts w:ascii="Calibri" w:hAnsi="Calibri" w:cs="Calibri"/>
          <w:sz w:val="22"/>
          <w:szCs w:val="22"/>
        </w:rPr>
        <w:t>strengths, supports wellbeing, provides flexible pathways, and helps young people make meaningful connections between education, employment and their future aspirations.</w:t>
      </w:r>
      <w:r w:rsidRPr="003751B0">
        <w:rPr>
          <w:rFonts w:ascii="Calibri" w:hAnsi="Calibri" w:cs="Calibri"/>
          <w:sz w:val="22"/>
          <w:szCs w:val="22"/>
        </w:rPr>
        <w:t xml:space="preserve"> </w:t>
      </w:r>
    </w:p>
    <w:p w:rsidR="003751B0" w:rsidRPr="003751B0" w:rsidP="003751B0">
      <w:pPr>
        <w:rPr>
          <w:rFonts w:ascii="Calibri" w:hAnsi="Calibri" w:cs="Calibri"/>
          <w:sz w:val="22"/>
          <w:szCs w:val="22"/>
        </w:rPr>
      </w:pPr>
    </w:p>
    <w:p w:rsidR="003751B0" w:rsidRPr="003751B0" w:rsidP="003751B0">
      <w:pPr>
        <w:rPr>
          <w:rFonts w:ascii="Calibri" w:hAnsi="Calibri" w:cs="Calibri"/>
          <w:i/>
          <w:iCs/>
          <w:sz w:val="22"/>
          <w:szCs w:val="22"/>
        </w:rPr>
      </w:pPr>
      <w:r w:rsidRPr="003751B0">
        <w:rPr>
          <w:rFonts w:ascii="Calibri" w:hAnsi="Calibri" w:cs="Calibri"/>
          <w:i/>
          <w:iCs/>
          <w:sz w:val="22"/>
          <w:szCs w:val="22"/>
        </w:rPr>
        <w:t>September 2026</w:t>
      </w:r>
    </w:p>
    <w:p w:rsidR="00812990" w:rsidRPr="003751B0" w:rsidP="007D1E8F">
      <w:pPr>
        <w:rPr>
          <w:rFonts w:ascii="Calibri" w:hAnsi="Calibri" w:cs="Calibri"/>
          <w:color w:val="7F7F7F" w:themeColor="text1" w:themeTint="80"/>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12990" w:rsidRPr="00032A2B" w:rsidP="00612770">
      <w:pPr>
        <w:spacing w:after="0" w:line="240" w:lineRule="auto"/>
      </w:pPr>
      <w:r w:rsidRPr="00032A2B">
        <w:separator/>
      </w:r>
    </w:p>
  </w:footnote>
  <w:footnote w:type="continuationSeparator" w:id="1">
    <w:p w:rsidR="00812990" w:rsidRPr="00032A2B" w:rsidP="00612770">
      <w:pPr>
        <w:spacing w:after="0" w:line="240" w:lineRule="auto"/>
      </w:pPr>
      <w:r w:rsidRPr="00032A2B">
        <w:continuationSeparator/>
      </w:r>
    </w:p>
  </w:footnote>
  <w:footnote w:id="2">
    <w:p w:rsidR="00812990" w:rsidRPr="004050E4" w:rsidP="004050E4">
      <w:pPr>
        <w:rPr>
          <w:rFonts w:ascii="Trebuchet MS" w:hAnsi="Trebuchet MS"/>
          <w:sz w:val="20"/>
          <w:szCs w:val="20"/>
        </w:rPr>
      </w:pPr>
      <w:r w:rsidRPr="004050E4">
        <w:rPr>
          <w:rStyle w:val="FootnoteReference"/>
          <w:rFonts w:ascii="Trebuchet MS" w:hAnsi="Trebuchet MS"/>
          <w:sz w:val="20"/>
          <w:szCs w:val="20"/>
        </w:rPr>
        <w:footnoteRef/>
      </w:r>
      <w:r w:rsidRPr="004050E4">
        <w:rPr>
          <w:rFonts w:ascii="Trebuchet MS" w:hAnsi="Trebuchet MS"/>
          <w:sz w:val="20"/>
          <w:szCs w:val="20"/>
        </w:rPr>
        <w:t xml:space="preserve"> Bond, C., Munford, L., Birks, D., Shobande, O., Denny, S., Hatton-Corcoran, S., Qualter, P., Wood, M., et al. (2024). </w:t>
      </w:r>
      <w:r w:rsidRPr="004050E4">
        <w:rPr>
          <w:rFonts w:ascii="Trebuchet MS" w:hAnsi="Trebuchet MS"/>
          <w:i/>
          <w:sz w:val="20"/>
          <w:szCs w:val="20"/>
        </w:rPr>
        <w:t>A country that works for all children and young people: An evidence-based plan</w:t>
      </w:r>
      <w:r w:rsidRPr="00032A2B">
        <w:rPr>
          <w:rFonts w:ascii="Trebuchet MS" w:hAnsi="Trebuchet MS"/>
          <w:i/>
          <w:iCs/>
        </w:rPr>
        <w:t xml:space="preserve"> </w:t>
      </w:r>
      <w:r w:rsidRPr="004050E4">
        <w:rPr>
          <w:rFonts w:ascii="Trebuchet MS" w:hAnsi="Trebuchet MS"/>
          <w:i/>
          <w:sz w:val="20"/>
          <w:szCs w:val="20"/>
        </w:rPr>
        <w:t>for improving school attendance</w:t>
      </w:r>
      <w:r w:rsidRPr="004050E4">
        <w:rPr>
          <w:rFonts w:ascii="Trebuchet MS" w:hAnsi="Trebuchet MS"/>
          <w:sz w:val="20"/>
          <w:szCs w:val="20"/>
        </w:rPr>
        <w:t xml:space="preserve">. N8 Research Partnership, Child of the North, and Centre for Young Lives. </w:t>
      </w:r>
      <w:r>
        <w:fldChar w:fldCharType="begin"/>
      </w:r>
      <w:r>
        <w:instrText xml:space="preserve"> HYPERLINK "https://www.n8research.org.uk/media/CotN_Attendance_Report_10.pdf" </w:instrText>
      </w:r>
      <w:r>
        <w:fldChar w:fldCharType="separate"/>
      </w:r>
      <w:r w:rsidRPr="004050E4">
        <w:rPr>
          <w:rStyle w:val="Hyperlink"/>
          <w:rFonts w:ascii="Trebuchet MS" w:hAnsi="Trebuchet MS"/>
          <w:sz w:val="20"/>
          <w:szCs w:val="20"/>
        </w:rPr>
        <w:t>https://www.n8research.org.uk/media/CotN_Attendance_Report_10.pdf</w:t>
      </w:r>
      <w:r>
        <w:fldChar w:fldCharType="end"/>
      </w:r>
    </w:p>
  </w:footnote>
  <w:footnote w:id="3">
    <w:p w:rsidR="00812990" w:rsidRPr="004050E4" w:rsidP="004050E4">
      <w:pPr>
        <w:rPr>
          <w:rFonts w:ascii="Trebuchet MS" w:hAnsi="Trebuchet MS"/>
          <w:sz w:val="20"/>
          <w:szCs w:val="20"/>
        </w:rPr>
      </w:pPr>
      <w:r w:rsidRPr="004050E4">
        <w:rPr>
          <w:rStyle w:val="FootnoteReference"/>
          <w:rFonts w:ascii="Trebuchet MS" w:hAnsi="Trebuchet MS"/>
          <w:sz w:val="20"/>
          <w:szCs w:val="20"/>
        </w:rPr>
        <w:footnoteRef/>
      </w:r>
      <w:r w:rsidRPr="004050E4">
        <w:rPr>
          <w:rFonts w:ascii="Trebuchet MS" w:hAnsi="Trebuchet MS"/>
          <w:sz w:val="20"/>
          <w:szCs w:val="20"/>
        </w:rPr>
        <w:t xml:space="preserve"> EEF and YEF. (2026). Four new evaluations of programmes and approaches designed to improve attendance and prevent persistent absence from school. </w:t>
      </w:r>
      <w:r>
        <w:fldChar w:fldCharType="begin"/>
      </w:r>
      <w:r>
        <w:instrText xml:space="preserve"> HYPERLINK "https://educationendowmentfoundation.org.uk/news/evaluations-improve-attendance-and-prevent-persistent-absence" </w:instrText>
      </w:r>
      <w:r>
        <w:fldChar w:fldCharType="separate"/>
      </w:r>
      <w:r w:rsidRPr="004050E4">
        <w:rPr>
          <w:rStyle w:val="Hyperlink"/>
          <w:rFonts w:ascii="Trebuchet MS" w:hAnsi="Trebuchet MS"/>
          <w:sz w:val="20"/>
          <w:szCs w:val="20"/>
        </w:rPr>
        <w:t>Four new evaluations of programmes and approaches designed to… | EEF</w:t>
      </w:r>
      <w:r>
        <w:fldChar w:fldCharType="end"/>
      </w:r>
    </w:p>
  </w:footnote>
  <w:footnote w:id="4">
    <w:p w:rsidR="00812990" w:rsidRPr="004050E4" w:rsidP="009B6631">
      <w:pPr>
        <w:rPr>
          <w:rFonts w:ascii="Trebuchet MS" w:hAnsi="Trebuchet MS"/>
          <w:sz w:val="20"/>
          <w:szCs w:val="20"/>
        </w:rPr>
      </w:pPr>
      <w:r w:rsidRPr="004050E4">
        <w:rPr>
          <w:rStyle w:val="FootnoteReference"/>
          <w:rFonts w:ascii="Trebuchet MS" w:hAnsi="Trebuchet MS"/>
          <w:sz w:val="20"/>
          <w:szCs w:val="20"/>
        </w:rPr>
        <w:footnoteRef/>
      </w:r>
      <w:r w:rsidRPr="004050E4">
        <w:rPr>
          <w:rFonts w:ascii="Trebuchet MS" w:hAnsi="Trebuchet MS"/>
          <w:sz w:val="20"/>
          <w:szCs w:val="20"/>
        </w:rPr>
        <w:t xml:space="preserve"> Cheng, Q., Thornton, E., Knowles, C., &amp; Humphrey, N. (2026). </w:t>
      </w:r>
      <w:r w:rsidRPr="004050E4">
        <w:rPr>
          <w:rFonts w:ascii="Trebuchet MS" w:hAnsi="Trebuchet MS"/>
          <w:i/>
          <w:sz w:val="20"/>
          <w:szCs w:val="20"/>
        </w:rPr>
        <w:t xml:space="preserve">Adolescent </w:t>
      </w:r>
      <w:r w:rsidRPr="004050E4">
        <w:rPr>
          <w:rFonts w:ascii="Trebuchet MS" w:hAnsi="Trebuchet MS"/>
          <w:sz w:val="20"/>
          <w:szCs w:val="20"/>
        </w:rPr>
        <w:t xml:space="preserve">Internalizing Symptoms, School Experiences, and Attendance: Sex-Specific Within-Person Pathways. </w:t>
      </w:r>
      <w:r w:rsidRPr="004050E4">
        <w:rPr>
          <w:rFonts w:ascii="Trebuchet MS" w:hAnsi="Trebuchet MS"/>
          <w:i/>
          <w:sz w:val="20"/>
          <w:szCs w:val="20"/>
        </w:rPr>
        <w:t>Journal of the American Academy of Child &amp; Adolescent Psychiatry.</w:t>
      </w:r>
      <w:r w:rsidRPr="004050E4">
        <w:rPr>
          <w:rFonts w:ascii="Trebuchet MS" w:hAnsi="Trebuchet MS"/>
          <w:sz w:val="20"/>
          <w:szCs w:val="20"/>
        </w:rPr>
        <w:t xml:space="preserve"> Advance online publication. </w:t>
      </w:r>
      <w:r>
        <w:fldChar w:fldCharType="begin"/>
      </w:r>
      <w:r>
        <w:instrText xml:space="preserve"> HYPERLINK "https://doi.org/10.1016/j.jaac.2026.04.001" </w:instrText>
      </w:r>
      <w:r>
        <w:fldChar w:fldCharType="separate"/>
      </w:r>
      <w:r w:rsidRPr="004050E4">
        <w:rPr>
          <w:rStyle w:val="Hyperlink"/>
          <w:rFonts w:ascii="Trebuchet MS" w:hAnsi="Trebuchet MS"/>
          <w:sz w:val="20"/>
          <w:szCs w:val="20"/>
        </w:rPr>
        <w:t>https://doi.org/10.1016/j.jaac.2026.04.001</w:t>
      </w:r>
      <w:r>
        <w:fldChar w:fldCharType="end"/>
      </w:r>
    </w:p>
  </w:footnote>
  <w:footnote w:id="5">
    <w:p w:rsidR="00812990" w:rsidRPr="005A2EA1" w:rsidP="005A2EA1">
      <w:pPr>
        <w:rPr>
          <w:rFonts w:ascii="Trebuchet MS" w:hAnsi="Trebuchet MS"/>
          <w:sz w:val="20"/>
          <w:szCs w:val="20"/>
        </w:rPr>
      </w:pPr>
      <w:r w:rsidRPr="004050E4">
        <w:rPr>
          <w:rStyle w:val="FootnoteReference"/>
          <w:rFonts w:ascii="Trebuchet MS" w:hAnsi="Trebuchet MS"/>
          <w:sz w:val="20"/>
          <w:szCs w:val="20"/>
        </w:rPr>
        <w:footnoteRef/>
      </w:r>
      <w:r w:rsidRPr="004050E4">
        <w:rPr>
          <w:rFonts w:ascii="Trebuchet MS" w:hAnsi="Trebuchet MS"/>
          <w:sz w:val="20"/>
          <w:szCs w:val="20"/>
        </w:rPr>
        <w:t xml:space="preserve"> Hamilton, L. G. (2024). Emotionally Based School Avoidance in the Aftermath of the COVID-19 Pandemic: Neurodiversity, Agency and Belonging in School. </w:t>
      </w:r>
      <w:r w:rsidRPr="004050E4">
        <w:rPr>
          <w:rFonts w:ascii="Trebuchet MS" w:hAnsi="Trebuchet MS"/>
          <w:i/>
          <w:sz w:val="20"/>
          <w:szCs w:val="20"/>
        </w:rPr>
        <w:t>Education Sciences</w:t>
      </w:r>
      <w:r w:rsidRPr="004050E4">
        <w:rPr>
          <w:rFonts w:ascii="Trebuchet MS" w:hAnsi="Trebuchet MS"/>
          <w:sz w:val="20"/>
          <w:szCs w:val="20"/>
        </w:rPr>
        <w:t>, </w:t>
      </w:r>
      <w:r w:rsidRPr="004050E4">
        <w:rPr>
          <w:rFonts w:ascii="Trebuchet MS" w:hAnsi="Trebuchet MS"/>
          <w:i/>
          <w:sz w:val="20"/>
          <w:szCs w:val="20"/>
        </w:rPr>
        <w:t>14</w:t>
      </w:r>
      <w:r w:rsidRPr="004050E4">
        <w:rPr>
          <w:rFonts w:ascii="Trebuchet MS" w:hAnsi="Trebuchet MS"/>
          <w:sz w:val="20"/>
          <w:szCs w:val="20"/>
        </w:rPr>
        <w:t xml:space="preserve">(2), 156. </w:t>
      </w:r>
      <w:r>
        <w:fldChar w:fldCharType="begin"/>
      </w:r>
      <w:r>
        <w:instrText xml:space="preserve"> HYPERLINK "https://doi.org/10.3390/educsci14020156" </w:instrText>
      </w:r>
      <w:r>
        <w:fldChar w:fldCharType="separate"/>
      </w:r>
      <w:r w:rsidRPr="004050E4">
        <w:rPr>
          <w:rStyle w:val="Hyperlink"/>
          <w:rFonts w:ascii="Trebuchet MS" w:hAnsi="Trebuchet MS"/>
          <w:sz w:val="20"/>
          <w:szCs w:val="20"/>
        </w:rPr>
        <w:t>https://doi.org/10.3390/educsci14020156</w:t>
      </w:r>
      <w:r>
        <w:fldChar w:fldCharType="end"/>
      </w:r>
    </w:p>
  </w:footnote>
  <w:footnote w:id="6">
    <w:p w:rsidR="00812990" w:rsidRPr="00F34B70" w:rsidP="00F34B70">
      <w:pPr>
        <w:rPr>
          <w:rFonts w:ascii="Trebuchet MS" w:hAnsi="Trebuchet MS"/>
          <w:sz w:val="20"/>
          <w:szCs w:val="20"/>
        </w:rPr>
      </w:pPr>
      <w:r w:rsidRPr="00F34B70">
        <w:rPr>
          <w:rStyle w:val="FootnoteReference"/>
          <w:rFonts w:ascii="Trebuchet MS" w:hAnsi="Trebuchet MS"/>
          <w:sz w:val="20"/>
          <w:szCs w:val="20"/>
        </w:rPr>
        <w:footnoteRef/>
      </w:r>
      <w:r w:rsidRPr="00F34B70">
        <w:rPr>
          <w:rFonts w:ascii="Trebuchet MS" w:hAnsi="Trebuchet MS"/>
          <w:sz w:val="20"/>
          <w:szCs w:val="20"/>
        </w:rPr>
        <w:t xml:space="preserve"> </w:t>
      </w:r>
      <w:r w:rsidRPr="00F34B70">
        <w:rPr>
          <w:rFonts w:ascii="Trebuchet MS" w:hAnsi="Trebuchet MS"/>
          <w:sz w:val="20"/>
          <w:szCs w:val="20"/>
        </w:rPr>
        <w:t xml:space="preserve">Moyse, R. (2021). </w:t>
      </w:r>
      <w:r w:rsidRPr="00F34B70">
        <w:rPr>
          <w:rFonts w:ascii="Trebuchet MS" w:hAnsi="Trebuchet MS"/>
          <w:i/>
          <w:iCs/>
          <w:sz w:val="20"/>
          <w:szCs w:val="20"/>
        </w:rPr>
        <w:t>Missing: The autistic girls absent from mainstream secondary schools</w:t>
      </w:r>
      <w:r w:rsidRPr="00F34B70">
        <w:rPr>
          <w:rFonts w:ascii="Trebuchet MS" w:hAnsi="Trebuchet MS"/>
          <w:sz w:val="20"/>
          <w:szCs w:val="20"/>
        </w:rPr>
        <w:t xml:space="preserve"> (Doctoral thesis, University of Reading).</w:t>
      </w:r>
    </w:p>
  </w:footnote>
  <w:footnote w:id="7">
    <w:p w:rsidR="00812990" w:rsidRPr="00F34B70" w:rsidP="00F34B70">
      <w:pPr>
        <w:rPr>
          <w:rFonts w:ascii="Trebuchet MS" w:hAnsi="Trebuchet MS"/>
          <w:sz w:val="20"/>
          <w:szCs w:val="20"/>
        </w:rPr>
      </w:pPr>
      <w:r w:rsidRPr="00F34B70">
        <w:rPr>
          <w:rStyle w:val="FootnoteReference"/>
          <w:rFonts w:ascii="Trebuchet MS" w:hAnsi="Trebuchet MS"/>
          <w:sz w:val="20"/>
          <w:szCs w:val="20"/>
        </w:rPr>
        <w:footnoteRef/>
      </w:r>
      <w:r w:rsidRPr="00F34B70">
        <w:rPr>
          <w:rFonts w:ascii="Trebuchet MS" w:hAnsi="Trebuchet MS"/>
          <w:sz w:val="20"/>
          <w:szCs w:val="20"/>
        </w:rPr>
        <w:t xml:space="preserve"> ImpactEd Evaluation. (2024). </w:t>
      </w:r>
      <w:r w:rsidRPr="00F34B70">
        <w:rPr>
          <w:rFonts w:ascii="Trebuchet MS" w:hAnsi="Trebuchet MS"/>
          <w:i/>
          <w:iCs/>
          <w:sz w:val="20"/>
          <w:szCs w:val="20"/>
        </w:rPr>
        <w:t>Understanding attendance: Findings on the drivers of pupil absence from over 30,000 young people in England</w:t>
      </w:r>
      <w:r w:rsidRPr="00F34B70">
        <w:rPr>
          <w:rFonts w:ascii="Trebuchet MS" w:hAnsi="Trebuchet MS"/>
          <w:sz w:val="20"/>
          <w:szCs w:val="20"/>
        </w:rPr>
        <w:t xml:space="preserve">. ImpactEd Group. </w:t>
      </w:r>
      <w:r>
        <w:fldChar w:fldCharType="begin"/>
      </w:r>
      <w:r>
        <w:instrText xml:space="preserve"> HYPERLINK "https://drive.google.com/file/d/1JwmKhhmT874b7RuHlB6zXF9s8ukwtwji/view" </w:instrText>
      </w:r>
      <w:r>
        <w:fldChar w:fldCharType="separate"/>
      </w:r>
      <w:r w:rsidRPr="00F34B70">
        <w:rPr>
          <w:rStyle w:val="Hyperlink"/>
          <w:rFonts w:ascii="Trebuchet MS" w:hAnsi="Trebuchet MS"/>
          <w:sz w:val="20"/>
          <w:szCs w:val="20"/>
        </w:rPr>
        <w:t>ImpactEd</w:t>
      </w:r>
      <w:r w:rsidRPr="00F34B70">
        <w:rPr>
          <w:rStyle w:val="Hyperlink"/>
          <w:rFonts w:ascii="Trebuchet MS" w:hAnsi="Trebuchet MS"/>
          <w:sz w:val="20"/>
          <w:szCs w:val="20"/>
        </w:rPr>
        <w:t xml:space="preserve"> Evaluation Attendance Record Report Jan24 - Google Drive</w:t>
      </w:r>
      <w:r>
        <w:fldChar w:fldCharType="end"/>
      </w:r>
      <w:r>
        <w:fldChar w:fldCharType="begin"/>
      </w:r>
      <w:r>
        <w:instrText xml:space="preserve"> HYPERLINK "https://educationendowmentfoundation.org.uk/news/evaluations-improve-attendance-and-prevent-persistent-absence" </w:instrText>
      </w:r>
      <w:r>
        <w:fldChar w:fldCharType="separate"/>
      </w:r>
      <w:r>
        <w:fldChar w:fldCharType="end"/>
      </w:r>
      <w:r w:rsidRPr="00F34B70">
        <w:rPr>
          <w:rFonts w:ascii="Trebuchet MS" w:hAnsi="Trebuchet MS"/>
          <w:sz w:val="20"/>
          <w:szCs w:val="20"/>
        </w:rPr>
        <w:t xml:space="preserve"> </w:t>
      </w:r>
    </w:p>
  </w:footnote>
  <w:footnote w:id="8">
    <w:p w:rsidR="00812990" w:rsidP="00A7228F">
      <w:r w:rsidRPr="00F34B70">
        <w:rPr>
          <w:rStyle w:val="FootnoteReference"/>
          <w:rFonts w:ascii="Trebuchet MS" w:hAnsi="Trebuchet MS"/>
          <w:sz w:val="20"/>
          <w:szCs w:val="20"/>
        </w:rPr>
        <w:footnoteRef/>
      </w:r>
      <w:r w:rsidRPr="00F34B70">
        <w:rPr>
          <w:rFonts w:ascii="Trebuchet MS" w:hAnsi="Trebuchet MS"/>
          <w:sz w:val="20"/>
          <w:szCs w:val="20"/>
        </w:rPr>
        <w:t xml:space="preserve"> Cortina, M., Ravaccia, G., Iqbal, M., McEvoy, R (in preparation).</w:t>
      </w:r>
      <w:r w:rsidRPr="00F34B70">
        <w:rPr>
          <w:rFonts w:ascii="Trebuchet MS" w:hAnsi="Trebuchet MS"/>
          <w:i/>
          <w:iCs/>
          <w:sz w:val="20"/>
          <w:szCs w:val="20"/>
        </w:rPr>
        <w:t xml:space="preserve"> Seen, Heard and Supported: What Students Need to Thrive in Secondary School</w:t>
      </w:r>
      <w:r w:rsidRPr="00F34B70">
        <w:rPr>
          <w:rFonts w:ascii="Trebuchet MS" w:hAnsi="Trebuchet MS"/>
          <w:sz w:val="20"/>
          <w:szCs w:val="20"/>
        </w:rPr>
        <w:t>. Anna Freud.</w:t>
      </w:r>
    </w:p>
  </w:footnote>
  <w:footnote w:id="9">
    <w:p w:rsidR="00812990" w:rsidRPr="00CF0A8F" w:rsidP="00336129">
      <w:pPr>
        <w:rPr>
          <w:sz w:val="20"/>
          <w:szCs w:val="20"/>
        </w:rPr>
      </w:pPr>
      <w:r w:rsidRPr="00CF0A8F">
        <w:rPr>
          <w:rStyle w:val="FootnoteReference"/>
          <w:sz w:val="20"/>
          <w:szCs w:val="20"/>
        </w:rPr>
        <w:footnoteRef/>
      </w:r>
      <w:r w:rsidRPr="00CF0A8F">
        <w:rPr>
          <w:sz w:val="20"/>
          <w:szCs w:val="20"/>
        </w:rPr>
        <w:t xml:space="preserve"> </w:t>
      </w:r>
      <w:r w:rsidRPr="00CF0A8F">
        <w:rPr>
          <w:rFonts w:ascii="Trebuchet MS" w:hAnsi="Trebuchet MS"/>
          <w:sz w:val="20"/>
          <w:szCs w:val="20"/>
        </w:rPr>
        <w:t>Thornton, E., Cheng, Q., Demkowicz, O. &amp; Humphrey, N. (2026). Lost learning: Prevalence, inequalities and outcomes of internal exclusion in mainstream secondary schools. </w:t>
      </w:r>
      <w:r w:rsidRPr="00CF0A8F">
        <w:rPr>
          <w:rFonts w:ascii="Trebuchet MS" w:hAnsi="Trebuchet MS"/>
          <w:i/>
          <w:iCs/>
          <w:sz w:val="20"/>
          <w:szCs w:val="20"/>
        </w:rPr>
        <w:t>British Educational Research Journal</w:t>
      </w:r>
      <w:r w:rsidRPr="00CF0A8F">
        <w:rPr>
          <w:rFonts w:ascii="Trebuchet MS" w:hAnsi="Trebuchet MS"/>
          <w:sz w:val="20"/>
          <w:szCs w:val="20"/>
        </w:rPr>
        <w:t>, 52, 1012–1037. </w:t>
      </w:r>
      <w:r>
        <w:fldChar w:fldCharType="begin"/>
      </w:r>
      <w:r>
        <w:instrText xml:space="preserve"> HYPERLINK "https://doi.org/10.1002/berj.70049" </w:instrText>
      </w:r>
      <w:r>
        <w:fldChar w:fldCharType="separate"/>
      </w:r>
      <w:r w:rsidRPr="00CF0A8F">
        <w:rPr>
          <w:rStyle w:val="Hyperlink"/>
          <w:rFonts w:ascii="Trebuchet MS" w:hAnsi="Trebuchet MS"/>
          <w:sz w:val="20"/>
          <w:szCs w:val="20"/>
        </w:rPr>
        <w:t>https://doi.org/10.1002/berj.70049</w:t>
      </w:r>
      <w:r>
        <w:fldChar w:fldCharType="end"/>
      </w:r>
    </w:p>
  </w:footnote>
  <w:footnote w:id="10">
    <w:p w:rsidR="00812990">
      <w:pPr>
        <w:pStyle w:val="FootnoteText"/>
      </w:pPr>
      <w:r w:rsidRPr="00CF0A8F">
        <w:rPr>
          <w:rStyle w:val="FootnoteReference"/>
        </w:rPr>
        <w:footnoteRef/>
      </w:r>
      <w:r w:rsidRPr="00CF0A8F">
        <w:t xml:space="preserve"> </w:t>
      </w:r>
      <w:r w:rsidRPr="00CF0A8F">
        <w:rPr>
          <w:rFonts w:ascii="Trebuchet MS" w:hAnsi="Trebuchet MS"/>
        </w:rPr>
        <w:t>Campbell</w:t>
      </w:r>
      <w:r w:rsidRPr="00CF0A8F">
        <w:rPr>
          <w:rFonts w:ascii="Trebuchet MS" w:hAnsi="Trebuchet MS"/>
        </w:rPr>
        <w:noBreakHyphen/>
        <w:t xml:space="preserve">Jack, D., Day, L., &amp; Burnley, N. (2020). </w:t>
      </w:r>
      <w:r w:rsidRPr="00CF0A8F">
        <w:rPr>
          <w:rFonts w:ascii="Trebuchet MS" w:hAnsi="Trebuchet MS"/>
          <w:i/>
          <w:iCs/>
        </w:rPr>
        <w:t>Evaluation of the Mental Health Services and Schools Link Expanded Programme: Final report</w:t>
      </w:r>
      <w:r w:rsidRPr="00CF0A8F">
        <w:rPr>
          <w:rFonts w:ascii="Trebuchet MS" w:hAnsi="Trebuchet MS"/>
        </w:rPr>
        <w:t xml:space="preserve">. Department for Education. </w:t>
      </w:r>
      <w:r>
        <w:fldChar w:fldCharType="begin"/>
      </w:r>
      <w:r>
        <w:instrText xml:space="preserve"> HYPERLINK "https://www.gov.uk/government/publications/mental-health-services-and-schools-link-expanded-evaluation" </w:instrText>
      </w:r>
      <w:r>
        <w:fldChar w:fldCharType="separate"/>
      </w:r>
      <w:r w:rsidRPr="00CF0A8F">
        <w:rPr>
          <w:rStyle w:val="Hyperlink"/>
        </w:rPr>
        <w:t>Mental health services and schools link expanded evaluation - GOV.UK</w:t>
      </w:r>
      <w:r>
        <w:fldChar w:fldCharType="end"/>
      </w:r>
    </w:p>
  </w:footnote>
  <w:footnote w:id="11">
    <w:p w:rsidR="00812990" w:rsidRPr="00CF0A8F" w:rsidP="00A02BCC">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Allen, K.-A., &amp; Dong, S. (2026). The science of belonging: Exploring the concept, drivers, barriers, and evidence-based solutions to cultivate belonging in K–12 education. Monash University, Faculty of Education, in collaboration with the International Baccalaureate® (IB).</w:t>
      </w:r>
    </w:p>
  </w:footnote>
  <w:footnote w:id="12">
    <w:p w:rsidR="00812990" w:rsidRPr="00CF0A8F" w:rsidP="00556CCB">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Donaldson, C., Hawkins, J., Rice, F., &amp; Moore, G. (2025). Trajectories of mental health across the primary to secondary school transition. </w:t>
      </w:r>
      <w:r w:rsidRPr="00CF0A8F">
        <w:rPr>
          <w:rFonts w:ascii="Trebuchet MS" w:hAnsi="Trebuchet MS"/>
          <w:i/>
          <w:iCs/>
          <w:sz w:val="20"/>
          <w:szCs w:val="20"/>
        </w:rPr>
        <w:t>JCPP Advances, 5</w:t>
      </w:r>
      <w:r w:rsidRPr="00CF0A8F">
        <w:rPr>
          <w:rFonts w:ascii="Trebuchet MS" w:hAnsi="Trebuchet MS"/>
          <w:sz w:val="20"/>
          <w:szCs w:val="20"/>
        </w:rPr>
        <w:t>(1), Article e12244. https://doi.org/10.1002/jcv2.12244</w:t>
      </w:r>
    </w:p>
  </w:footnote>
  <w:footnote w:id="13">
    <w:p w:rsidR="00812990" w:rsidP="00556CCB">
      <w:r w:rsidRPr="00CF0A8F">
        <w:rPr>
          <w:rStyle w:val="FootnoteReference"/>
          <w:rFonts w:ascii="Trebuchet MS" w:hAnsi="Trebuchet MS"/>
          <w:sz w:val="20"/>
          <w:szCs w:val="20"/>
        </w:rPr>
        <w:footnoteRef/>
      </w:r>
      <w:r w:rsidRPr="00CF0A8F">
        <w:rPr>
          <w:rFonts w:ascii="Trebuchet MS" w:hAnsi="Trebuchet MS"/>
          <w:sz w:val="20"/>
          <w:szCs w:val="20"/>
        </w:rPr>
        <w:t xml:space="preserve"> Ryan, R. M., &amp; Deci, E. L. (2000). Self-determination theory and the facilitation of intrinsic motivation, social development, and well-being. </w:t>
      </w:r>
      <w:r w:rsidRPr="00CF0A8F">
        <w:rPr>
          <w:rFonts w:ascii="Trebuchet MS" w:hAnsi="Trebuchet MS"/>
          <w:i/>
          <w:iCs/>
          <w:sz w:val="20"/>
          <w:szCs w:val="20"/>
        </w:rPr>
        <w:t>American Psychologist, 55</w:t>
      </w:r>
      <w:r w:rsidRPr="00CF0A8F">
        <w:rPr>
          <w:rFonts w:ascii="Trebuchet MS" w:hAnsi="Trebuchet MS"/>
          <w:sz w:val="20"/>
          <w:szCs w:val="20"/>
        </w:rPr>
        <w:t xml:space="preserve">(1), 68–78. </w:t>
      </w:r>
      <w:r>
        <w:fldChar w:fldCharType="begin"/>
      </w:r>
      <w:r>
        <w:instrText xml:space="preserve"> HYPERLINK "https://doi.org/10.1037/0003-066X.55.1.68" </w:instrText>
      </w:r>
      <w:r>
        <w:fldChar w:fldCharType="separate"/>
      </w:r>
      <w:r w:rsidRPr="00CF0A8F">
        <w:rPr>
          <w:rStyle w:val="Hyperlink"/>
          <w:rFonts w:ascii="Trebuchet MS" w:hAnsi="Trebuchet MS"/>
          <w:sz w:val="20"/>
          <w:szCs w:val="20"/>
        </w:rPr>
        <w:t>https://doi.org/10.1037/0003-066X.55.1.68</w:t>
      </w:r>
      <w:r>
        <w:fldChar w:fldCharType="end"/>
      </w:r>
    </w:p>
  </w:footnote>
  <w:footnote w:id="14">
    <w:p w:rsidR="00812990" w:rsidRPr="00CF0A8F" w:rsidP="00556CCB">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Hafen, C. A., Allen, J. P., Mikami, A. Y., Gregory, A., Hamre, B., &amp; Pianta, R. C. (2012). The pivotal role of adolescent autonomy in secondary school classrooms. </w:t>
      </w:r>
      <w:r w:rsidRPr="00CF0A8F">
        <w:rPr>
          <w:rFonts w:ascii="Trebuchet MS" w:hAnsi="Trebuchet MS"/>
          <w:i/>
          <w:iCs/>
          <w:sz w:val="20"/>
          <w:szCs w:val="20"/>
        </w:rPr>
        <w:t>Journal of Youth and Adolescence, 41</w:t>
      </w:r>
      <w:r w:rsidRPr="00CF0A8F">
        <w:rPr>
          <w:rFonts w:ascii="Trebuchet MS" w:hAnsi="Trebuchet MS"/>
          <w:sz w:val="20"/>
          <w:szCs w:val="20"/>
        </w:rPr>
        <w:t>(3), 245–255.</w:t>
      </w:r>
    </w:p>
  </w:footnote>
  <w:footnote w:id="15">
    <w:p w:rsidR="00812990" w:rsidRPr="00CF0A8F" w:rsidP="00556CCB">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w:t>
      </w:r>
      <w:r w:rsidRPr="00CF0A8F">
        <w:rPr>
          <w:rFonts w:ascii="Trebuchet MS" w:hAnsi="Trebuchet MS"/>
          <w:sz w:val="20"/>
          <w:szCs w:val="20"/>
        </w:rPr>
        <w:t xml:space="preserve">Wang, M.-T., &amp; Eccles, J. S. (2013). School context, achievement motivation, and academic engagement: A longitudinal study of school engagement using a multidimensional perspective. </w:t>
      </w:r>
      <w:r w:rsidRPr="00CF0A8F">
        <w:rPr>
          <w:rFonts w:ascii="Trebuchet MS" w:hAnsi="Trebuchet MS"/>
          <w:i/>
          <w:iCs/>
          <w:sz w:val="20"/>
          <w:szCs w:val="20"/>
        </w:rPr>
        <w:t>Learning and Instruction, 28</w:t>
      </w:r>
      <w:r w:rsidRPr="00CF0A8F">
        <w:rPr>
          <w:rFonts w:ascii="Trebuchet MS" w:hAnsi="Trebuchet MS"/>
          <w:sz w:val="20"/>
          <w:szCs w:val="20"/>
        </w:rPr>
        <w:t>, 12–23.</w:t>
      </w:r>
    </w:p>
  </w:footnote>
  <w:footnote w:id="16">
    <w:p w:rsidR="00812990" w:rsidRPr="00CF0A8F" w:rsidP="00556CCB">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w:t>
      </w:r>
      <w:r w:rsidRPr="00CF0A8F">
        <w:rPr>
          <w:rFonts w:ascii="Trebuchet MS" w:hAnsi="Trebuchet MS"/>
          <w:sz w:val="20"/>
          <w:szCs w:val="20"/>
        </w:rPr>
        <w:t>Wilkins, N. J., Verlenden</w:t>
      </w:r>
      <w:r w:rsidRPr="00CF0A8F">
        <w:rPr>
          <w:rFonts w:ascii="Trebuchet MS" w:hAnsi="Trebuchet MS"/>
          <w:sz w:val="20"/>
          <w:szCs w:val="20"/>
        </w:rPr>
        <w:t xml:space="preserve">, J. M. V., Szucs, L. E., &amp; Johns, M. M. (2023). Classroom management and facilitation approaches that promote school connectedness. </w:t>
      </w:r>
      <w:r w:rsidRPr="00CF0A8F">
        <w:rPr>
          <w:rFonts w:ascii="Trebuchet MS" w:hAnsi="Trebuchet MS"/>
          <w:i/>
          <w:iCs/>
          <w:sz w:val="20"/>
          <w:szCs w:val="20"/>
        </w:rPr>
        <w:t>Journal of School Health, 93</w:t>
      </w:r>
      <w:r w:rsidRPr="00CF0A8F">
        <w:rPr>
          <w:rFonts w:ascii="Trebuchet MS" w:hAnsi="Trebuchet MS"/>
          <w:sz w:val="20"/>
          <w:szCs w:val="20"/>
        </w:rPr>
        <w:t>(7), 582–593.</w:t>
      </w:r>
    </w:p>
  </w:footnote>
  <w:footnote w:id="17">
    <w:p w:rsidR="00812990" w:rsidRPr="00CF0A8F" w:rsidP="00556CCB">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Pardoe, L. A. E. (2025). </w:t>
      </w:r>
      <w:r w:rsidRPr="00CF0A8F">
        <w:rPr>
          <w:rFonts w:ascii="Trebuchet MS" w:hAnsi="Trebuchet MS"/>
          <w:i/>
          <w:iCs/>
          <w:sz w:val="20"/>
          <w:szCs w:val="20"/>
        </w:rPr>
        <w:t>Let them flourish: The role of autonomy at school in adolescent wellbeing</w:t>
      </w:r>
      <w:r w:rsidRPr="00CF0A8F">
        <w:rPr>
          <w:rFonts w:ascii="Trebuchet MS" w:hAnsi="Trebuchet MS"/>
          <w:sz w:val="20"/>
          <w:szCs w:val="20"/>
        </w:rPr>
        <w:t xml:space="preserve"> [Doctoral thesis, University of Southampton]. University of Southampton Research Repository.</w:t>
      </w:r>
    </w:p>
  </w:footnote>
  <w:footnote w:id="18">
    <w:p w:rsidR="00812990" w:rsidRPr="00CF0A8F" w:rsidP="00816B1E">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Chapman, R. L., Buckley, L., Sheehan, M., &amp; Shochet, I. (2013). School-based programs for increasing connectedness and reducing risk behavior</w:t>
      </w:r>
      <w:r w:rsidRPr="00CF0A8F">
        <w:rPr>
          <w:rFonts w:ascii="Trebuchet MS" w:hAnsi="Trebuchet MS"/>
          <w:sz w:val="20"/>
          <w:szCs w:val="20"/>
        </w:rPr>
        <w:t>: A systematic review. </w:t>
      </w:r>
      <w:r w:rsidRPr="00CF0A8F">
        <w:rPr>
          <w:rFonts w:ascii="Trebuchet MS" w:hAnsi="Trebuchet MS"/>
          <w:i/>
          <w:iCs/>
          <w:sz w:val="20"/>
          <w:szCs w:val="20"/>
        </w:rPr>
        <w:t>Educational Psychology Review, 25</w:t>
      </w:r>
      <w:r w:rsidRPr="00CF0A8F">
        <w:rPr>
          <w:rFonts w:ascii="Trebuchet MS" w:hAnsi="Trebuchet MS"/>
          <w:sz w:val="20"/>
          <w:szCs w:val="20"/>
        </w:rPr>
        <w:t>(1), 95–114. </w:t>
      </w:r>
      <w:r>
        <w:fldChar w:fldCharType="begin"/>
      </w:r>
      <w:r>
        <w:instrText xml:space="preserve"> HYPERLINK "https://psycnet.apa.org/doi/10.1007/s10648-013-9216-4" \t "_blank" </w:instrText>
      </w:r>
      <w:r>
        <w:fldChar w:fldCharType="separate"/>
      </w:r>
      <w:r w:rsidRPr="00CF0A8F">
        <w:rPr>
          <w:rStyle w:val="Hyperlink"/>
          <w:rFonts w:ascii="Trebuchet MS" w:hAnsi="Trebuchet MS"/>
          <w:sz w:val="20"/>
          <w:szCs w:val="20"/>
        </w:rPr>
        <w:t>https://doi.org/10.1007/s10648-013-9216-4</w:t>
      </w:r>
      <w:r>
        <w:fldChar w:fldCharType="end"/>
      </w:r>
    </w:p>
  </w:footnote>
  <w:footnote w:id="19">
    <w:p w:rsidR="00812990" w:rsidRPr="00CF0A8F" w:rsidP="00FA0A08">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Blum R W, Lai J, Martinez M, Jessee C. Adolescent connectedness: cornerstone for health and wellbeing </w:t>
      </w:r>
      <w:r w:rsidRPr="00CF0A8F">
        <w:rPr>
          <w:rFonts w:ascii="Trebuchet MS" w:hAnsi="Trebuchet MS"/>
          <w:i/>
          <w:iCs/>
          <w:sz w:val="20"/>
          <w:szCs w:val="20"/>
        </w:rPr>
        <w:t>BMJ </w:t>
      </w:r>
      <w:r w:rsidRPr="00CF0A8F">
        <w:rPr>
          <w:rFonts w:ascii="Trebuchet MS" w:hAnsi="Trebuchet MS"/>
          <w:sz w:val="20"/>
          <w:szCs w:val="20"/>
        </w:rPr>
        <w:t>2022; 379 :e069213 doi:10.1136/bmj-2021-069213.</w:t>
      </w:r>
    </w:p>
  </w:footnote>
  <w:footnote w:id="20">
    <w:p w:rsidR="00812990" w:rsidRPr="00CF0A8F" w:rsidP="00816B1E">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#BeeWell (2025). #Beewell Evidence Brief: School Belonging. </w:t>
      </w:r>
      <w:r>
        <w:fldChar w:fldCharType="begin"/>
      </w:r>
      <w:r>
        <w:instrText xml:space="preserve"> HYPERLINK "https://beewellprogramme.org/wp-content/uploads/2025/03/BeeWell-Evidence-briefing-School-Belonging-Mar-2025.pdf" </w:instrText>
      </w:r>
      <w:r>
        <w:fldChar w:fldCharType="separate"/>
      </w:r>
      <w:r w:rsidRPr="00CF0A8F">
        <w:rPr>
          <w:rStyle w:val="Hyperlink"/>
          <w:rFonts w:ascii="Trebuchet MS" w:hAnsi="Trebuchet MS"/>
          <w:sz w:val="20"/>
          <w:szCs w:val="20"/>
        </w:rPr>
        <w:t>#BeeWell Evidence briefing: School Belonging [Jan 2025]</w:t>
      </w:r>
      <w:r>
        <w:fldChar w:fldCharType="end"/>
      </w:r>
      <w:r w:rsidRPr="00CF0A8F">
        <w:rPr>
          <w:rFonts w:ascii="Trebuchet MS" w:hAnsi="Trebuchet MS"/>
          <w:sz w:val="20"/>
          <w:szCs w:val="20"/>
        </w:rPr>
        <w:t>.</w:t>
      </w:r>
    </w:p>
  </w:footnote>
  <w:footnote w:id="21">
    <w:p w:rsidR="00812990" w:rsidRPr="00CF0A8F" w:rsidP="00816B1E">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CDC (2024)</w:t>
      </w:r>
      <w:r w:rsidRPr="00CF0A8F">
        <w:rPr>
          <w:rFonts w:ascii="Trebuchet MS" w:hAnsi="Trebuchet MS"/>
          <w:sz w:val="20"/>
          <w:szCs w:val="20"/>
        </w:rPr>
        <w:t>.</w:t>
      </w:r>
      <w:r w:rsidRPr="00CF0A8F">
        <w:rPr>
          <w:rFonts w:ascii="Trebuchet MS" w:hAnsi="Trebuchet MS"/>
          <w:sz w:val="20"/>
          <w:szCs w:val="20"/>
        </w:rPr>
        <w:t xml:space="preserve"> Reducing Health Risks Among Youth: School Connectedness Helps Students Thrive. </w:t>
      </w:r>
      <w:r>
        <w:fldChar w:fldCharType="begin"/>
      </w:r>
      <w:r>
        <w:instrText xml:space="preserve"> HYPERLINK "https://www.cdc.gov/youth-behavior/school-connectedness/index.html" </w:instrText>
      </w:r>
      <w:r>
        <w:fldChar w:fldCharType="separate"/>
      </w:r>
      <w:r w:rsidRPr="00CF0A8F">
        <w:rPr>
          <w:rStyle w:val="Hyperlink"/>
          <w:rFonts w:ascii="Trebuchet MS" w:hAnsi="Trebuchet MS"/>
          <w:sz w:val="20"/>
          <w:szCs w:val="20"/>
        </w:rPr>
        <w:t>School Connectedness Helps Students Thrive | Reducing Health Risks Among Youth | CDC</w:t>
      </w:r>
      <w:r>
        <w:fldChar w:fldCharType="end"/>
      </w:r>
    </w:p>
  </w:footnote>
  <w:footnote w:id="22">
    <w:p w:rsidR="00812990" w:rsidRPr="00CF0A8F" w:rsidP="00556CCB">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Lundy, L. (2007). ‘Voice’ is not enough: conceptualising Article 12 of the United Nations Convention on the Rights of the Child. </w:t>
      </w:r>
      <w:r w:rsidRPr="00CF0A8F">
        <w:rPr>
          <w:rFonts w:ascii="Trebuchet MS" w:hAnsi="Trebuchet MS"/>
          <w:i/>
          <w:iCs/>
          <w:sz w:val="20"/>
          <w:szCs w:val="20"/>
        </w:rPr>
        <w:t>British Educational Research Association, 33</w:t>
      </w:r>
      <w:r w:rsidRPr="00CF0A8F">
        <w:rPr>
          <w:rFonts w:ascii="Trebuchet MS" w:hAnsi="Trebuchet MS"/>
          <w:sz w:val="20"/>
          <w:szCs w:val="20"/>
        </w:rPr>
        <w:t>(6), 927–942.</w:t>
      </w:r>
    </w:p>
  </w:footnote>
  <w:footnote w:id="23">
    <w:p w:rsidR="00812990" w:rsidRPr="00CF0A8F" w:rsidP="00CF0A8F">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US Department of Education (2023). Guiding Principles for Creating Safe, Inclusive, Supportive, and Fair School Climates. </w:t>
      </w:r>
      <w:r>
        <w:fldChar w:fldCharType="begin"/>
      </w:r>
      <w:r>
        <w:instrText xml:space="preserve"> HYPERLINK "https://www.ed.gov/media/document/guiding-principlespdf-56362.pdf" </w:instrText>
      </w:r>
      <w:r>
        <w:fldChar w:fldCharType="separate"/>
      </w:r>
      <w:r w:rsidRPr="00CF0A8F">
        <w:rPr>
          <w:rStyle w:val="Hyperlink"/>
          <w:rFonts w:ascii="Trebuchet MS" w:hAnsi="Trebuchet MS"/>
          <w:sz w:val="20"/>
          <w:szCs w:val="20"/>
        </w:rPr>
        <w:t>guiding-principlespdf-56362.pdf</w:t>
      </w:r>
      <w:r>
        <w:fldChar w:fldCharType="end"/>
      </w:r>
    </w:p>
  </w:footnote>
  <w:footnote w:id="24">
    <w:p w:rsidR="00812990" w:rsidP="007E1906">
      <w:r w:rsidRPr="00CF0A8F">
        <w:rPr>
          <w:rStyle w:val="FootnoteReference"/>
          <w:rFonts w:ascii="Trebuchet MS" w:hAnsi="Trebuchet MS"/>
          <w:sz w:val="20"/>
          <w:szCs w:val="20"/>
        </w:rPr>
        <w:footnoteRef/>
      </w:r>
      <w:r w:rsidRPr="00CF0A8F">
        <w:rPr>
          <w:rFonts w:ascii="Trebuchet MS" w:hAnsi="Trebuchet MS"/>
          <w:sz w:val="20"/>
          <w:szCs w:val="20"/>
        </w:rPr>
        <w:t xml:space="preserve"> Education Support (2025). </w:t>
      </w:r>
      <w:r w:rsidRPr="00CF0A8F">
        <w:rPr>
          <w:rFonts w:ascii="Trebuchet MS" w:hAnsi="Trebuchet MS"/>
          <w:i/>
          <w:iCs/>
          <w:sz w:val="20"/>
          <w:szCs w:val="20"/>
        </w:rPr>
        <w:t>Teacher Wellbeing Index 2025</w:t>
      </w:r>
      <w:r w:rsidRPr="00CF0A8F">
        <w:rPr>
          <w:rFonts w:ascii="Trebuchet MS" w:hAnsi="Trebuchet MS"/>
          <w:sz w:val="20"/>
          <w:szCs w:val="20"/>
        </w:rPr>
        <w:t xml:space="preserve">. </w:t>
      </w:r>
      <w:r>
        <w:fldChar w:fldCharType="begin"/>
      </w:r>
      <w:r>
        <w:instrText xml:space="preserve"> HYPERLINK "https://www.educationsupport.org.uk/media/3qeajx41/teacher-wellbeing-index-2025.pdf" </w:instrText>
      </w:r>
      <w:r>
        <w:fldChar w:fldCharType="separate"/>
      </w:r>
      <w:r w:rsidRPr="00CF0A8F">
        <w:rPr>
          <w:rStyle w:val="Hyperlink"/>
          <w:rFonts w:ascii="Trebuchet MS" w:hAnsi="Trebuchet MS"/>
          <w:sz w:val="20"/>
          <w:szCs w:val="20"/>
        </w:rPr>
        <w:t>teacher-wellbeing-index-2025.pdf</w:t>
      </w:r>
      <w:r>
        <w:fldChar w:fldCharType="end"/>
      </w:r>
      <w:r w:rsidRPr="00CF0A8F">
        <w:rPr>
          <w:rFonts w:ascii="Trebuchet MS" w:hAnsi="Trebuchet MS"/>
          <w:sz w:val="20"/>
          <w:szCs w:val="20"/>
        </w:rPr>
        <w:t>. Accessed 28 July 2026.</w:t>
      </w:r>
      <w:r>
        <w:rPr>
          <w:rFonts w:ascii="Trebuchet MS" w:hAnsi="Trebuchet MS"/>
        </w:rPr>
        <w:t xml:space="preserve"> </w:t>
      </w:r>
    </w:p>
  </w:footnote>
  <w:footnote w:id="25">
    <w:p w:rsidR="00812990" w:rsidRPr="00CF0A8F" w:rsidP="007E1906">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Worth, J. &amp; Van den Brande, J. (2020). </w:t>
      </w:r>
      <w:r w:rsidRPr="00CF0A8F">
        <w:rPr>
          <w:rFonts w:ascii="Trebuchet MS" w:hAnsi="Trebuchet MS"/>
          <w:i/>
          <w:iCs/>
          <w:sz w:val="20"/>
          <w:szCs w:val="20"/>
        </w:rPr>
        <w:t>Teacher Autonomy: How Does It Relate to Job Satisfaction and Retention?</w:t>
      </w:r>
      <w:r w:rsidRPr="00CF0A8F">
        <w:rPr>
          <w:rFonts w:ascii="Trebuchet MS" w:hAnsi="Trebuchet MS"/>
          <w:sz w:val="20"/>
          <w:szCs w:val="20"/>
        </w:rPr>
        <w:t xml:space="preserve"> National Foundation for Educational Research.</w:t>
      </w:r>
    </w:p>
  </w:footnote>
  <w:footnote w:id="26">
    <w:p w:rsidR="00812990" w:rsidRPr="00CF0A8F" w:rsidP="007E1906">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Deci, E.L. &amp; Ryan, R.M. (2000). </w:t>
      </w:r>
      <w:r w:rsidRPr="00CF0A8F">
        <w:rPr>
          <w:rFonts w:ascii="Trebuchet MS" w:hAnsi="Trebuchet MS"/>
          <w:i/>
          <w:iCs/>
          <w:sz w:val="20"/>
          <w:szCs w:val="20"/>
        </w:rPr>
        <w:t>The "What" and "Why" of Goal Pursuits: Human Needs and the Self-Determination of Behavior</w:t>
      </w:r>
      <w:r w:rsidRPr="00CF0A8F">
        <w:rPr>
          <w:rFonts w:ascii="Trebuchet MS" w:hAnsi="Trebuchet MS"/>
          <w:sz w:val="20"/>
          <w:szCs w:val="20"/>
        </w:rPr>
        <w:t>. Psychological Inquiry.</w:t>
      </w:r>
    </w:p>
  </w:footnote>
  <w:footnote w:id="27">
    <w:p w:rsidR="00812990" w:rsidRPr="00CF0A8F" w:rsidP="00CA34F7">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Eryilmaz, N. et al. (2025). </w:t>
      </w:r>
      <w:r w:rsidRPr="00CF0A8F">
        <w:rPr>
          <w:rFonts w:ascii="Trebuchet MS" w:hAnsi="Trebuchet MS"/>
          <w:i/>
          <w:iCs/>
          <w:sz w:val="20"/>
          <w:szCs w:val="20"/>
        </w:rPr>
        <w:t>Teacher Job Satisfaction: International Evidence on the Associations with Teacher Workload, School Leadership and Student Discipline</w:t>
      </w:r>
      <w:r w:rsidRPr="00CF0A8F">
        <w:rPr>
          <w:rFonts w:ascii="Trebuchet MS" w:hAnsi="Trebuchet MS"/>
          <w:sz w:val="20"/>
          <w:szCs w:val="20"/>
        </w:rPr>
        <w:t>. IEA Compass Brief.</w:t>
      </w:r>
    </w:p>
  </w:footnote>
  <w:footnote w:id="28">
    <w:p w:rsidR="00812990" w:rsidRPr="00CF0A8F" w:rsidP="00CA34F7">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Dreer B (2023) On the outcomes of teacher wellbeing: a systematic review of research. </w:t>
      </w:r>
      <w:r w:rsidRPr="00CF0A8F">
        <w:rPr>
          <w:rFonts w:ascii="Trebuchet MS" w:hAnsi="Trebuchet MS"/>
          <w:i/>
          <w:sz w:val="20"/>
          <w:szCs w:val="20"/>
        </w:rPr>
        <w:t>Front. Psychol</w:t>
      </w:r>
      <w:r w:rsidRPr="00CF0A8F">
        <w:rPr>
          <w:rFonts w:ascii="Trebuchet MS" w:hAnsi="Trebuchet MS"/>
          <w:sz w:val="20"/>
          <w:szCs w:val="20"/>
        </w:rPr>
        <w:t>. 14:1205179. doi: 10.3389/fpsyg.2023.1205179</w:t>
      </w:r>
    </w:p>
  </w:footnote>
  <w:footnote w:id="29">
    <w:p w:rsidR="00812990" w:rsidRPr="00CF0A8F" w:rsidP="00CA34F7">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Soe, H. Y., &amp; Alegado, P. J. E. (2024). The impacts of school climate on teachers’ job satisfaction: An analysis of Teaching and Learning International Survey (TALIS) 2018 national data. </w:t>
      </w:r>
      <w:r w:rsidRPr="00CF0A8F">
        <w:rPr>
          <w:rFonts w:ascii="Trebuchet MS" w:hAnsi="Trebuchet MS"/>
          <w:i/>
          <w:iCs/>
          <w:sz w:val="20"/>
          <w:szCs w:val="20"/>
        </w:rPr>
        <w:t xml:space="preserve">Kuramsal Eğitimbilim </w:t>
      </w:r>
      <w:r w:rsidRPr="00CF0A8F">
        <w:rPr>
          <w:rFonts w:ascii="Trebuchet MS" w:hAnsi="Trebuchet MS"/>
          <w:i/>
          <w:iCs/>
          <w:sz w:val="20"/>
          <w:szCs w:val="20"/>
        </w:rPr>
        <w:t>Dergisi</w:t>
      </w:r>
      <w:r w:rsidRPr="00CF0A8F">
        <w:rPr>
          <w:rFonts w:ascii="Trebuchet MS" w:hAnsi="Trebuchet MS"/>
          <w:sz w:val="20"/>
          <w:szCs w:val="20"/>
        </w:rPr>
        <w:t xml:space="preserve"> [</w:t>
      </w:r>
      <w:r w:rsidRPr="00CF0A8F">
        <w:rPr>
          <w:rFonts w:ascii="Trebuchet MS" w:hAnsi="Trebuchet MS"/>
          <w:i/>
          <w:iCs/>
          <w:sz w:val="20"/>
          <w:szCs w:val="20"/>
        </w:rPr>
        <w:t>Journal of Theoretical Educational Science</w:t>
      </w:r>
      <w:r w:rsidRPr="00CF0A8F">
        <w:rPr>
          <w:rFonts w:ascii="Trebuchet MS" w:hAnsi="Trebuchet MS"/>
          <w:sz w:val="20"/>
          <w:szCs w:val="20"/>
        </w:rPr>
        <w:t>], 17(3), 676-697.</w:t>
      </w:r>
    </w:p>
  </w:footnote>
  <w:footnote w:id="30">
    <w:p w:rsidR="00812990" w:rsidRPr="00CF0A8F" w:rsidP="00CA34F7">
      <w:pPr>
        <w:rPr>
          <w:rFonts w:ascii="Trebuchet MS" w:hAnsi="Trebuchet MS"/>
          <w:sz w:val="20"/>
          <w:szCs w:val="20"/>
        </w:rPr>
      </w:pPr>
      <w:r w:rsidRPr="00CF0A8F">
        <w:rPr>
          <w:rStyle w:val="FootnoteReference"/>
          <w:rFonts w:ascii="Trebuchet MS" w:hAnsi="Trebuchet MS"/>
          <w:sz w:val="20"/>
          <w:szCs w:val="20"/>
        </w:rPr>
        <w:footnoteRef/>
      </w:r>
      <w:r w:rsidRPr="00CF0A8F">
        <w:rPr>
          <w:rFonts w:ascii="Trebuchet MS" w:hAnsi="Trebuchet MS"/>
          <w:sz w:val="20"/>
          <w:szCs w:val="20"/>
        </w:rPr>
        <w:t xml:space="preserve"> Katsantonis, I.G. (2020). </w:t>
      </w:r>
      <w:r w:rsidRPr="00CF0A8F">
        <w:rPr>
          <w:rFonts w:ascii="Trebuchet MS" w:hAnsi="Trebuchet MS"/>
          <w:i/>
          <w:iCs/>
          <w:sz w:val="20"/>
          <w:szCs w:val="20"/>
        </w:rPr>
        <w:t>Investigation of the Impact of School Climate and Teachers' Self-Efficacy on Job Satisfaction</w:t>
      </w:r>
      <w:r w:rsidRPr="00CF0A8F">
        <w:rPr>
          <w:rFonts w:ascii="Trebuchet MS" w:hAnsi="Trebuchet MS"/>
          <w:sz w:val="20"/>
          <w:szCs w:val="20"/>
        </w:rPr>
        <w:t xml:space="preserve">. </w:t>
      </w:r>
      <w:r w:rsidRPr="00CF0A8F">
        <w:rPr>
          <w:rFonts w:ascii="Trebuchet MS" w:hAnsi="Trebuchet MS"/>
          <w:i/>
          <w:iCs/>
          <w:sz w:val="20"/>
          <w:szCs w:val="20"/>
        </w:rPr>
        <w:t>European Journal of Investigation in Health, Psychology and Education</w:t>
      </w:r>
      <w:r w:rsidRPr="00CF0A8F">
        <w:rPr>
          <w:rFonts w:ascii="Trebuchet MS" w:hAnsi="Trebuchet MS"/>
          <w:sz w:val="20"/>
          <w:szCs w:val="20"/>
        </w:rPr>
        <w:t>.</w:t>
      </w:r>
    </w:p>
  </w:footnote>
  <w:footnote w:id="31">
    <w:p w:rsidR="00812990" w:rsidP="00BE115F">
      <w:pPr>
        <w:rPr>
          <w:rFonts w:ascii="Trebuchet MS" w:hAnsi="Trebuchet MS"/>
        </w:rPr>
      </w:pPr>
      <w:r w:rsidRPr="00CF0A8F">
        <w:rPr>
          <w:rStyle w:val="FootnoteReference"/>
          <w:rFonts w:ascii="Trebuchet MS" w:hAnsi="Trebuchet MS"/>
          <w:sz w:val="20"/>
          <w:szCs w:val="20"/>
        </w:rPr>
        <w:footnoteRef/>
      </w:r>
      <w:r w:rsidRPr="00CF0A8F">
        <w:rPr>
          <w:rFonts w:ascii="Trebuchet MS" w:hAnsi="Trebuchet MS"/>
          <w:sz w:val="20"/>
          <w:szCs w:val="20"/>
          <w:lang w:val="fr-FR"/>
        </w:rPr>
        <w:t xml:space="preserve"> Maricuțoiu, L.P., Pap, Z., Ștefancu, E. </w:t>
      </w:r>
      <w:r w:rsidRPr="00CF0A8F">
        <w:rPr>
          <w:rFonts w:ascii="Trebuchet MS" w:hAnsi="Trebuchet MS"/>
          <w:i/>
          <w:iCs/>
          <w:sz w:val="20"/>
          <w:szCs w:val="20"/>
          <w:lang w:val="fr-FR"/>
        </w:rPr>
        <w:t>et al.</w:t>
      </w:r>
      <w:r w:rsidRPr="00CF0A8F">
        <w:rPr>
          <w:rFonts w:ascii="Trebuchet MS" w:hAnsi="Trebuchet MS"/>
          <w:sz w:val="20"/>
          <w:szCs w:val="20"/>
          <w:lang w:val="fr-FR"/>
        </w:rPr>
        <w:t> </w:t>
      </w:r>
      <w:r w:rsidRPr="00CF0A8F">
        <w:rPr>
          <w:rFonts w:ascii="Trebuchet MS" w:hAnsi="Trebuchet MS"/>
          <w:sz w:val="20"/>
          <w:szCs w:val="20"/>
        </w:rPr>
        <w:t>Is Teachers’ Well-Being Associated with Students’ School Experience? A Meta-analysis of Cross-Sectional Evidence. </w:t>
      </w:r>
      <w:r w:rsidRPr="00CF0A8F">
        <w:rPr>
          <w:rFonts w:ascii="Trebuchet MS" w:hAnsi="Trebuchet MS"/>
          <w:i/>
          <w:iCs/>
          <w:sz w:val="20"/>
          <w:szCs w:val="20"/>
        </w:rPr>
        <w:t>Educ Psychol Rev</w:t>
      </w:r>
      <w:r w:rsidRPr="00CF0A8F">
        <w:rPr>
          <w:rFonts w:ascii="Trebuchet MS" w:hAnsi="Trebuchet MS"/>
          <w:sz w:val="20"/>
          <w:szCs w:val="20"/>
        </w:rPr>
        <w:t> </w:t>
      </w:r>
      <w:r w:rsidRPr="00CF0A8F">
        <w:rPr>
          <w:rFonts w:ascii="Trebuchet MS" w:hAnsi="Trebuchet MS"/>
          <w:b/>
          <w:bCs/>
          <w:sz w:val="20"/>
          <w:szCs w:val="20"/>
        </w:rPr>
        <w:t>35</w:t>
      </w:r>
      <w:r w:rsidRPr="00CF0A8F">
        <w:rPr>
          <w:rFonts w:ascii="Trebuchet MS" w:hAnsi="Trebuchet MS"/>
          <w:sz w:val="20"/>
          <w:szCs w:val="20"/>
        </w:rPr>
        <w:t xml:space="preserve">, 1 (2023). </w:t>
      </w:r>
      <w:r>
        <w:fldChar w:fldCharType="begin"/>
      </w:r>
      <w:r>
        <w:instrText xml:space="preserve"> HYPERLINK "https://doi.org/10.1007/s10648-023-09721-9" </w:instrText>
      </w:r>
      <w:r>
        <w:fldChar w:fldCharType="separate"/>
      </w:r>
      <w:r w:rsidRPr="00CF0A8F">
        <w:rPr>
          <w:rStyle w:val="Hyperlink"/>
          <w:rFonts w:ascii="Trebuchet MS" w:hAnsi="Trebuchet MS"/>
          <w:sz w:val="20"/>
          <w:szCs w:val="20"/>
        </w:rPr>
        <w:t>https://doi.org/10.1007/s10648-023-09721-9</w:t>
      </w:r>
      <w:r>
        <w:fldChar w:fldCharType="end"/>
      </w:r>
    </w:p>
    <w:p w:rsidR="00812990">
      <w:pPr>
        <w:pStyle w:val="FootnoteText"/>
      </w:pPr>
    </w:p>
  </w:footnote>
  <w:footnote w:id="32">
    <w:p w:rsidR="00812990" w:rsidRPr="00DD377D" w:rsidP="00CA34F7">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Oberg, G. (2025).</w:t>
      </w:r>
      <w:r w:rsidRPr="00DD377D">
        <w:rPr>
          <w:rFonts w:ascii="Trebuchet MS" w:hAnsi="Trebuchet MS"/>
          <w:b/>
          <w:bCs/>
          <w:sz w:val="20"/>
          <w:szCs w:val="20"/>
        </w:rPr>
        <w:t xml:space="preserve"> </w:t>
      </w:r>
      <w:r w:rsidRPr="00DD377D">
        <w:rPr>
          <w:rFonts w:ascii="Trebuchet MS" w:hAnsi="Trebuchet MS"/>
          <w:sz w:val="20"/>
          <w:szCs w:val="20"/>
        </w:rPr>
        <w:t xml:space="preserve">Moral injury in teaching: The systemic roots of ethical conflict and emotional burnout in education. </w:t>
      </w:r>
      <w:r w:rsidRPr="00DD377D">
        <w:rPr>
          <w:rFonts w:ascii="Trebuchet MS" w:hAnsi="Trebuchet MS"/>
          <w:i/>
          <w:iCs/>
          <w:sz w:val="20"/>
          <w:szCs w:val="20"/>
        </w:rPr>
        <w:t>Educational Review, 78(3).</w:t>
      </w:r>
      <w:r w:rsidRPr="00DD377D">
        <w:rPr>
          <w:rFonts w:ascii="Trebuchet MS" w:hAnsi="Trebuchet MS"/>
          <w:sz w:val="20"/>
          <w:szCs w:val="20"/>
        </w:rPr>
        <w:br/>
        <w:t>https://doi.org/10.1080/00131911.2025.2504523</w:t>
      </w:r>
    </w:p>
  </w:footnote>
  <w:footnote w:id="33">
    <w:p w:rsidR="00812990" w:rsidRPr="00DD377D" w:rsidP="00CA34F7">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Santoro, D.A. (2018) </w:t>
      </w:r>
      <w:r w:rsidRPr="00DD377D">
        <w:rPr>
          <w:rFonts w:ascii="Trebuchet MS" w:hAnsi="Trebuchet MS"/>
          <w:i/>
          <w:iCs/>
          <w:sz w:val="20"/>
          <w:szCs w:val="20"/>
        </w:rPr>
        <w:t>Demoralized: Why teachers leave the profession they love and how they can stay</w:t>
      </w:r>
      <w:r w:rsidRPr="00DD377D">
        <w:rPr>
          <w:rFonts w:ascii="Trebuchet MS" w:hAnsi="Trebuchet MS"/>
          <w:sz w:val="20"/>
          <w:szCs w:val="20"/>
        </w:rPr>
        <w:t>. Cambridge, MA: Harvard Education Press.</w:t>
      </w:r>
    </w:p>
  </w:footnote>
  <w:footnote w:id="34">
    <w:p w:rsidR="00812990" w:rsidRPr="00DD377D" w:rsidP="00CA34F7">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Milburn, A. (2026) </w:t>
      </w:r>
      <w:r w:rsidRPr="00DD377D">
        <w:rPr>
          <w:rFonts w:ascii="Trebuchet MS" w:hAnsi="Trebuchet MS"/>
          <w:i/>
          <w:iCs/>
          <w:sz w:val="20"/>
          <w:szCs w:val="20"/>
        </w:rPr>
        <w:t>Young People and Work: Interim Report</w:t>
      </w:r>
      <w:r w:rsidRPr="00DD377D">
        <w:rPr>
          <w:rFonts w:ascii="Trebuchet MS" w:hAnsi="Trebuchet MS"/>
          <w:sz w:val="20"/>
          <w:szCs w:val="20"/>
        </w:rPr>
        <w:t>. London: Department for Work and Pensions. Available at: https://www.gov.uk/government/publications/young-people-and-work-interim-report (Accessed: 28 July 2026).</w:t>
      </w:r>
    </w:p>
  </w:footnote>
  <w:footnote w:id="35">
    <w:p w:rsidR="00812990" w:rsidRPr="00DD377D" w:rsidP="00CA34F7">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Rahmani, H., Groot, W. and Rahmani, A.M. (2024). </w:t>
      </w:r>
      <w:r w:rsidRPr="00DD377D">
        <w:rPr>
          <w:rFonts w:ascii="Trebuchet MS" w:hAnsi="Trebuchet MS"/>
          <w:i/>
          <w:iCs/>
          <w:sz w:val="20"/>
          <w:szCs w:val="20"/>
        </w:rPr>
        <w:t>Unravelling the NEET phenomenon: a systematic literature review and meta-analysis of risk factors for youth not in education, employment, or training</w:t>
      </w:r>
      <w:r w:rsidRPr="00DD377D">
        <w:rPr>
          <w:rFonts w:ascii="Trebuchet MS" w:hAnsi="Trebuchet MS"/>
          <w:sz w:val="20"/>
          <w:szCs w:val="20"/>
        </w:rPr>
        <w:t>. International Journal of Adolescence and Youth.</w:t>
      </w:r>
    </w:p>
  </w:footnote>
  <w:footnote w:id="36">
    <w:p w:rsidR="00812990" w:rsidRPr="00163CEE" w:rsidP="00163CEE">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Wang, Y., Wang, H., Wang, S., Wind, S.A. and Gill, C. (2024). </w:t>
      </w:r>
      <w:r w:rsidRPr="00DD377D">
        <w:rPr>
          <w:rFonts w:ascii="Trebuchet MS" w:hAnsi="Trebuchet MS"/>
          <w:i/>
          <w:iCs/>
          <w:sz w:val="20"/>
          <w:szCs w:val="20"/>
        </w:rPr>
        <w:t>A systematic review and meta-analysis of self-determination-theory-based interventions in the education context</w:t>
      </w:r>
      <w:r w:rsidRPr="00DD377D">
        <w:rPr>
          <w:rFonts w:ascii="Trebuchet MS" w:hAnsi="Trebuchet MS"/>
          <w:sz w:val="20"/>
          <w:szCs w:val="20"/>
        </w:rPr>
        <w:t>. Learning and Motivation, 87, 102015.</w:t>
      </w:r>
    </w:p>
  </w:footnote>
  <w:footnote w:id="37">
    <w:p w:rsidR="00812990" w:rsidRPr="00DD377D" w:rsidP="006301B7">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Gariépy, G. et al. (2022). </w:t>
      </w:r>
      <w:r w:rsidRPr="00DD377D">
        <w:rPr>
          <w:rFonts w:ascii="Trebuchet MS" w:hAnsi="Trebuchet MS"/>
          <w:i/>
          <w:iCs/>
          <w:sz w:val="20"/>
          <w:szCs w:val="20"/>
        </w:rPr>
        <w:t>The mental health of young people who are not in education, employment, or training: a systematic review and meta-analysis</w:t>
      </w:r>
      <w:r w:rsidRPr="00DD377D">
        <w:rPr>
          <w:rFonts w:ascii="Trebuchet MS" w:hAnsi="Trebuchet MS"/>
          <w:sz w:val="20"/>
          <w:szCs w:val="20"/>
        </w:rPr>
        <w:t xml:space="preserve">. </w:t>
      </w:r>
      <w:r w:rsidRPr="00DD377D">
        <w:rPr>
          <w:rFonts w:ascii="Trebuchet MS" w:hAnsi="Trebuchet MS"/>
          <w:i/>
          <w:iCs/>
          <w:sz w:val="20"/>
          <w:szCs w:val="20"/>
        </w:rPr>
        <w:t>Social Psychiatry and Psychiatric Epidemiology</w:t>
      </w:r>
      <w:r w:rsidRPr="00DD377D">
        <w:rPr>
          <w:rFonts w:ascii="Trebuchet MS" w:hAnsi="Trebuchet MS"/>
          <w:sz w:val="20"/>
          <w:szCs w:val="20"/>
        </w:rPr>
        <w:t xml:space="preserve">. </w:t>
      </w:r>
      <w:r>
        <w:fldChar w:fldCharType="begin"/>
      </w:r>
      <w:r>
        <w:instrText xml:space="preserve"> HYPERLINK "https://link.springer.com/article/10.1007/s00127-021-02212-8" </w:instrText>
      </w:r>
      <w:r>
        <w:fldChar w:fldCharType="separate"/>
      </w:r>
      <w:r w:rsidRPr="00DD377D">
        <w:rPr>
          <w:rStyle w:val="Hyperlink"/>
          <w:rFonts w:ascii="Trebuchet MS" w:hAnsi="Trebuchet MS"/>
          <w:sz w:val="20"/>
          <w:szCs w:val="20"/>
        </w:rPr>
        <w:t>[link.springer.com]</w:t>
      </w:r>
      <w:r>
        <w:fldChar w:fldCharType="end"/>
      </w:r>
      <w:r w:rsidRPr="00DD377D">
        <w:rPr>
          <w:rFonts w:ascii="Trebuchet MS" w:hAnsi="Trebuchet MS"/>
          <w:sz w:val="20"/>
          <w:szCs w:val="20"/>
        </w:rPr>
        <w:t xml:space="preserve">, </w:t>
      </w:r>
      <w:r>
        <w:fldChar w:fldCharType="begin"/>
      </w:r>
      <w:r>
        <w:instrText xml:space="preserve"> HYPERLINK "https://www.researchgate.net/journal/Social-Psychiatry-and-Psychiatric-Epidemiology-1433-9285/publication/357202887_The_mental_health_of_young_people_who_are_not_in_education_employment_or_training_a_systematic_review_and_meta-analysis/links/61c20813c99c4b37eb12cd3c/The-mental-health-of-young-people-who-are-not-in-education-employment-or-training-a-systematic-review-and-meta-analysis.pdf" </w:instrText>
      </w:r>
      <w:r>
        <w:fldChar w:fldCharType="separate"/>
      </w:r>
      <w:r w:rsidRPr="00DD377D">
        <w:rPr>
          <w:rStyle w:val="Hyperlink"/>
          <w:rFonts w:ascii="Trebuchet MS" w:hAnsi="Trebuchet MS"/>
          <w:sz w:val="20"/>
          <w:szCs w:val="20"/>
        </w:rPr>
        <w:t>[researchgate.net]</w:t>
      </w:r>
      <w:r>
        <w:fldChar w:fldCharType="end"/>
      </w:r>
      <w:r w:rsidRPr="00DD377D">
        <w:rPr>
          <w:rFonts w:ascii="Trebuchet MS" w:hAnsi="Trebuchet MS"/>
          <w:sz w:val="20"/>
          <w:szCs w:val="20"/>
        </w:rPr>
        <w:t xml:space="preserve"> </w:t>
      </w:r>
    </w:p>
  </w:footnote>
  <w:footnote w:id="38">
    <w:p w:rsidR="00812990" w:rsidRPr="00DD377D" w:rsidP="006301B7">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Lindblad, V. et al. (2024). </w:t>
      </w:r>
      <w:r w:rsidRPr="00DD377D">
        <w:rPr>
          <w:rFonts w:ascii="Trebuchet MS" w:hAnsi="Trebuchet MS"/>
          <w:i/>
          <w:iCs/>
          <w:sz w:val="20"/>
          <w:szCs w:val="20"/>
        </w:rPr>
        <w:t>Beyond the mind: Understanding the influence of mental health on youth NEET status in Europe—A systematic literature review</w:t>
      </w:r>
      <w:r w:rsidRPr="00DD377D">
        <w:rPr>
          <w:rFonts w:ascii="Trebuchet MS" w:hAnsi="Trebuchet MS"/>
          <w:sz w:val="20"/>
          <w:szCs w:val="20"/>
        </w:rPr>
        <w:t>.</w:t>
      </w:r>
    </w:p>
  </w:footnote>
  <w:footnote w:id="39">
    <w:p w:rsidR="00812990" w:rsidRPr="00DD377D" w:rsidP="00CA34F7">
      <w:pPr>
        <w:rPr>
          <w:rFonts w:ascii="Trebuchet MS" w:hAnsi="Trebuchet MS"/>
          <w:sz w:val="20"/>
          <w:szCs w:val="20"/>
        </w:rPr>
      </w:pPr>
      <w:r w:rsidRPr="00DD377D">
        <w:rPr>
          <w:rStyle w:val="FootnoteReference"/>
          <w:rFonts w:ascii="Trebuchet MS" w:hAnsi="Trebuchet MS"/>
          <w:sz w:val="20"/>
          <w:szCs w:val="20"/>
        </w:rPr>
        <w:footnoteRef/>
      </w:r>
      <w:r w:rsidRPr="00DD377D">
        <w:rPr>
          <w:rFonts w:ascii="Trebuchet MS" w:hAnsi="Trebuchet MS"/>
          <w:sz w:val="20"/>
          <w:szCs w:val="20"/>
        </w:rPr>
        <w:t xml:space="preserve"> Gardiner, D. and Goedhuys, M. (2020) </w:t>
      </w:r>
      <w:r w:rsidRPr="00DD377D">
        <w:rPr>
          <w:rFonts w:ascii="Trebuchet MS" w:hAnsi="Trebuchet MS"/>
          <w:i/>
          <w:iCs/>
          <w:sz w:val="20"/>
          <w:szCs w:val="20"/>
        </w:rPr>
        <w:t>Youth Aspirations and the Future of Work: A Review of the Literature and Evidence</w:t>
      </w:r>
      <w:r w:rsidRPr="00DD377D">
        <w:rPr>
          <w:rFonts w:ascii="Trebuchet MS" w:hAnsi="Trebuchet MS"/>
          <w:sz w:val="20"/>
          <w:szCs w:val="20"/>
        </w:rPr>
        <w:t>. Geneva: International Labour Organization. The authors conclude that young people's aspirations are fundamental to educational choices, human capital investment and labour market outcomes.</w:t>
      </w:r>
    </w:p>
    <w:p w:rsidR="00812990">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C4749D5"/>
    <w:multiLevelType w:val="multilevel"/>
    <w:tmpl w:val="1BFCFC9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E49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49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9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9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9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9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9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9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9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9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49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49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49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49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9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9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9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91C"/>
    <w:rPr>
      <w:rFonts w:eastAsiaTheme="majorEastAsia" w:cstheme="majorBidi"/>
      <w:color w:val="272727" w:themeColor="text1" w:themeTint="D8"/>
    </w:rPr>
  </w:style>
  <w:style w:type="paragraph" w:styleId="Title">
    <w:name w:val="Title"/>
    <w:basedOn w:val="Normal"/>
    <w:next w:val="Normal"/>
    <w:link w:val="TitleChar"/>
    <w:uiPriority w:val="10"/>
    <w:qFormat/>
    <w:rsid w:val="008E49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9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9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9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91C"/>
    <w:pPr>
      <w:spacing w:before="160"/>
      <w:jc w:val="center"/>
    </w:pPr>
    <w:rPr>
      <w:i/>
      <w:iCs/>
      <w:color w:val="404040" w:themeColor="text1" w:themeTint="BF"/>
    </w:rPr>
  </w:style>
  <w:style w:type="character" w:customStyle="1" w:styleId="QuoteChar">
    <w:name w:val="Quote Char"/>
    <w:basedOn w:val="DefaultParagraphFont"/>
    <w:link w:val="Quote"/>
    <w:uiPriority w:val="29"/>
    <w:rsid w:val="008E491C"/>
    <w:rPr>
      <w:i/>
      <w:iCs/>
      <w:color w:val="404040" w:themeColor="text1" w:themeTint="BF"/>
    </w:rPr>
  </w:style>
  <w:style w:type="paragraph" w:styleId="ListParagraph">
    <w:name w:val="List Paragraph"/>
    <w:basedOn w:val="Normal"/>
    <w:uiPriority w:val="34"/>
    <w:qFormat/>
    <w:rsid w:val="008E491C"/>
    <w:pPr>
      <w:ind w:left="720"/>
      <w:contextualSpacing/>
    </w:pPr>
  </w:style>
  <w:style w:type="character" w:styleId="IntenseEmphasis">
    <w:name w:val="Intense Emphasis"/>
    <w:basedOn w:val="DefaultParagraphFont"/>
    <w:uiPriority w:val="21"/>
    <w:qFormat/>
    <w:rsid w:val="008E491C"/>
    <w:rPr>
      <w:i/>
      <w:iCs/>
      <w:color w:val="0F4761" w:themeColor="accent1" w:themeShade="BF"/>
    </w:rPr>
  </w:style>
  <w:style w:type="paragraph" w:styleId="IntenseQuote">
    <w:name w:val="Intense Quote"/>
    <w:basedOn w:val="Normal"/>
    <w:next w:val="Normal"/>
    <w:link w:val="IntenseQuoteChar"/>
    <w:uiPriority w:val="30"/>
    <w:qFormat/>
    <w:rsid w:val="008E49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91C"/>
    <w:rPr>
      <w:i/>
      <w:iCs/>
      <w:color w:val="0F4761" w:themeColor="accent1" w:themeShade="BF"/>
    </w:rPr>
  </w:style>
  <w:style w:type="character" w:styleId="IntenseReference">
    <w:name w:val="Intense Reference"/>
    <w:basedOn w:val="DefaultParagraphFont"/>
    <w:uiPriority w:val="32"/>
    <w:qFormat/>
    <w:rsid w:val="008E491C"/>
    <w:rPr>
      <w:b/>
      <w:bCs/>
      <w:smallCaps/>
      <w:color w:val="0F4761" w:themeColor="accent1" w:themeShade="BF"/>
      <w:spacing w:val="5"/>
    </w:rPr>
  </w:style>
  <w:style w:type="character" w:styleId="CommentReference">
    <w:name w:val="annotation reference"/>
    <w:basedOn w:val="DefaultParagraphFont"/>
    <w:uiPriority w:val="99"/>
    <w:semiHidden/>
    <w:unhideWhenUsed/>
    <w:rsid w:val="00AD1670"/>
    <w:rPr>
      <w:sz w:val="16"/>
      <w:szCs w:val="16"/>
    </w:rPr>
  </w:style>
  <w:style w:type="paragraph" w:styleId="CommentText">
    <w:name w:val="annotation text"/>
    <w:basedOn w:val="Normal"/>
    <w:link w:val="CommentTextChar"/>
    <w:uiPriority w:val="99"/>
    <w:unhideWhenUsed/>
    <w:rsid w:val="00AD1670"/>
    <w:pPr>
      <w:spacing w:line="240" w:lineRule="auto"/>
    </w:pPr>
    <w:rPr>
      <w:sz w:val="20"/>
      <w:szCs w:val="20"/>
    </w:rPr>
  </w:style>
  <w:style w:type="character" w:customStyle="1" w:styleId="CommentTextChar">
    <w:name w:val="Comment Text Char"/>
    <w:basedOn w:val="DefaultParagraphFont"/>
    <w:link w:val="CommentText"/>
    <w:uiPriority w:val="99"/>
    <w:rsid w:val="00AD1670"/>
    <w:rPr>
      <w:sz w:val="20"/>
      <w:szCs w:val="20"/>
    </w:rPr>
  </w:style>
  <w:style w:type="paragraph" w:styleId="CommentSubject">
    <w:name w:val="annotation subject"/>
    <w:basedOn w:val="CommentText"/>
    <w:next w:val="CommentText"/>
    <w:link w:val="CommentSubjectChar"/>
    <w:uiPriority w:val="99"/>
    <w:semiHidden/>
    <w:unhideWhenUsed/>
    <w:rsid w:val="00AD1670"/>
    <w:rPr>
      <w:b/>
      <w:bCs/>
    </w:rPr>
  </w:style>
  <w:style w:type="character" w:customStyle="1" w:styleId="CommentSubjectChar">
    <w:name w:val="Comment Subject Char"/>
    <w:basedOn w:val="CommentTextChar"/>
    <w:link w:val="CommentSubject"/>
    <w:uiPriority w:val="99"/>
    <w:semiHidden/>
    <w:rsid w:val="00AD1670"/>
    <w:rPr>
      <w:b/>
      <w:bCs/>
      <w:sz w:val="20"/>
      <w:szCs w:val="20"/>
    </w:rPr>
  </w:style>
  <w:style w:type="character" w:styleId="Hyperlink">
    <w:name w:val="Hyperlink"/>
    <w:basedOn w:val="DefaultParagraphFont"/>
    <w:uiPriority w:val="99"/>
    <w:unhideWhenUsed/>
    <w:rsid w:val="002843CC"/>
    <w:rPr>
      <w:color w:val="467886"/>
      <w:u w:val="single"/>
    </w:rPr>
  </w:style>
  <w:style w:type="paragraph" w:styleId="Revision">
    <w:name w:val="Revision"/>
    <w:hidden/>
    <w:uiPriority w:val="99"/>
    <w:semiHidden/>
    <w:rsid w:val="002E2DEC"/>
    <w:pPr>
      <w:spacing w:after="0" w:line="240" w:lineRule="auto"/>
    </w:pPr>
  </w:style>
  <w:style w:type="character" w:customStyle="1" w:styleId="UnresolvedMention1">
    <w:name w:val="Unresolved Mention1"/>
    <w:basedOn w:val="DefaultParagraphFont"/>
    <w:uiPriority w:val="99"/>
    <w:semiHidden/>
    <w:unhideWhenUsed/>
    <w:rsid w:val="002E2DEC"/>
    <w:rPr>
      <w:color w:val="605E5C"/>
      <w:shd w:val="clear" w:color="auto" w:fill="E1DFDD"/>
    </w:rPr>
  </w:style>
  <w:style w:type="character" w:customStyle="1" w:styleId="Mention1">
    <w:name w:val="Mention1"/>
    <w:basedOn w:val="DefaultParagraphFont"/>
    <w:uiPriority w:val="99"/>
    <w:unhideWhenUsed/>
    <w:rsid w:val="00693E44"/>
    <w:rPr>
      <w:color w:val="2B579A"/>
      <w:shd w:val="clear" w:color="auto" w:fill="E1DFDD"/>
    </w:rPr>
  </w:style>
  <w:style w:type="character" w:styleId="FollowedHyperlink">
    <w:name w:val="FollowedHyperlink"/>
    <w:basedOn w:val="DefaultParagraphFont"/>
    <w:uiPriority w:val="99"/>
    <w:semiHidden/>
    <w:unhideWhenUsed/>
    <w:rsid w:val="00CE3227"/>
    <w:rPr>
      <w:color w:val="96607D" w:themeColor="followedHyperlink"/>
      <w:u w:val="single"/>
    </w:rPr>
  </w:style>
  <w:style w:type="character" w:styleId="BookTitle">
    <w:name w:val="Book Title"/>
    <w:basedOn w:val="DefaultParagraphFont"/>
    <w:uiPriority w:val="33"/>
    <w:qFormat/>
    <w:rsid w:val="00322A15"/>
    <w:rPr>
      <w:b/>
      <w:bCs/>
      <w:i/>
      <w:iCs/>
      <w:spacing w:val="5"/>
    </w:rPr>
  </w:style>
  <w:style w:type="paragraph" w:styleId="Caption">
    <w:name w:val="caption"/>
    <w:basedOn w:val="Normal"/>
    <w:next w:val="Normal"/>
    <w:uiPriority w:val="35"/>
    <w:unhideWhenUsed/>
    <w:qFormat/>
    <w:rsid w:val="00322A15"/>
    <w:pPr>
      <w:spacing w:after="200" w:line="240" w:lineRule="auto"/>
    </w:pPr>
    <w:rPr>
      <w:i/>
      <w:iCs/>
      <w:color w:val="0E2841" w:themeColor="text2"/>
      <w:sz w:val="18"/>
      <w:szCs w:val="18"/>
    </w:rPr>
  </w:style>
  <w:style w:type="character" w:styleId="Emphasis">
    <w:name w:val="Emphasis"/>
    <w:basedOn w:val="DefaultParagraphFont"/>
    <w:uiPriority w:val="20"/>
    <w:qFormat/>
    <w:rsid w:val="00322A15"/>
    <w:rPr>
      <w:i/>
      <w:iCs/>
    </w:rPr>
  </w:style>
  <w:style w:type="paragraph" w:styleId="NoSpacing">
    <w:name w:val="No Spacing"/>
    <w:uiPriority w:val="1"/>
    <w:qFormat/>
    <w:rsid w:val="00322A15"/>
    <w:pPr>
      <w:spacing w:after="0" w:line="240" w:lineRule="auto"/>
    </w:pPr>
  </w:style>
  <w:style w:type="character" w:styleId="Strong">
    <w:name w:val="Strong"/>
    <w:basedOn w:val="DefaultParagraphFont"/>
    <w:uiPriority w:val="22"/>
    <w:qFormat/>
    <w:rsid w:val="00322A15"/>
    <w:rPr>
      <w:b/>
      <w:bCs/>
    </w:rPr>
  </w:style>
  <w:style w:type="character" w:styleId="SubtleEmphasis">
    <w:name w:val="Subtle Emphasis"/>
    <w:basedOn w:val="DefaultParagraphFont"/>
    <w:uiPriority w:val="19"/>
    <w:qFormat/>
    <w:rsid w:val="00322A15"/>
    <w:rPr>
      <w:i/>
      <w:iCs/>
      <w:color w:val="404040" w:themeColor="text1" w:themeTint="BF"/>
    </w:rPr>
  </w:style>
  <w:style w:type="character" w:styleId="SubtleReference">
    <w:name w:val="Subtle Reference"/>
    <w:basedOn w:val="DefaultParagraphFont"/>
    <w:uiPriority w:val="31"/>
    <w:qFormat/>
    <w:rsid w:val="00322A15"/>
    <w:rPr>
      <w:smallCaps/>
      <w:color w:val="5A5A5A" w:themeColor="text1" w:themeTint="A5"/>
    </w:rPr>
  </w:style>
  <w:style w:type="paragraph" w:styleId="TOCHeading">
    <w:name w:val="TOC Heading"/>
    <w:basedOn w:val="Heading1"/>
    <w:next w:val="Normal"/>
    <w:uiPriority w:val="39"/>
    <w:semiHidden/>
    <w:unhideWhenUsed/>
    <w:qFormat/>
    <w:rsid w:val="00322A15"/>
    <w:pPr>
      <w:spacing w:before="240" w:after="0"/>
      <w:outlineLvl w:val="9"/>
    </w:pPr>
    <w:rPr>
      <w:sz w:val="32"/>
      <w:szCs w:val="32"/>
    </w:rPr>
  </w:style>
  <w:style w:type="paragraph" w:styleId="NormalWeb">
    <w:name w:val="Normal (Web)"/>
    <w:basedOn w:val="Normal"/>
    <w:uiPriority w:val="99"/>
    <w:semiHidden/>
    <w:unhideWhenUsed/>
    <w:rsid w:val="00D83708"/>
    <w:rPr>
      <w:rFonts w:ascii="Times New Roman" w:hAnsi="Times New Roman" w:cs="Times New Roman"/>
    </w:rPr>
  </w:style>
  <w:style w:type="paragraph" w:styleId="FootnoteText">
    <w:name w:val="footnote text"/>
    <w:basedOn w:val="Normal"/>
    <w:link w:val="FootnoteTextChar"/>
    <w:uiPriority w:val="99"/>
    <w:unhideWhenUsed/>
    <w:rsid w:val="00612770"/>
    <w:pPr>
      <w:spacing w:after="0" w:line="240" w:lineRule="auto"/>
    </w:pPr>
    <w:rPr>
      <w:sz w:val="20"/>
      <w:szCs w:val="20"/>
    </w:rPr>
  </w:style>
  <w:style w:type="character" w:customStyle="1" w:styleId="FootnoteTextChar">
    <w:name w:val="Footnote Text Char"/>
    <w:basedOn w:val="DefaultParagraphFont"/>
    <w:link w:val="FootnoteText"/>
    <w:uiPriority w:val="99"/>
    <w:rsid w:val="00612770"/>
    <w:rPr>
      <w:sz w:val="20"/>
      <w:szCs w:val="20"/>
    </w:rPr>
  </w:style>
  <w:style w:type="character" w:styleId="FootnoteReference">
    <w:name w:val="footnote reference"/>
    <w:basedOn w:val="DefaultParagraphFont"/>
    <w:uiPriority w:val="99"/>
    <w:semiHidden/>
    <w:unhideWhenUsed/>
    <w:rsid w:val="00612770"/>
    <w:rPr>
      <w:vertAlign w:val="superscript"/>
    </w:rPr>
  </w:style>
  <w:style w:type="paragraph" w:styleId="Header">
    <w:name w:val="header"/>
    <w:basedOn w:val="Normal"/>
    <w:link w:val="HeaderChar"/>
    <w:uiPriority w:val="99"/>
    <w:unhideWhenUsed/>
    <w:rsid w:val="00166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2B9"/>
  </w:style>
  <w:style w:type="paragraph" w:styleId="Footer">
    <w:name w:val="footer"/>
    <w:basedOn w:val="Normal"/>
    <w:link w:val="FooterChar"/>
    <w:uiPriority w:val="99"/>
    <w:unhideWhenUsed/>
    <w:rsid w:val="00166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28F7D-DA26-475B-A40E-796808EFB215}">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ECA0119</dc:title>
  <cp:revision>0</cp:revision>
</cp:coreProperties>
</file>