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4CDE" w:rsidRPr="001B4CDE" w:rsidP="001B4CDE">
      <w:pPr>
        <w:pStyle w:val="Heading1"/>
        <w:jc w:val="center"/>
        <w:rPr>
          <w:rFonts w:ascii="Calibri" w:eastAsia="Times New Roman" w:hAnsi="Calibri" w:cs="Calibri"/>
          <w:b/>
          <w:bCs/>
          <w:color w:val="auto"/>
          <w:sz w:val="22"/>
          <w:szCs w:val="22"/>
        </w:rPr>
      </w:pPr>
      <w:r w:rsidRPr="001B4CDE">
        <w:rPr>
          <w:rFonts w:ascii="Calibri" w:eastAsia="Times New Roman" w:hAnsi="Calibri" w:cs="Calibri"/>
          <w:b/>
          <w:bCs/>
          <w:color w:val="auto"/>
          <w:sz w:val="22"/>
          <w:szCs w:val="22"/>
        </w:rPr>
        <w:t xml:space="preserve">Written evidence by </w:t>
      </w:r>
      <w:r w:rsidRPr="001B4CDE">
        <w:rPr>
          <w:rFonts w:ascii="Calibri" w:eastAsia="Times New Roman" w:hAnsi="Calibri" w:cs="Calibri"/>
          <w:b/>
          <w:bCs/>
          <w:color w:val="auto"/>
          <w:sz w:val="22"/>
          <w:szCs w:val="22"/>
        </w:rPr>
        <w:t>Nadia Siddiqui</w:t>
      </w:r>
      <w:r w:rsidRPr="001B4CDE">
        <w:rPr>
          <w:rFonts w:ascii="Calibri" w:eastAsia="Times New Roman" w:hAnsi="Calibri" w:cs="Calibri"/>
          <w:b/>
          <w:bCs/>
          <w:color w:val="auto"/>
          <w:sz w:val="22"/>
          <w:szCs w:val="22"/>
        </w:rPr>
        <w:t xml:space="preserve"> (</w:t>
      </w:r>
      <w:r w:rsidRPr="001B4CDE">
        <w:rPr>
          <w:rFonts w:ascii="Calibri" w:eastAsia="Times New Roman" w:hAnsi="Calibri" w:cs="Calibri"/>
          <w:b/>
          <w:bCs/>
          <w:color w:val="auto"/>
          <w:sz w:val="22"/>
          <w:szCs w:val="22"/>
        </w:rPr>
        <w:t>ECA0118</w:t>
      </w:r>
      <w:r w:rsidRPr="001B4CDE">
        <w:rPr>
          <w:rFonts w:ascii="Calibri" w:eastAsia="Times New Roman" w:hAnsi="Calibri" w:cs="Calibri"/>
          <w:b/>
          <w:bCs/>
          <w:color w:val="auto"/>
          <w:sz w:val="22"/>
          <w:szCs w:val="22"/>
        </w:rPr>
        <w:t>)</w:t>
      </w:r>
    </w:p>
    <w:p w:rsidR="001B4CDE" w:rsidRPr="001B4CDE" w:rsidP="001B4CDE">
      <w:pPr>
        <w:rPr>
          <w:rFonts w:ascii="Calibri" w:hAnsi="Calibri" w:cs="Calibri"/>
          <w:b/>
          <w:bCs/>
          <w:sz w:val="22"/>
          <w:szCs w:val="22"/>
        </w:rPr>
      </w:pPr>
      <w:r w:rsidRPr="001B4CDE">
        <w:rPr>
          <w:rFonts w:ascii="Calibri" w:hAnsi="Calibri" w:cs="Calibri"/>
          <w:b/>
          <w:bCs/>
          <w:sz w:val="22"/>
          <w:szCs w:val="22"/>
        </w:rPr>
        <w:t>Education Committee</w:t>
      </w:r>
    </w:p>
    <w:p w:rsidR="001B4CDE" w:rsidRPr="001B4CDE" w:rsidP="001B4CDE">
      <w:pPr>
        <w:rPr>
          <w:rFonts w:ascii="Calibri" w:hAnsi="Calibri" w:cs="Calibri"/>
          <w:b/>
          <w:bCs/>
          <w:sz w:val="22"/>
          <w:szCs w:val="22"/>
        </w:rPr>
      </w:pPr>
      <w:r w:rsidRPr="001B4CDE">
        <w:rPr>
          <w:rFonts w:ascii="Calibri" w:eastAsia="Times New Roman" w:hAnsi="Calibri" w:cs="Calibri"/>
          <w:b/>
          <w:bCs/>
          <w:sz w:val="22"/>
          <w:szCs w:val="22"/>
        </w:rPr>
        <w:t>Every Child Achieving and Thriving’ White Paper</w:t>
      </w:r>
    </w:p>
    <w:p w:rsidR="000E7F0D" w:rsidRPr="001B4CDE" w:rsidP="000E43E6">
      <w:pPr>
        <w:pStyle w:val="Heading1"/>
        <w:jc w:val="both"/>
        <w:rPr>
          <w:rFonts w:ascii="Calibri" w:eastAsia="Times New Roman" w:hAnsi="Calibri" w:cs="Calibri"/>
          <w:b/>
          <w:bCs/>
          <w:color w:val="auto"/>
          <w:sz w:val="22"/>
          <w:szCs w:val="22"/>
        </w:rPr>
      </w:pPr>
      <w:r w:rsidRPr="001B4CDE">
        <w:rPr>
          <w:rFonts w:ascii="Calibri" w:eastAsia="Times New Roman" w:hAnsi="Calibri" w:cs="Calibri"/>
          <w:b/>
          <w:bCs/>
          <w:color w:val="auto"/>
          <w:sz w:val="22"/>
          <w:szCs w:val="22"/>
        </w:rPr>
        <w:t>Investigating Illness Absences in Redcar and Cleveland</w:t>
      </w:r>
    </w:p>
    <w:p w:rsidR="000E7F0D" w:rsidRPr="001B4CDE" w:rsidP="000E43E6">
      <w:pPr>
        <w:spacing w:after="0"/>
        <w:jc w:val="both"/>
        <w:rPr>
          <w:rFonts w:ascii="Calibri" w:eastAsia="Times New Roman" w:hAnsi="Calibri" w:cs="Calibri"/>
          <w:sz w:val="22"/>
          <w:szCs w:val="22"/>
        </w:rPr>
      </w:pPr>
    </w:p>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Contributing authors: Stephen Gorard, Guanyu Huo,</w:t>
      </w:r>
      <w:r w:rsidRPr="001B4CDE">
        <w:rPr>
          <w:rFonts w:ascii="Calibri" w:eastAsia="Times New Roman" w:hAnsi="Calibri" w:cs="Calibri"/>
          <w:sz w:val="22"/>
          <w:szCs w:val="22"/>
        </w:rPr>
        <w:t xml:space="preserve"> </w:t>
      </w:r>
      <w:r w:rsidRPr="001B4CDE">
        <w:rPr>
          <w:rFonts w:ascii="Calibri" w:eastAsia="Times New Roman" w:hAnsi="Calibri" w:cs="Calibri"/>
          <w:sz w:val="22"/>
          <w:szCs w:val="22"/>
        </w:rPr>
        <w:t>Gaojie Cao</w:t>
      </w:r>
    </w:p>
    <w:p w:rsidR="000E7F0D" w:rsidRPr="001B4CDE" w:rsidP="000E43E6">
      <w:pPr>
        <w:spacing w:after="0"/>
        <w:jc w:val="both"/>
        <w:rPr>
          <w:rFonts w:ascii="Calibri" w:hAnsi="Calibri" w:cs="Calibri"/>
          <w:sz w:val="22"/>
          <w:szCs w:val="22"/>
        </w:rPr>
      </w:pPr>
      <w:r w:rsidRPr="001B4CDE">
        <w:rPr>
          <w:rFonts w:ascii="Calibri" w:eastAsia="Times New Roman" w:hAnsi="Calibri" w:cs="Calibri"/>
          <w:sz w:val="22"/>
          <w:szCs w:val="22"/>
        </w:rPr>
        <w:t>Affiliation: Evidence C</w:t>
      </w:r>
      <w:r w:rsidRPr="001B4CDE">
        <w:rPr>
          <w:rFonts w:ascii="Calibri" w:eastAsia="Times New Roman" w:hAnsi="Calibri" w:cs="Calibri"/>
          <w:sz w:val="22"/>
          <w:szCs w:val="22"/>
        </w:rPr>
        <w:t>entre</w:t>
      </w:r>
      <w:r w:rsidRPr="001B4CDE">
        <w:rPr>
          <w:rFonts w:ascii="Calibri" w:eastAsia="Times New Roman" w:hAnsi="Calibri" w:cs="Calibri"/>
          <w:sz w:val="22"/>
          <w:szCs w:val="22"/>
        </w:rPr>
        <w:t xml:space="preserve"> for Educatio</w:t>
      </w:r>
      <w:r w:rsidRPr="001B4CDE">
        <w:rPr>
          <w:rFonts w:ascii="Calibri" w:eastAsia="Times New Roman" w:hAnsi="Calibri" w:cs="Calibri"/>
          <w:sz w:val="22"/>
          <w:szCs w:val="22"/>
        </w:rPr>
        <w:t xml:space="preserve">n, Durham University </w:t>
      </w:r>
    </w:p>
    <w:p w:rsidR="000E7F0D" w:rsidRPr="001B4CDE" w:rsidP="000E43E6">
      <w:pPr>
        <w:jc w:val="both"/>
        <w:rPr>
          <w:rFonts w:ascii="Calibri" w:eastAsia="Times New Roman" w:hAnsi="Calibri" w:cs="Calibri"/>
          <w:sz w:val="22"/>
          <w:szCs w:val="22"/>
        </w:rPr>
      </w:pPr>
    </w:p>
    <w:p w:rsidR="000E7F0D" w:rsidRPr="001B4CDE" w:rsidP="000E43E6">
      <w:pPr>
        <w:jc w:val="both"/>
        <w:rPr>
          <w:rFonts w:ascii="Calibri" w:hAnsi="Calibri" w:cs="Calibri"/>
          <w:sz w:val="22"/>
          <w:szCs w:val="22"/>
        </w:rPr>
      </w:pPr>
      <w:r w:rsidRPr="001B4CDE">
        <w:rPr>
          <w:rFonts w:ascii="Calibri" w:eastAsia="Times New Roman" w:hAnsi="Calibri" w:cs="Calibri"/>
          <w:sz w:val="22"/>
          <w:szCs w:val="22"/>
        </w:rPr>
        <w:t xml:space="preserve">We are submitting this evidence to inform the Committee's consideration of the Government's Mission Coastal and Mission </w:t>
      </w:r>
      <w:r w:rsidRPr="001B4CDE">
        <w:rPr>
          <w:rFonts w:ascii="Calibri" w:eastAsia="Times New Roman" w:hAnsi="Calibri" w:cs="Calibri"/>
          <w:sz w:val="22"/>
          <w:szCs w:val="22"/>
        </w:rPr>
        <w:t>North East</w:t>
      </w:r>
      <w:r w:rsidRPr="001B4CDE">
        <w:rPr>
          <w:rFonts w:ascii="Calibri" w:eastAsia="Times New Roman" w:hAnsi="Calibri" w:cs="Calibri"/>
          <w:sz w:val="22"/>
          <w:szCs w:val="22"/>
        </w:rPr>
        <w:t xml:space="preserve"> initiatives, both of which aim to improve educational, social, and economic outcomes for children and young people living in geographically disadvantaged communities. </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This evidence draws on a case study of Redcar and Cleveland, where unusually high levels of authorised absence, particularly illness-related absence, were recorded across the local authority</w:t>
      </w:r>
      <w:r w:rsidRPr="001B4CDE">
        <w:rPr>
          <w:rFonts w:ascii="Calibri" w:eastAsia="Times New Roman" w:hAnsi="Calibri" w:cs="Calibri"/>
          <w:sz w:val="22"/>
          <w:szCs w:val="22"/>
        </w:rPr>
        <w:t xml:space="preserve"> (Siddiqui et al., 2026)</w:t>
      </w:r>
      <w:r w:rsidRPr="001B4CDE">
        <w:rPr>
          <w:rFonts w:ascii="Calibri" w:eastAsia="Times New Roman" w:hAnsi="Calibri" w:cs="Calibri"/>
          <w:sz w:val="22"/>
          <w:szCs w:val="22"/>
        </w:rPr>
        <w:t xml:space="preserve">. The study investigated the factors associated with this pattern of absence using multiple sources of evidence, including attendance and pupil-level data provided by Redcar and Cleveland Local Authority, school census data, community health indicators from the Office for National Statistics and the Office for Health Improvement and Disparities, and interviews with school leaders, attendance staff, and local authority officers directly involved in tackling school absence. </w:t>
      </w:r>
      <w:r w:rsidRPr="001B4CDE">
        <w:rPr>
          <w:rFonts w:ascii="Calibri" w:eastAsia="Times New Roman" w:hAnsi="Calibri" w:cs="Calibri"/>
          <w:sz w:val="22"/>
          <w:szCs w:val="22"/>
        </w:rPr>
        <w:t>These</w:t>
      </w:r>
      <w:r w:rsidRPr="001B4CDE">
        <w:rPr>
          <w:rFonts w:ascii="Calibri" w:eastAsia="Times New Roman" w:hAnsi="Calibri" w:cs="Calibri"/>
          <w:sz w:val="22"/>
          <w:szCs w:val="22"/>
        </w:rPr>
        <w:t xml:space="preserve"> data provide insight into the complex educational, social, health, and behavioural factors influencing attendance in a coastal and economically disadvantaged area.</w:t>
      </w:r>
    </w:p>
    <w:p w:rsidR="000E7F0D" w:rsidRPr="001B4CDE" w:rsidP="000E43E6">
      <w:pPr>
        <w:pStyle w:val="Heading1"/>
        <w:jc w:val="both"/>
        <w:rPr>
          <w:rFonts w:ascii="Calibri" w:eastAsia="Times New Roman" w:hAnsi="Calibri" w:cs="Calibri"/>
          <w:b/>
          <w:bCs/>
          <w:color w:val="auto"/>
          <w:sz w:val="22"/>
          <w:szCs w:val="22"/>
        </w:rPr>
      </w:pPr>
      <w:r w:rsidRPr="001B4CDE">
        <w:rPr>
          <w:rFonts w:ascii="Calibri" w:eastAsia="Times New Roman" w:hAnsi="Calibri" w:cs="Calibri"/>
          <w:b/>
          <w:bCs/>
          <w:color w:val="auto"/>
          <w:sz w:val="22"/>
          <w:szCs w:val="22"/>
        </w:rPr>
        <w:t xml:space="preserve">The </w:t>
      </w:r>
      <w:r w:rsidRPr="001B4CDE">
        <w:rPr>
          <w:rFonts w:ascii="Calibri" w:eastAsia="Times New Roman" w:hAnsi="Calibri" w:cs="Calibri"/>
          <w:b/>
          <w:bCs/>
          <w:color w:val="auto"/>
          <w:sz w:val="22"/>
          <w:szCs w:val="22"/>
        </w:rPr>
        <w:t>c</w:t>
      </w:r>
      <w:r w:rsidRPr="001B4CDE">
        <w:rPr>
          <w:rFonts w:ascii="Calibri" w:eastAsia="Times New Roman" w:hAnsi="Calibri" w:cs="Calibri"/>
          <w:b/>
          <w:bCs/>
          <w:color w:val="auto"/>
          <w:sz w:val="22"/>
          <w:szCs w:val="22"/>
        </w:rPr>
        <w:t>ontext of Redcar and Cleveland</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In the 2025 Indices of Multiple Deprivation, seven areas in Northeast England remain among the most deprived in the country: Middlesbrough, Redcar and Cleveland, Hartlepool, Stockton-on-Tees, Newcastle, Sunderland, and Durham. These areas have consistently received the lowest decile score of 1, signifying the highest deprivation levels, since 2004. The revised Deprivation Affecting Children Index (DACI) reveals that substantial percentages of children are affected by poverty in Middlesbrough (55%), Hartlepo</w:t>
      </w:r>
      <w:r w:rsidRPr="001B4CDE">
        <w:rPr>
          <w:rFonts w:ascii="Calibri" w:eastAsia="Times New Roman" w:hAnsi="Calibri" w:cs="Calibri"/>
          <w:sz w:val="22"/>
          <w:szCs w:val="22"/>
        </w:rPr>
        <w:t>ol (49%), Redcar and Cleveland (45%), South Tyneside (44%), and Gateshead (42%).</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Socioeconomic challenges impacted families and children (Castellanos et al. 2026). According to the Department for Education (DfE) Redcar and Cleveland </w:t>
      </w:r>
      <w:r w:rsidRPr="001B4CDE">
        <w:rPr>
          <w:rFonts w:ascii="Calibri" w:eastAsia="Times New Roman" w:hAnsi="Calibri" w:cs="Calibri"/>
          <w:sz w:val="22"/>
          <w:szCs w:val="22"/>
        </w:rPr>
        <w:t>has</w:t>
      </w:r>
      <w:r w:rsidRPr="001B4CDE">
        <w:rPr>
          <w:rFonts w:ascii="Calibri" w:eastAsia="Times New Roman" w:hAnsi="Calibri" w:cs="Calibri"/>
          <w:sz w:val="22"/>
          <w:szCs w:val="22"/>
        </w:rPr>
        <w:t xml:space="preserve"> </w:t>
      </w:r>
      <w:r w:rsidRPr="001B4CDE">
        <w:rPr>
          <w:rFonts w:ascii="Calibri" w:eastAsia="Times New Roman" w:hAnsi="Calibri" w:cs="Calibri"/>
          <w:sz w:val="22"/>
          <w:szCs w:val="22"/>
        </w:rPr>
        <w:t>a highest proportion</w:t>
      </w:r>
      <w:r w:rsidRPr="001B4CDE">
        <w:rPr>
          <w:rFonts w:ascii="Calibri" w:eastAsia="Times New Roman" w:hAnsi="Calibri" w:cs="Calibri"/>
          <w:sz w:val="22"/>
          <w:szCs w:val="22"/>
        </w:rPr>
        <w:t xml:space="preserve"> of Looked After children </w:t>
      </w:r>
      <w:r w:rsidRPr="001B4CDE">
        <w:rPr>
          <w:rFonts w:ascii="Calibri" w:eastAsia="Times New Roman" w:hAnsi="Calibri" w:cs="Calibri"/>
          <w:sz w:val="22"/>
          <w:szCs w:val="22"/>
        </w:rPr>
        <w:t>compared</w:t>
      </w:r>
      <w:r w:rsidRPr="001B4CDE">
        <w:rPr>
          <w:rFonts w:ascii="Calibri" w:eastAsia="Times New Roman" w:hAnsi="Calibri" w:cs="Calibri"/>
          <w:sz w:val="22"/>
          <w:szCs w:val="22"/>
        </w:rPr>
        <w:t xml:space="preserve"> national average (DfE, 2025). Table 1 shows several notable trends in Redcar and Cleveland over the period 2007–2025, though interpretation requires caution due to changes in assessment measures over time. </w:t>
      </w:r>
      <w:r w:rsidRPr="001B4CDE">
        <w:rPr>
          <w:rFonts w:ascii="Calibri" w:eastAsia="Times New Roman" w:hAnsi="Calibri" w:cs="Calibri"/>
          <w:sz w:val="22"/>
          <w:szCs w:val="22"/>
        </w:rPr>
        <w:t>As shown in table 1, t</w:t>
      </w:r>
      <w:r w:rsidRPr="001B4CDE">
        <w:rPr>
          <w:rFonts w:ascii="Calibri" w:eastAsia="Times New Roman" w:hAnsi="Calibri" w:cs="Calibri"/>
          <w:sz w:val="22"/>
          <w:szCs w:val="22"/>
        </w:rPr>
        <w:t>he percentage of pupils eligible for free school meals (FSM) from 2007 to 2025, revealing a persistently high proportion over time, which suggests sustained levels of socio-economic disadvantage.</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Table 1: Percentage FSM, KS2 and KS4 Average Attainment (2007-2025)</w:t>
      </w:r>
    </w:p>
    <w:tbl>
      <w:tblPr>
        <w:tblW w:w="0" w:type="auto"/>
        <w:tblLook w:val="04A0"/>
      </w:tblPr>
      <w:tblGrid>
        <w:gridCol w:w="2040"/>
        <w:gridCol w:w="2040"/>
        <w:gridCol w:w="2040"/>
        <w:gridCol w:w="2310"/>
      </w:tblGrid>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tcPr>
          <w:p w:rsidR="000E7F0D" w:rsidRPr="001B4CDE" w:rsidP="000E43E6">
            <w:pPr>
              <w:spacing w:after="0"/>
              <w:jc w:val="both"/>
              <w:rPr>
                <w:rFonts w:ascii="Calibri" w:eastAsia="Times New Roman" w:hAnsi="Calibri" w:cs="Calibri"/>
                <w:sz w:val="22"/>
                <w:szCs w:val="22"/>
              </w:rPr>
            </w:pP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FSM%</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 xml:space="preserve">KS2 Average </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KS4 Average attainment</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2007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20.53</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28</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357.6</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2008</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19.54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27.9</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395.3</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2009</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27.8</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432.4</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2010</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19.54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27.4</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476.4</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2011</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19.12</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27.3</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333.2</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2012</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19.74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28.4</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341.6</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2013</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20.4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27.8</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336.2</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19.34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27.8</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292.4</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2015</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21.66</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27.6</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301.3</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2016</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20.86</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27.3</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47.6</w:t>
            </w:r>
          </w:p>
        </w:tc>
      </w:tr>
      <w:tr w:rsidTr="122633AB">
        <w:tblPrEx>
          <w:tblW w:w="0" w:type="auto"/>
          <w:tblLook w:val="04A0"/>
        </w:tblPrEx>
        <w:trPr>
          <w:trHeight w:val="300"/>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18.26</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28.4</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44</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2018</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19.87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28.7</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43.6</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2019</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20.07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29</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43.8</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2021</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26.7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 xml:space="preserve">- </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 xml:space="preserve">- </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2022</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28.59</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104.7</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47.6</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2023</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30.01</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105</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45.3</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2024</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31.27</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104.7</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44.1</w:t>
            </w:r>
          </w:p>
        </w:tc>
      </w:tr>
      <w:tr w:rsidTr="122633AB">
        <w:tblPrEx>
          <w:tblW w:w="0" w:type="auto"/>
          <w:tblLook w:val="04A0"/>
        </w:tblPrEx>
        <w:trPr>
          <w:trHeight w:val="285"/>
        </w:trPr>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2025</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33</w:t>
            </w:r>
          </w:p>
        </w:tc>
        <w:tc>
          <w:tcPr>
            <w:tcW w:w="20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105</w:t>
            </w:r>
          </w:p>
        </w:tc>
        <w:tc>
          <w:tcPr>
            <w:tcW w:w="2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E7F0D" w:rsidRPr="001B4CDE" w:rsidP="000E43E6">
            <w:pPr>
              <w:spacing w:after="0"/>
              <w:jc w:val="right"/>
              <w:rPr>
                <w:rFonts w:ascii="Calibri" w:eastAsia="Times New Roman" w:hAnsi="Calibri" w:cs="Calibri"/>
                <w:sz w:val="22"/>
                <w:szCs w:val="22"/>
              </w:rPr>
            </w:pPr>
            <w:r w:rsidRPr="001B4CDE">
              <w:rPr>
                <w:rFonts w:ascii="Calibri" w:eastAsia="Times New Roman" w:hAnsi="Calibri" w:cs="Calibri"/>
                <w:sz w:val="22"/>
                <w:szCs w:val="22"/>
              </w:rPr>
              <w:t>43.8</w:t>
            </w:r>
          </w:p>
        </w:tc>
      </w:tr>
    </w:tbl>
    <w:p w:rsidR="000E7F0D" w:rsidRPr="001B4CDE" w:rsidP="000E43E6">
      <w:pPr>
        <w:jc w:val="both"/>
        <w:rPr>
          <w:rFonts w:ascii="Calibri" w:eastAsia="Times New Roman" w:hAnsi="Calibri" w:cs="Calibri"/>
          <w:sz w:val="22"/>
          <w:szCs w:val="22"/>
        </w:rPr>
      </w:pP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Key points:</w:t>
      </w:r>
    </w:p>
    <w:p w:rsidR="000E7F0D" w:rsidRPr="001B4CDE" w:rsidP="000E43E6">
      <w:pPr>
        <w:pStyle w:val="ListParagraph"/>
        <w:numPr>
          <w:ilvl w:val="0"/>
          <w:numId w:val="2"/>
        </w:numPr>
        <w:jc w:val="both"/>
        <w:rPr>
          <w:rFonts w:ascii="Calibri" w:eastAsia="Times New Roman" w:hAnsi="Calibri" w:cs="Calibri"/>
          <w:sz w:val="22"/>
          <w:szCs w:val="22"/>
        </w:rPr>
      </w:pPr>
      <w:r w:rsidRPr="001B4CDE">
        <w:rPr>
          <w:rFonts w:ascii="Calibri" w:eastAsia="Times New Roman" w:hAnsi="Calibri" w:cs="Calibri"/>
          <w:sz w:val="22"/>
          <w:szCs w:val="22"/>
        </w:rPr>
        <w:t>FSM eligibility rose from about 20% before the pandemic to 33% by 2025.</w:t>
      </w:r>
    </w:p>
    <w:p w:rsidR="000E7F0D" w:rsidRPr="001B4CDE" w:rsidP="000E43E6">
      <w:pPr>
        <w:pStyle w:val="ListParagraph"/>
        <w:numPr>
          <w:ilvl w:val="0"/>
          <w:numId w:val="2"/>
        </w:numPr>
        <w:jc w:val="both"/>
        <w:rPr>
          <w:rFonts w:ascii="Calibri" w:eastAsia="Times New Roman" w:hAnsi="Calibri" w:cs="Calibri"/>
          <w:sz w:val="22"/>
          <w:szCs w:val="22"/>
        </w:rPr>
      </w:pPr>
      <w:r w:rsidRPr="001B4CDE">
        <w:rPr>
          <w:rFonts w:ascii="Calibri" w:eastAsia="Times New Roman" w:hAnsi="Calibri" w:cs="Calibri"/>
          <w:sz w:val="22"/>
          <w:szCs w:val="22"/>
        </w:rPr>
        <w:t>Attainment remained relatively stable within changing assessment systems.</w:t>
      </w:r>
    </w:p>
    <w:p w:rsidR="000E7F0D" w:rsidRPr="001B4CDE" w:rsidP="000E43E6">
      <w:pPr>
        <w:pStyle w:val="ListParagraph"/>
        <w:numPr>
          <w:ilvl w:val="0"/>
          <w:numId w:val="2"/>
        </w:numPr>
        <w:jc w:val="both"/>
        <w:rPr>
          <w:rFonts w:ascii="Calibri" w:eastAsia="Times New Roman" w:hAnsi="Calibri" w:cs="Calibri"/>
          <w:sz w:val="22"/>
          <w:szCs w:val="22"/>
        </w:rPr>
      </w:pPr>
      <w:r w:rsidRPr="001B4CDE">
        <w:rPr>
          <w:rFonts w:ascii="Calibri" w:eastAsia="Times New Roman" w:hAnsi="Calibri" w:cs="Calibri"/>
          <w:sz w:val="22"/>
          <w:szCs w:val="22"/>
        </w:rPr>
        <w:t xml:space="preserve">Rising </w:t>
      </w:r>
      <w:r w:rsidRPr="001B4CDE">
        <w:rPr>
          <w:rFonts w:ascii="Calibri" w:eastAsia="Times New Roman" w:hAnsi="Calibri" w:cs="Calibri"/>
          <w:sz w:val="22"/>
          <w:szCs w:val="22"/>
        </w:rPr>
        <w:t>disadvantages have</w:t>
      </w:r>
      <w:r w:rsidRPr="001B4CDE">
        <w:rPr>
          <w:rFonts w:ascii="Calibri" w:eastAsia="Times New Roman" w:hAnsi="Calibri" w:cs="Calibri"/>
          <w:sz w:val="22"/>
          <w:szCs w:val="22"/>
        </w:rPr>
        <w:t xml:space="preserve"> not been accompanied by major changes in attainment outcomes.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As seen in Table 2, i</w:t>
      </w:r>
      <w:r w:rsidRPr="001B4CDE">
        <w:rPr>
          <w:rFonts w:ascii="Calibri" w:eastAsia="Times New Roman" w:hAnsi="Calibri" w:cs="Calibri"/>
          <w:sz w:val="22"/>
          <w:szCs w:val="22"/>
        </w:rPr>
        <w:t>llness is the dominant reason for authorised absences in Redcar and Cleveland schools.</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Table 2: Summary of Schools and Attendance (2024-25)</w:t>
      </w:r>
    </w:p>
    <w:tbl>
      <w:tblPr>
        <w:tblStyle w:val="TableGrid"/>
        <w:tblW w:w="100" w:type="auto"/>
        <w:tblLook w:val="04A0"/>
      </w:tblPr>
      <w:tblGrid>
        <w:gridCol w:w="1204"/>
        <w:gridCol w:w="1317"/>
        <w:gridCol w:w="1429"/>
        <w:gridCol w:w="1684"/>
        <w:gridCol w:w="1377"/>
        <w:gridCol w:w="2005"/>
      </w:tblGrid>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School Type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Number of Schools</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Attendance Rate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Authorised Absence Rate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Illness Absence Rate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Illness within Authorised Absences</w:t>
            </w:r>
          </w:p>
        </w:tc>
      </w:tr>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All Schools</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59</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92.6%</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4.4%</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3.2%</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72.4%</w:t>
            </w:r>
          </w:p>
        </w:tc>
      </w:tr>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Primary</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44</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94.2%</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3.7%</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3.2%</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85.3%</w:t>
            </w:r>
          </w:p>
        </w:tc>
      </w:tr>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Secondary</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10</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91.1%</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4.8%</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3.1%</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64.4%</w:t>
            </w:r>
          </w:p>
        </w:tc>
      </w:tr>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Special</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4</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88.1%</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9.6%</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5.1%</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53.8%</w:t>
            </w:r>
          </w:p>
        </w:tc>
      </w:tr>
      <w:tr w:rsidTr="0019742E">
        <w:tblPrEx>
          <w:tblW w:w="100" w:type="auto"/>
          <w:tblLook w:val="04A0"/>
        </w:tblPrEx>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PRU/AP</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1</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61.9%</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20.4%</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5.2%</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25.8%</w:t>
            </w:r>
          </w:p>
        </w:tc>
      </w:tr>
    </w:tbl>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 xml:space="preserve">Main finding: Approximately three-quarters of authorised absences were due to illness. </w:t>
      </w:r>
    </w:p>
    <w:p w:rsidR="000E7F0D" w:rsidRPr="001B4CDE" w:rsidP="000E43E6">
      <w:pPr>
        <w:pStyle w:val="Heading1"/>
        <w:jc w:val="both"/>
        <w:rPr>
          <w:rFonts w:ascii="Calibri" w:eastAsia="Times New Roman" w:hAnsi="Calibri" w:cs="Calibri"/>
          <w:color w:val="auto"/>
          <w:sz w:val="22"/>
          <w:szCs w:val="22"/>
          <w:u w:val="single"/>
        </w:rPr>
      </w:pPr>
      <w:r w:rsidRPr="001B4CDE">
        <w:rPr>
          <w:rFonts w:ascii="Calibri" w:eastAsia="Times New Roman" w:hAnsi="Calibri" w:cs="Calibri"/>
          <w:color w:val="auto"/>
          <w:sz w:val="22"/>
          <w:szCs w:val="22"/>
          <w:u w:val="single"/>
        </w:rPr>
        <w:t>School-Level Illness Absence</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I</w:t>
      </w:r>
      <w:r w:rsidRPr="001B4CDE">
        <w:rPr>
          <w:rFonts w:ascii="Calibri" w:eastAsia="Times New Roman" w:hAnsi="Calibri" w:cs="Calibri"/>
          <w:sz w:val="22"/>
          <w:szCs w:val="22"/>
        </w:rPr>
        <w:t xml:space="preserve">llness-related absence rates varied across schools in Redcar and Cleveland, ranging from 1.7% to 4.2%. While a small number of schools reported relatively high rates of illness absence, most schools clustered within a narrower range of between 2.5% and 3.5%. This suggests moderate variation between schools but no extreme outliers. Overall, illness absence rates were relatively similar across </w:t>
      </w:r>
      <w:r w:rsidRPr="001B4CDE">
        <w:rPr>
          <w:rFonts w:ascii="Calibri" w:eastAsia="Times New Roman" w:hAnsi="Calibri" w:cs="Calibri"/>
          <w:sz w:val="22"/>
          <w:szCs w:val="22"/>
        </w:rPr>
        <w:t>the majority of</w:t>
      </w:r>
      <w:r w:rsidRPr="001B4CDE">
        <w:rPr>
          <w:rFonts w:ascii="Calibri" w:eastAsia="Times New Roman" w:hAnsi="Calibri" w:cs="Calibri"/>
          <w:sz w:val="22"/>
          <w:szCs w:val="22"/>
        </w:rPr>
        <w:t xml:space="preserve"> schools, indicating that no </w:t>
      </w:r>
      <w:r w:rsidRPr="001B4CDE">
        <w:rPr>
          <w:rFonts w:ascii="Calibri" w:eastAsia="Times New Roman" w:hAnsi="Calibri" w:cs="Calibri"/>
          <w:sz w:val="22"/>
          <w:szCs w:val="22"/>
        </w:rPr>
        <w:t>particular group</w:t>
      </w:r>
      <w:r w:rsidRPr="001B4CDE">
        <w:rPr>
          <w:rFonts w:ascii="Calibri" w:eastAsia="Times New Roman" w:hAnsi="Calibri" w:cs="Calibri"/>
          <w:sz w:val="22"/>
          <w:szCs w:val="22"/>
        </w:rPr>
        <w:t xml:space="preserve"> of schools was disproportionately affected.</w:t>
      </w:r>
    </w:p>
    <w:p w:rsidR="000E7F0D" w:rsidRPr="001B4CDE" w:rsidP="000E43E6">
      <w:pPr>
        <w:pStyle w:val="Heading1"/>
        <w:jc w:val="both"/>
        <w:rPr>
          <w:rFonts w:ascii="Calibri" w:eastAsia="Times New Roman" w:hAnsi="Calibri" w:cs="Calibri"/>
          <w:color w:val="auto"/>
          <w:sz w:val="22"/>
          <w:szCs w:val="22"/>
          <w:u w:val="single"/>
        </w:rPr>
      </w:pPr>
      <w:r w:rsidRPr="001B4CDE">
        <w:rPr>
          <w:rFonts w:ascii="Calibri" w:eastAsia="Times New Roman" w:hAnsi="Calibri" w:cs="Calibri"/>
          <w:color w:val="auto"/>
          <w:sz w:val="22"/>
          <w:szCs w:val="22"/>
          <w:u w:val="single"/>
        </w:rPr>
        <w:t>Individual-Level Analysis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Regression analysis explained only 4.5% of the variation in authorised absences.</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Table 3: Regression Model Predicting Authorised Absence</w:t>
      </w:r>
    </w:p>
    <w:tbl>
      <w:tblPr>
        <w:tblStyle w:val="TableGrid"/>
        <w:tblW w:w="8536" w:type="dxa"/>
        <w:tblLook w:val="04A0"/>
      </w:tblPr>
      <w:tblGrid>
        <w:gridCol w:w="4533"/>
        <w:gridCol w:w="4003"/>
      </w:tblGrid>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Variable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Standardised Beta</w:t>
            </w:r>
          </w:p>
        </w:tc>
      </w:tr>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Year Group</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0.11</w:t>
            </w:r>
          </w:p>
        </w:tc>
      </w:tr>
      <w:tr w:rsidTr="0019742E">
        <w:tblPrEx>
          <w:tblW w:w="8536" w:type="dxa"/>
          <w:tblLook w:val="04A0"/>
        </w:tblPrEx>
        <w:trPr>
          <w:trHeight w:val="243"/>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FSM Eligible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0.06</w:t>
            </w:r>
          </w:p>
        </w:tc>
      </w:tr>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SEND Eligible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0.10</w:t>
            </w:r>
          </w:p>
        </w:tc>
      </w:tr>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EHCP Eligible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0.09</w:t>
            </w:r>
          </w:p>
        </w:tc>
      </w:tr>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Child Protection Plan</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0.05</w:t>
            </w:r>
          </w:p>
        </w:tc>
      </w:tr>
      <w:tr w:rsidTr="0019742E">
        <w:tblPrEx>
          <w:tblW w:w="8536"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Ethnicity</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0.06</w:t>
            </w:r>
          </w:p>
        </w:tc>
      </w:tr>
    </w:tbl>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Key finding: All relationships were weak, indicating that traditional pupil characteristics explain very little of illness-related </w:t>
      </w:r>
      <w:r w:rsidRPr="001B4CDE">
        <w:rPr>
          <w:rFonts w:ascii="Calibri" w:eastAsia="Times New Roman" w:hAnsi="Calibri" w:cs="Calibri"/>
          <w:sz w:val="22"/>
          <w:szCs w:val="22"/>
        </w:rPr>
        <w:t>authorised absence</w:t>
      </w:r>
      <w:r w:rsidRPr="001B4CDE">
        <w:rPr>
          <w:rFonts w:ascii="Calibri" w:eastAsia="Times New Roman" w:hAnsi="Calibri" w:cs="Calibri"/>
          <w:sz w:val="22"/>
          <w:szCs w:val="22"/>
        </w:rPr>
        <w:t>.</w:t>
      </w:r>
    </w:p>
    <w:p w:rsidR="000E7F0D" w:rsidRPr="001B4CDE" w:rsidP="000E43E6">
      <w:pPr>
        <w:pStyle w:val="Heading1"/>
        <w:jc w:val="both"/>
        <w:rPr>
          <w:rFonts w:ascii="Calibri" w:eastAsia="Times New Roman" w:hAnsi="Calibri" w:cs="Calibri"/>
          <w:color w:val="auto"/>
          <w:sz w:val="22"/>
          <w:szCs w:val="22"/>
          <w:u w:val="single"/>
        </w:rPr>
      </w:pPr>
      <w:r w:rsidRPr="001B4CDE">
        <w:rPr>
          <w:rFonts w:ascii="Calibri" w:eastAsia="Times New Roman" w:hAnsi="Calibri" w:cs="Calibri"/>
          <w:color w:val="auto"/>
          <w:sz w:val="22"/>
          <w:szCs w:val="22"/>
          <w:u w:val="single"/>
        </w:rPr>
        <w:t>School-Level Analysis</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Table 4: Correlations Between School Characteristics and Illness Absence</w:t>
      </w:r>
    </w:p>
    <w:tbl>
      <w:tblPr>
        <w:tblStyle w:val="TableGrid"/>
        <w:tblW w:w="8422" w:type="dxa"/>
        <w:tblLook w:val="04A0"/>
      </w:tblPr>
      <w:tblGrid>
        <w:gridCol w:w="2486"/>
        <w:gridCol w:w="5936"/>
      </w:tblGrid>
      <w:tr w:rsidTr="0019742E">
        <w:tblPrEx>
          <w:tblW w:w="8422"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Variable</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Correlation with Illness Absence</w:t>
            </w:r>
          </w:p>
        </w:tc>
      </w:tr>
      <w:tr w:rsidTr="0019742E">
        <w:tblPrEx>
          <w:tblW w:w="8422"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FSM Rate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0.02</w:t>
            </w:r>
          </w:p>
        </w:tc>
      </w:tr>
      <w:tr w:rsidTr="0019742E">
        <w:tblPrEx>
          <w:tblW w:w="8422" w:type="dxa"/>
          <w:tblLook w:val="04A0"/>
        </w:tblPrEx>
        <w:trPr>
          <w:trHeight w:val="243"/>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SEND Rate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0.12</w:t>
            </w:r>
          </w:p>
        </w:tc>
      </w:tr>
      <w:tr w:rsidTr="0019742E">
        <w:tblPrEx>
          <w:tblW w:w="8422"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EHCP Rate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-0.12</w:t>
            </w:r>
          </w:p>
        </w:tc>
      </w:tr>
      <w:tr w:rsidTr="0019742E">
        <w:tblPrEx>
          <w:tblW w:w="8422" w:type="dxa"/>
          <w:tblLook w:val="04A0"/>
        </w:tblPrEx>
        <w:trPr>
          <w:trHeight w:val="252"/>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School Type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-0.17</w:t>
            </w:r>
          </w:p>
        </w:tc>
      </w:tr>
    </w:tbl>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 xml:space="preserve">Key finding: School demographic characteristics showed little or no relationship with illness absence rates. </w:t>
      </w:r>
    </w:p>
    <w:p w:rsidR="000E7F0D" w:rsidRPr="001B4CDE" w:rsidP="000E43E6">
      <w:pPr>
        <w:jc w:val="both"/>
        <w:rPr>
          <w:rFonts w:ascii="Calibri" w:eastAsia="Times New Roman" w:hAnsi="Calibri" w:cs="Calibri"/>
          <w:sz w:val="22"/>
          <w:szCs w:val="22"/>
        </w:rPr>
      </w:pPr>
    </w:p>
    <w:p w:rsidR="000E7F0D" w:rsidRPr="001B4CDE" w:rsidP="000E43E6">
      <w:pPr>
        <w:pStyle w:val="Heading2"/>
        <w:jc w:val="both"/>
        <w:rPr>
          <w:rFonts w:ascii="Calibri" w:eastAsia="Times New Roman" w:hAnsi="Calibri" w:cs="Calibri"/>
          <w:color w:val="auto"/>
          <w:sz w:val="22"/>
          <w:szCs w:val="22"/>
          <w:u w:val="single"/>
        </w:rPr>
      </w:pPr>
      <w:r w:rsidRPr="001B4CDE">
        <w:rPr>
          <w:rFonts w:ascii="Calibri" w:eastAsia="Times New Roman" w:hAnsi="Calibri" w:cs="Calibri"/>
          <w:color w:val="auto"/>
          <w:sz w:val="22"/>
          <w:szCs w:val="22"/>
          <w:u w:val="single"/>
        </w:rPr>
        <w:t>Electoral Ward-Level Analysis</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Table 5: Correlations Between Health Indicators and Authorised Absence</w:t>
      </w:r>
    </w:p>
    <w:tbl>
      <w:tblPr>
        <w:tblStyle w:val="TableGrid"/>
        <w:tblW w:w="8355" w:type="dxa"/>
        <w:tblLook w:val="04A0"/>
      </w:tblPr>
      <w:tblGrid>
        <w:gridCol w:w="6061"/>
        <w:gridCol w:w="2294"/>
      </w:tblGrid>
      <w:tr w:rsidTr="0019742E">
        <w:tblPrEx>
          <w:tblW w:w="8355" w:type="dxa"/>
          <w:tblLook w:val="04A0"/>
        </w:tblPrEx>
        <w:trPr>
          <w:trHeight w:val="275"/>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Health Indicator</w:t>
            </w:r>
          </w:p>
        </w:tc>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Correlation</w:t>
            </w:r>
          </w:p>
        </w:tc>
      </w:tr>
      <w:tr w:rsidTr="0019742E">
        <w:tblPrEx>
          <w:tblW w:w="8355" w:type="dxa"/>
          <w:tblLook w:val="04A0"/>
        </w:tblPrEx>
        <w:trPr>
          <w:trHeight w:val="275"/>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Smoking prevalence (age 15)</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0.36</w:t>
            </w:r>
          </w:p>
        </w:tc>
      </w:tr>
      <w:tr w:rsidTr="0019742E">
        <w:tblPrEx>
          <w:tblW w:w="8355" w:type="dxa"/>
          <w:tblLook w:val="04A0"/>
        </w:tblPrEx>
        <w:trPr>
          <w:trHeight w:val="265"/>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Year 6 obesity prevalence</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0.17</w:t>
            </w:r>
          </w:p>
        </w:tc>
      </w:tr>
      <w:tr w:rsidTr="0019742E">
        <w:tblPrEx>
          <w:tblW w:w="8355" w:type="dxa"/>
          <w:tblLook w:val="04A0"/>
        </w:tblPrEx>
        <w:trPr>
          <w:trHeight w:val="275"/>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Emergency admissions (15-24)</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-0.27</w:t>
            </w:r>
          </w:p>
        </w:tc>
      </w:tr>
      <w:tr w:rsidTr="0019742E">
        <w:tblPrEx>
          <w:tblW w:w="8355" w:type="dxa"/>
          <w:tblLook w:val="04A0"/>
        </w:tblPrEx>
        <w:trPr>
          <w:trHeight w:val="275"/>
        </w:trPr>
        <w:tc>
          <w:tcPr>
            <w:tcW w:w="0" w:type="auto"/>
          </w:tcPr>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Emergency admissions (under 15)</w:t>
            </w:r>
          </w:p>
        </w:tc>
        <w:tc>
          <w:tcPr>
            <w:tcW w:w="0" w:type="auto"/>
          </w:tcPr>
          <w:p w:rsidR="000E7F0D" w:rsidRPr="001B4CDE" w:rsidP="000E43E6">
            <w:pPr>
              <w:jc w:val="right"/>
              <w:rPr>
                <w:rFonts w:ascii="Calibri" w:eastAsia="Times New Roman" w:hAnsi="Calibri" w:cs="Calibri"/>
                <w:sz w:val="22"/>
                <w:szCs w:val="22"/>
              </w:rPr>
            </w:pPr>
            <w:r w:rsidRPr="001B4CDE">
              <w:rPr>
                <w:rFonts w:ascii="Calibri" w:eastAsia="Times New Roman" w:hAnsi="Calibri" w:cs="Calibri"/>
                <w:sz w:val="22"/>
                <w:szCs w:val="22"/>
              </w:rPr>
              <w:t>-0.07</w:t>
            </w:r>
          </w:p>
        </w:tc>
      </w:tr>
    </w:tbl>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 xml:space="preserve">Key </w:t>
      </w:r>
      <w:r w:rsidRPr="001B4CDE">
        <w:rPr>
          <w:rFonts w:ascii="Calibri" w:eastAsia="Times New Roman" w:hAnsi="Calibri" w:cs="Calibri"/>
          <w:sz w:val="22"/>
          <w:szCs w:val="22"/>
        </w:rPr>
        <w:t>finding</w:t>
      </w:r>
      <w:r w:rsidRPr="001B4CDE">
        <w:rPr>
          <w:rFonts w:ascii="Calibri" w:eastAsia="Times New Roman" w:hAnsi="Calibri" w:cs="Calibri"/>
          <w:sz w:val="22"/>
          <w:szCs w:val="22"/>
        </w:rPr>
        <w:t>: Community health indicators showed</w:t>
      </w:r>
      <w:r w:rsidRPr="001B4CDE">
        <w:rPr>
          <w:rFonts w:ascii="Calibri" w:eastAsia="Times New Roman" w:hAnsi="Calibri" w:cs="Calibri"/>
          <w:sz w:val="22"/>
          <w:szCs w:val="22"/>
        </w:rPr>
        <w:t xml:space="preserve"> notable</w:t>
      </w:r>
      <w:r w:rsidRPr="001B4CDE">
        <w:rPr>
          <w:rFonts w:ascii="Calibri" w:eastAsia="Times New Roman" w:hAnsi="Calibri" w:cs="Calibri"/>
          <w:sz w:val="22"/>
          <w:szCs w:val="22"/>
        </w:rPr>
        <w:t xml:space="preserve"> associations with absence rates. </w:t>
      </w:r>
    </w:p>
    <w:p w:rsidR="000E7F0D" w:rsidRPr="001B4CDE" w:rsidP="000E43E6">
      <w:pPr>
        <w:pStyle w:val="Heading1"/>
        <w:jc w:val="both"/>
        <w:rPr>
          <w:rFonts w:ascii="Calibri" w:eastAsia="Times New Roman" w:hAnsi="Calibri" w:cs="Calibri"/>
          <w:b/>
          <w:bCs/>
          <w:color w:val="auto"/>
          <w:sz w:val="22"/>
          <w:szCs w:val="22"/>
        </w:rPr>
      </w:pPr>
      <w:r w:rsidRPr="001B4CDE">
        <w:rPr>
          <w:rFonts w:ascii="Calibri" w:eastAsia="Times New Roman" w:hAnsi="Calibri" w:cs="Calibri"/>
          <w:b/>
          <w:bCs/>
          <w:color w:val="auto"/>
          <w:sz w:val="22"/>
          <w:szCs w:val="22"/>
        </w:rPr>
        <w:t>Contextual Factors Identified Through Interviews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Several themes emerged:</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 xml:space="preserve">1. </w:t>
      </w:r>
      <w:r w:rsidRPr="001B4CDE">
        <w:rPr>
          <w:rFonts w:ascii="Calibri" w:eastAsia="Times New Roman" w:hAnsi="Calibri" w:cs="Calibri"/>
          <w:color w:val="auto"/>
          <w:sz w:val="22"/>
          <w:szCs w:val="22"/>
        </w:rPr>
        <w:t>A</w:t>
      </w:r>
      <w:r w:rsidRPr="001B4CDE">
        <w:rPr>
          <w:rFonts w:ascii="Calibri" w:eastAsia="Times New Roman" w:hAnsi="Calibri" w:cs="Calibri"/>
          <w:color w:val="auto"/>
          <w:sz w:val="22"/>
          <w:szCs w:val="22"/>
        </w:rPr>
        <w:t>ttitudes to illness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Parents are more likely to keep children at home for relatively minor illnesses such as colds, coughs, or hay fever. </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2. Increased flexible working</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Remote and hybrid working have made it easier for parents to supervise children at home, reducing barriers to absence.</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3. Mental health concerns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Schools reported:</w:t>
      </w:r>
    </w:p>
    <w:p w:rsidR="000E7F0D" w:rsidRPr="001B4CDE" w:rsidP="000E43E6">
      <w:pPr>
        <w:pStyle w:val="ListParagraph"/>
        <w:numPr>
          <w:ilvl w:val="0"/>
          <w:numId w:val="9"/>
        </w:numPr>
        <w:jc w:val="both"/>
        <w:rPr>
          <w:rFonts w:ascii="Calibri" w:eastAsia="Times New Roman" w:hAnsi="Calibri" w:cs="Calibri"/>
          <w:sz w:val="22"/>
          <w:szCs w:val="22"/>
        </w:rPr>
      </w:pPr>
      <w:r w:rsidRPr="001B4CDE">
        <w:rPr>
          <w:rFonts w:ascii="Calibri" w:eastAsia="Times New Roman" w:hAnsi="Calibri" w:cs="Calibri"/>
          <w:sz w:val="22"/>
          <w:szCs w:val="22"/>
        </w:rPr>
        <w:t>Increased anxiety</w:t>
      </w:r>
    </w:p>
    <w:p w:rsidR="000E7F0D" w:rsidRPr="001B4CDE" w:rsidP="000E43E6">
      <w:pPr>
        <w:pStyle w:val="ListParagraph"/>
        <w:numPr>
          <w:ilvl w:val="0"/>
          <w:numId w:val="9"/>
        </w:numPr>
        <w:jc w:val="both"/>
        <w:rPr>
          <w:rFonts w:ascii="Calibri" w:eastAsia="Times New Roman" w:hAnsi="Calibri" w:cs="Calibri"/>
          <w:sz w:val="22"/>
          <w:szCs w:val="22"/>
        </w:rPr>
      </w:pPr>
      <w:r w:rsidRPr="001B4CDE">
        <w:rPr>
          <w:rFonts w:ascii="Calibri" w:eastAsia="Times New Roman" w:hAnsi="Calibri" w:cs="Calibri"/>
          <w:sz w:val="22"/>
          <w:szCs w:val="22"/>
        </w:rPr>
        <w:t>Emotional difficulties</w:t>
      </w:r>
    </w:p>
    <w:p w:rsidR="000E7F0D" w:rsidRPr="001B4CDE" w:rsidP="000E43E6">
      <w:pPr>
        <w:pStyle w:val="ListParagraph"/>
        <w:numPr>
          <w:ilvl w:val="0"/>
          <w:numId w:val="9"/>
        </w:numPr>
        <w:jc w:val="both"/>
        <w:rPr>
          <w:rFonts w:ascii="Calibri" w:eastAsia="Times New Roman" w:hAnsi="Calibri" w:cs="Calibri"/>
          <w:sz w:val="22"/>
          <w:szCs w:val="22"/>
        </w:rPr>
      </w:pPr>
      <w:r w:rsidRPr="001B4CDE">
        <w:rPr>
          <w:rFonts w:ascii="Calibri" w:eastAsia="Times New Roman" w:hAnsi="Calibri" w:cs="Calibri"/>
          <w:sz w:val="22"/>
          <w:szCs w:val="22"/>
        </w:rPr>
        <w:t>Behavioural problems</w:t>
      </w:r>
    </w:p>
    <w:p w:rsidR="000E7F0D" w:rsidRPr="001B4CDE" w:rsidP="000E43E6">
      <w:pPr>
        <w:pStyle w:val="ListParagraph"/>
        <w:numPr>
          <w:ilvl w:val="0"/>
          <w:numId w:val="9"/>
        </w:numPr>
        <w:jc w:val="both"/>
        <w:rPr>
          <w:rFonts w:ascii="Calibri" w:eastAsia="Times New Roman" w:hAnsi="Calibri" w:cs="Calibri"/>
          <w:sz w:val="22"/>
          <w:szCs w:val="22"/>
        </w:rPr>
      </w:pPr>
      <w:r w:rsidRPr="001B4CDE">
        <w:rPr>
          <w:rFonts w:ascii="Calibri" w:eastAsia="Times New Roman" w:hAnsi="Calibri" w:cs="Calibri"/>
          <w:sz w:val="22"/>
          <w:szCs w:val="22"/>
        </w:rPr>
        <w:t>School avoidance</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These issues frequently affect attendance. </w:t>
      </w:r>
      <w:r w:rsidRPr="001B4CDE">
        <w:rPr>
          <w:rFonts w:ascii="Calibri" w:eastAsia="Times New Roman" w:hAnsi="Calibri" w:cs="Calibri"/>
          <w:sz w:val="22"/>
          <w:szCs w:val="22"/>
        </w:rPr>
        <w:t xml:space="preserve">Mental health of staff at school is also impacted by these concerns. </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4. SEND pressures</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Some schools reported increasing demand for specialist support to address complex behavioural and mental health needs.</w:t>
      </w:r>
    </w:p>
    <w:p w:rsidR="000E7F0D" w:rsidRPr="001B4CDE" w:rsidP="000E43E6">
      <w:pPr>
        <w:pStyle w:val="Heading3"/>
        <w:jc w:val="both"/>
        <w:rPr>
          <w:rFonts w:ascii="Calibri" w:eastAsia="Times New Roman" w:hAnsi="Calibri" w:cs="Calibri"/>
          <w:color w:val="auto"/>
          <w:sz w:val="22"/>
          <w:szCs w:val="22"/>
        </w:rPr>
      </w:pPr>
      <w:r w:rsidRPr="001B4CDE">
        <w:rPr>
          <w:rFonts w:ascii="Calibri" w:eastAsia="Times New Roman" w:hAnsi="Calibri" w:cs="Calibri"/>
          <w:color w:val="auto"/>
          <w:sz w:val="22"/>
          <w:szCs w:val="22"/>
        </w:rPr>
        <w:t>5. Local authority support</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Schools valued:</w:t>
      </w:r>
    </w:p>
    <w:p w:rsidR="000E7F0D" w:rsidRPr="001B4CDE" w:rsidP="000E43E6">
      <w:pPr>
        <w:pStyle w:val="ListParagraph"/>
        <w:numPr>
          <w:ilvl w:val="0"/>
          <w:numId w:val="4"/>
        </w:numPr>
        <w:jc w:val="both"/>
        <w:rPr>
          <w:rFonts w:ascii="Calibri" w:eastAsia="Times New Roman" w:hAnsi="Calibri" w:cs="Calibri"/>
          <w:sz w:val="22"/>
          <w:szCs w:val="22"/>
        </w:rPr>
      </w:pPr>
      <w:r w:rsidRPr="001B4CDE">
        <w:rPr>
          <w:rFonts w:ascii="Calibri" w:eastAsia="Times New Roman" w:hAnsi="Calibri" w:cs="Calibri"/>
          <w:sz w:val="22"/>
          <w:szCs w:val="22"/>
        </w:rPr>
        <w:t>Family support programmes</w:t>
      </w:r>
    </w:p>
    <w:p w:rsidR="000E7F0D" w:rsidRPr="001B4CDE" w:rsidP="000E43E6">
      <w:pPr>
        <w:pStyle w:val="ListParagraph"/>
        <w:numPr>
          <w:ilvl w:val="0"/>
          <w:numId w:val="4"/>
        </w:numPr>
        <w:jc w:val="both"/>
        <w:rPr>
          <w:rFonts w:ascii="Calibri" w:eastAsia="Times New Roman" w:hAnsi="Calibri" w:cs="Calibri"/>
          <w:sz w:val="22"/>
          <w:szCs w:val="22"/>
        </w:rPr>
      </w:pPr>
      <w:r w:rsidRPr="001B4CDE">
        <w:rPr>
          <w:rFonts w:ascii="Calibri" w:eastAsia="Times New Roman" w:hAnsi="Calibri" w:cs="Calibri"/>
          <w:sz w:val="22"/>
          <w:szCs w:val="22"/>
        </w:rPr>
        <w:t>Attendance interventions</w:t>
      </w:r>
    </w:p>
    <w:p w:rsidR="000E7F0D" w:rsidRPr="001B4CDE" w:rsidP="000E43E6">
      <w:pPr>
        <w:pStyle w:val="ListParagraph"/>
        <w:numPr>
          <w:ilvl w:val="0"/>
          <w:numId w:val="4"/>
        </w:numPr>
        <w:jc w:val="both"/>
        <w:rPr>
          <w:rFonts w:ascii="Calibri" w:eastAsia="Times New Roman" w:hAnsi="Calibri" w:cs="Calibri"/>
          <w:sz w:val="22"/>
          <w:szCs w:val="22"/>
        </w:rPr>
      </w:pPr>
      <w:r w:rsidRPr="001B4CDE">
        <w:rPr>
          <w:rFonts w:ascii="Calibri" w:eastAsia="Times New Roman" w:hAnsi="Calibri" w:cs="Calibri"/>
          <w:sz w:val="22"/>
          <w:szCs w:val="22"/>
        </w:rPr>
        <w:t>Transport assistance</w:t>
      </w:r>
    </w:p>
    <w:p w:rsidR="000E7F0D" w:rsidRPr="001B4CDE" w:rsidP="000E43E6">
      <w:pPr>
        <w:pStyle w:val="ListParagraph"/>
        <w:numPr>
          <w:ilvl w:val="0"/>
          <w:numId w:val="4"/>
        </w:numPr>
        <w:jc w:val="both"/>
        <w:rPr>
          <w:rFonts w:ascii="Calibri" w:eastAsia="Times New Roman" w:hAnsi="Calibri" w:cs="Calibri"/>
          <w:sz w:val="22"/>
          <w:szCs w:val="22"/>
        </w:rPr>
      </w:pPr>
      <w:r w:rsidRPr="001B4CDE">
        <w:rPr>
          <w:rFonts w:ascii="Calibri" w:eastAsia="Times New Roman" w:hAnsi="Calibri" w:cs="Calibri"/>
          <w:sz w:val="22"/>
          <w:szCs w:val="22"/>
        </w:rPr>
        <w:t>Attendance monitoring</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However, effectiveness </w:t>
      </w:r>
      <w:r w:rsidRPr="001B4CDE">
        <w:rPr>
          <w:rFonts w:ascii="Calibri" w:eastAsia="Times New Roman" w:hAnsi="Calibri" w:cs="Calibri"/>
          <w:sz w:val="22"/>
          <w:szCs w:val="22"/>
        </w:rPr>
        <w:t>varied</w:t>
      </w:r>
      <w:r w:rsidRPr="001B4CDE">
        <w:rPr>
          <w:rFonts w:ascii="Calibri" w:eastAsia="Times New Roman" w:hAnsi="Calibri" w:cs="Calibri"/>
          <w:sz w:val="22"/>
          <w:szCs w:val="22"/>
        </w:rPr>
        <w:t xml:space="preserve"> depending on family circumstances. </w:t>
      </w:r>
    </w:p>
    <w:p w:rsidR="000E7F0D" w:rsidRPr="001B4CDE" w:rsidP="000E43E6">
      <w:pPr>
        <w:jc w:val="both"/>
        <w:rPr>
          <w:rFonts w:ascii="Calibri" w:eastAsia="Times New Roman" w:hAnsi="Calibri" w:cs="Calibri"/>
          <w:b/>
          <w:bCs/>
          <w:sz w:val="22"/>
          <w:szCs w:val="22"/>
        </w:rPr>
      </w:pPr>
      <w:r w:rsidRPr="001B4CDE">
        <w:rPr>
          <w:rFonts w:ascii="Calibri" w:eastAsia="Times New Roman" w:hAnsi="Calibri" w:cs="Calibri"/>
          <w:b/>
          <w:bCs/>
          <w:sz w:val="22"/>
          <w:szCs w:val="22"/>
        </w:rPr>
        <w:t xml:space="preserve">Implications for Mission Coastal and Mission </w:t>
      </w:r>
      <w:r w:rsidRPr="001B4CDE">
        <w:rPr>
          <w:rFonts w:ascii="Calibri" w:eastAsia="Times New Roman" w:hAnsi="Calibri" w:cs="Calibri"/>
          <w:b/>
          <w:bCs/>
          <w:sz w:val="22"/>
          <w:szCs w:val="22"/>
        </w:rPr>
        <w:t>North East</w:t>
      </w:r>
    </w:p>
    <w:p w:rsidR="000E7F0D" w:rsidRPr="001B4CDE" w:rsidP="000E43E6">
      <w:pPr>
        <w:jc w:val="both"/>
        <w:rPr>
          <w:rFonts w:ascii="Calibri" w:eastAsia="Times New Roman" w:hAnsi="Calibri" w:cs="Calibri"/>
          <w:sz w:val="22"/>
          <w:szCs w:val="22"/>
        </w:rPr>
      </w:pPr>
      <w:r w:rsidRPr="001B4CDE">
        <w:rPr>
          <w:rFonts w:ascii="Calibri" w:eastAsia="Times New Roman" w:hAnsi="Calibri" w:cs="Calibri"/>
          <w:sz w:val="22"/>
          <w:szCs w:val="22"/>
        </w:rPr>
        <w:t xml:space="preserve">The study concludes that illness-related absence is a complex issue that cannot be adequately explained by deprivation, SEND status, school characteristics, or local health indicators alone. </w:t>
      </w:r>
    </w:p>
    <w:p w:rsidR="000E7F0D" w:rsidRPr="001B4CDE" w:rsidP="000E43E6">
      <w:pPr>
        <w:spacing w:after="0"/>
        <w:jc w:val="both"/>
        <w:rPr>
          <w:rFonts w:ascii="Calibri" w:eastAsia="Times New Roman" w:hAnsi="Calibri" w:cs="Calibri"/>
          <w:sz w:val="22"/>
          <w:szCs w:val="22"/>
        </w:rPr>
      </w:pPr>
      <w:r w:rsidRPr="001B4CDE">
        <w:rPr>
          <w:rFonts w:ascii="Calibri" w:eastAsia="Times New Roman" w:hAnsi="Calibri" w:cs="Calibri"/>
          <w:sz w:val="22"/>
          <w:szCs w:val="22"/>
        </w:rPr>
        <w:t>The evidence suggests that post-pandemic behavioural</w:t>
      </w:r>
      <w:r w:rsidRPr="001B4CDE">
        <w:rPr>
          <w:rFonts w:ascii="Calibri" w:eastAsia="Times New Roman" w:hAnsi="Calibri" w:cs="Calibri"/>
          <w:sz w:val="22"/>
          <w:szCs w:val="22"/>
        </w:rPr>
        <w:t xml:space="preserve"> and cultural changes, parental decision-making, mental health challenges, and family circumstances are likely to be important drivers of absence. </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 xml:space="preserve">Improving absence recording systems, particularly through the collection of more detailed information on the nature and severity of illness, enabling schools and policymakers to better understand the drivers of absence and design targeted interventions. </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 xml:space="preserve">Strengthening engagement with parents and carers through clearer guidance and communication about when children should attend school, helping to address post-pandemic changes in attitudes towards minor illness and school attendance. </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Providing targeted support for vulnerable families through schools and local authorities, including attendance support, family outreach, and practical assistance where barriers to attendance exist</w:t>
      </w:r>
      <w:r w:rsidRPr="001B4CDE">
        <w:rPr>
          <w:rFonts w:ascii="Calibri" w:eastAsia="Times New Roman" w:hAnsi="Calibri" w:cs="Calibri"/>
          <w:sz w:val="22"/>
          <w:szCs w:val="22"/>
        </w:rPr>
        <w:t xml:space="preserve"> (Gorard et al., 202</w:t>
      </w:r>
      <w:r w:rsidRPr="001B4CDE">
        <w:rPr>
          <w:rFonts w:ascii="Calibri" w:eastAsia="Times New Roman" w:hAnsi="Calibri" w:cs="Calibri"/>
          <w:sz w:val="22"/>
          <w:szCs w:val="22"/>
        </w:rPr>
        <w:t>2</w:t>
      </w:r>
      <w:r w:rsidRPr="001B4CDE">
        <w:rPr>
          <w:rFonts w:ascii="Calibri" w:eastAsia="Times New Roman" w:hAnsi="Calibri" w:cs="Calibri"/>
          <w:sz w:val="22"/>
          <w:szCs w:val="22"/>
        </w:rPr>
        <w:t>)</w:t>
      </w:r>
      <w:r w:rsidRPr="001B4CDE">
        <w:rPr>
          <w:rFonts w:ascii="Calibri" w:eastAsia="Times New Roman" w:hAnsi="Calibri" w:cs="Calibri"/>
          <w:sz w:val="22"/>
          <w:szCs w:val="22"/>
        </w:rPr>
        <w:t xml:space="preserve">. </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Developing evidence-based attendance interventions that address the underlying causes of absence, rather than relying primarily on punitive approaches such as fines and enforcement measures.</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 xml:space="preserve">Continuing partnership working between schools, local authorities, public health services, and other agencies to address the complex educational, health, and social factors associated with absence. </w:t>
      </w:r>
    </w:p>
    <w:p w:rsidR="000E7F0D" w:rsidRPr="001B4CDE" w:rsidP="000E43E6">
      <w:pPr>
        <w:pStyle w:val="ListParagraph"/>
        <w:numPr>
          <w:ilvl w:val="0"/>
          <w:numId w:val="7"/>
        </w:numPr>
        <w:spacing w:before="210" w:after="210" w:line="300" w:lineRule="auto"/>
        <w:jc w:val="both"/>
        <w:rPr>
          <w:rFonts w:ascii="Calibri" w:eastAsia="Times New Roman" w:hAnsi="Calibri" w:cs="Calibri"/>
          <w:sz w:val="22"/>
          <w:szCs w:val="22"/>
        </w:rPr>
      </w:pPr>
      <w:r w:rsidRPr="001B4CDE">
        <w:rPr>
          <w:rFonts w:ascii="Calibri" w:eastAsia="Times New Roman" w:hAnsi="Calibri" w:cs="Calibri"/>
          <w:sz w:val="22"/>
          <w:szCs w:val="22"/>
        </w:rPr>
        <w:t>Maintaining and strengthening targeted funding for disadvantaged pupils, recognising</w:t>
      </w:r>
      <w:r w:rsidRPr="001B4CDE">
        <w:rPr>
          <w:rFonts w:ascii="Calibri" w:eastAsia="Times New Roman" w:hAnsi="Calibri" w:cs="Calibri"/>
          <w:sz w:val="22"/>
          <w:szCs w:val="22"/>
        </w:rPr>
        <w:t xml:space="preserve"> that schools are facing increasing levels of need in the post-pandemic period. Funding streams such as the Pupil Premium remain an essential mechanism for supporting disadvantaged pupils' learning, wellbeing, attendance, and engagement with education</w:t>
      </w:r>
      <w:r w:rsidRPr="001B4CDE">
        <w:rPr>
          <w:rFonts w:ascii="Calibri" w:eastAsia="Times New Roman" w:hAnsi="Calibri" w:cs="Calibri"/>
          <w:sz w:val="22"/>
          <w:szCs w:val="22"/>
        </w:rPr>
        <w:t xml:space="preserve"> (Gorard &amp; Siddiqui 2026)</w:t>
      </w:r>
      <w:r w:rsidRPr="001B4CDE">
        <w:rPr>
          <w:rFonts w:ascii="Calibri" w:eastAsia="Times New Roman" w:hAnsi="Calibri" w:cs="Calibri"/>
          <w:sz w:val="22"/>
          <w:szCs w:val="22"/>
        </w:rPr>
        <w:t xml:space="preserve">. Schools serving disadvantaged communities require sustained resources to provide the academic, pastoral, and family support needed to reduce educational inequalities and improve outcomes. </w:t>
      </w:r>
    </w:p>
    <w:p w:rsidR="000E7F0D" w:rsidRPr="001B4CDE" w:rsidP="000E43E6">
      <w:pPr>
        <w:spacing w:before="210" w:after="210" w:line="300" w:lineRule="auto"/>
        <w:jc w:val="both"/>
        <w:rPr>
          <w:rFonts w:ascii="Calibri" w:eastAsia="Times New Roman" w:hAnsi="Calibri" w:cs="Calibri"/>
          <w:sz w:val="22"/>
          <w:szCs w:val="22"/>
        </w:rPr>
      </w:pPr>
    </w:p>
    <w:p w:rsidR="000E7F0D" w:rsidRPr="001B4CDE" w:rsidP="000E43E6">
      <w:pPr>
        <w:spacing w:after="0" w:line="240" w:lineRule="auto"/>
        <w:jc w:val="both"/>
        <w:rPr>
          <w:rFonts w:ascii="Calibri" w:eastAsia="Aptos" w:hAnsi="Calibri" w:cs="Calibri"/>
          <w:b/>
          <w:bCs/>
          <w:kern w:val="2"/>
          <w:sz w:val="22"/>
          <w:szCs w:val="22"/>
          <w:lang w:val="en-GB" w:eastAsia="en-US"/>
        </w:rPr>
      </w:pPr>
      <w:r w:rsidRPr="001B4CDE">
        <w:rPr>
          <w:rFonts w:ascii="Calibri" w:eastAsia="Aptos" w:hAnsi="Calibri" w:cs="Calibri"/>
          <w:b/>
          <w:bCs/>
          <w:kern w:val="2"/>
          <w:sz w:val="22"/>
          <w:szCs w:val="22"/>
          <w:lang w:val="en-GB" w:eastAsia="en-US"/>
        </w:rPr>
        <w:t>References and further reading</w:t>
      </w:r>
    </w:p>
    <w:p w:rsidR="000E7F0D" w:rsidRPr="001B4CDE" w:rsidP="000E43E6">
      <w:pPr>
        <w:spacing w:after="0" w:line="240" w:lineRule="auto"/>
        <w:jc w:val="both"/>
        <w:rPr>
          <w:rFonts w:ascii="Calibri" w:eastAsia="Aptos" w:hAnsi="Calibri" w:cs="Calibri"/>
          <w:b/>
          <w:bCs/>
          <w:kern w:val="2"/>
          <w:sz w:val="22"/>
          <w:szCs w:val="22"/>
          <w:lang w:val="en-GB" w:eastAsia="en-US"/>
        </w:rPr>
      </w:pPr>
    </w:p>
    <w:p w:rsidR="000E7F0D" w:rsidRPr="001B4CDE" w:rsidP="008F75DE">
      <w:pPr>
        <w:spacing w:line="240" w:lineRule="auto"/>
        <w:jc w:val="both"/>
        <w:rPr>
          <w:rFonts w:ascii="Calibri" w:hAnsi="Calibri" w:cs="Calibri"/>
          <w:sz w:val="22"/>
          <w:szCs w:val="22"/>
        </w:rPr>
      </w:pPr>
      <w:r w:rsidRPr="001B4CDE">
        <w:rPr>
          <w:rFonts w:ascii="Calibri" w:hAnsi="Calibri" w:cs="Calibri"/>
          <w:sz w:val="22"/>
          <w:szCs w:val="22"/>
        </w:rPr>
        <w:t xml:space="preserve">Castellanos, P., Smith, S., Mills, A., Kayser, S., &amp; Lewis, J. (2026). </w:t>
      </w:r>
      <w:r w:rsidRPr="001B4CDE">
        <w:rPr>
          <w:rFonts w:ascii="Calibri" w:hAnsi="Calibri" w:cs="Calibri"/>
          <w:i/>
          <w:iCs/>
          <w:sz w:val="22"/>
          <w:szCs w:val="22"/>
        </w:rPr>
        <w:t xml:space="preserve">Thrive at </w:t>
      </w:r>
      <w:r w:rsidRPr="001B4CDE">
        <w:rPr>
          <w:rFonts w:ascii="Calibri" w:hAnsi="Calibri" w:cs="Calibri"/>
          <w:i/>
          <w:iCs/>
          <w:sz w:val="22"/>
          <w:szCs w:val="22"/>
        </w:rPr>
        <w:t>Five Year</w:t>
      </w:r>
      <w:r w:rsidRPr="001B4CDE">
        <w:rPr>
          <w:rFonts w:ascii="Calibri" w:hAnsi="Calibri" w:cs="Calibri"/>
          <w:i/>
          <w:iCs/>
          <w:sz w:val="22"/>
          <w:szCs w:val="22"/>
        </w:rPr>
        <w:t xml:space="preserve"> 2 evaluation report: Stoke-on-Trent and Redcar &amp; Cleveland</w:t>
      </w:r>
      <w:r w:rsidRPr="001B4CDE">
        <w:rPr>
          <w:rFonts w:ascii="Calibri" w:hAnsi="Calibri" w:cs="Calibri"/>
          <w:sz w:val="22"/>
          <w:szCs w:val="22"/>
        </w:rPr>
        <w:t>. Centre for Evidence and Implementation. https://thriveatfive.org.uk/wp-content/uploads/2026/04/Thrive-at-Five-Year-2-Evaluation-Report-2026.pdf</w:t>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spacing w:after="0" w:line="240" w:lineRule="auto"/>
        <w:jc w:val="both"/>
        <w:rPr>
          <w:rFonts w:ascii="Calibri" w:eastAsia="Aptos" w:hAnsi="Calibri" w:cs="Calibri"/>
          <w:kern w:val="2"/>
          <w:sz w:val="22"/>
          <w:szCs w:val="22"/>
          <w:lang w:val="en-GB" w:eastAsia="en-US"/>
        </w:rPr>
      </w:pPr>
      <w:r w:rsidRPr="001B4CDE">
        <w:rPr>
          <w:rFonts w:ascii="Calibri" w:eastAsia="Aptos" w:hAnsi="Calibri" w:cs="Calibri"/>
          <w:kern w:val="2"/>
          <w:sz w:val="22"/>
          <w:szCs w:val="22"/>
          <w:lang w:val="en-GB" w:eastAsia="en-US"/>
        </w:rPr>
        <w:t>Gorard, S., See, B., &amp; Siddiqui, N. (2022). </w:t>
      </w:r>
      <w:r w:rsidRPr="001B4CDE">
        <w:rPr>
          <w:rFonts w:ascii="Calibri" w:eastAsia="Aptos" w:hAnsi="Calibri" w:cs="Calibri"/>
          <w:i/>
          <w:iCs/>
          <w:kern w:val="2"/>
          <w:sz w:val="22"/>
          <w:szCs w:val="22"/>
          <w:lang w:val="en-GB" w:eastAsia="en-US"/>
        </w:rPr>
        <w:t>Making schools better for disadvantaged students</w:t>
      </w:r>
      <w:r w:rsidRPr="001B4CDE">
        <w:rPr>
          <w:rFonts w:ascii="Calibri" w:eastAsia="Aptos" w:hAnsi="Calibri" w:cs="Calibri"/>
          <w:kern w:val="2"/>
          <w:sz w:val="22"/>
          <w:szCs w:val="22"/>
          <w:lang w:val="en-GB" w:eastAsia="en-US"/>
        </w:rPr>
        <w:t xml:space="preserve">. Routledge. </w:t>
      </w:r>
      <w:r>
        <w:fldChar w:fldCharType="begin"/>
      </w:r>
      <w:r>
        <w:instrText xml:space="preserve"> HYPERLINK "https://doi.org/10.4324/9781003287353" </w:instrText>
      </w:r>
      <w:r>
        <w:fldChar w:fldCharType="separate"/>
      </w:r>
      <w:r w:rsidRPr="001B4CDE">
        <w:rPr>
          <w:rFonts w:ascii="Calibri" w:eastAsia="Aptos" w:hAnsi="Calibri" w:cs="Calibri"/>
          <w:color w:val="464FEB"/>
          <w:kern w:val="2"/>
          <w:sz w:val="22"/>
          <w:szCs w:val="22"/>
          <w:lang w:val="en-GB" w:eastAsia="en-US"/>
        </w:rPr>
        <w:t>https://doi.org/10.4324/9781003287353</w:t>
      </w:r>
      <w:r>
        <w:fldChar w:fldCharType="end"/>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spacing w:after="0" w:line="240" w:lineRule="auto"/>
        <w:jc w:val="both"/>
        <w:rPr>
          <w:rFonts w:ascii="Calibri" w:eastAsia="Aptos" w:hAnsi="Calibri" w:cs="Calibri"/>
          <w:kern w:val="2"/>
          <w:sz w:val="22"/>
          <w:szCs w:val="22"/>
          <w:lang w:val="en-GB" w:eastAsia="en-US"/>
        </w:rPr>
      </w:pPr>
      <w:r w:rsidRPr="001B4CDE">
        <w:rPr>
          <w:rFonts w:ascii="Calibri" w:eastAsia="Aptos" w:hAnsi="Calibri" w:cs="Calibri"/>
          <w:kern w:val="2"/>
          <w:sz w:val="22"/>
          <w:szCs w:val="22"/>
          <w:lang w:val="en-GB" w:eastAsia="en-US"/>
        </w:rPr>
        <w:t xml:space="preserve">Gorard, S., &amp; </w:t>
      </w:r>
      <w:r w:rsidRPr="001B4CDE">
        <w:rPr>
          <w:rFonts w:ascii="Calibri" w:eastAsia="Aptos" w:hAnsi="Calibri" w:cs="Calibri"/>
          <w:kern w:val="2"/>
          <w:sz w:val="22"/>
          <w:szCs w:val="22"/>
          <w:lang w:val="en-GB" w:eastAsia="en-US"/>
        </w:rPr>
        <w:t>Siddiqui, N. (2026). Has Pupil Premium funding improved school outcomes for pupils from low-income households in England? </w:t>
      </w:r>
      <w:r w:rsidRPr="001B4CDE">
        <w:rPr>
          <w:rFonts w:ascii="Calibri" w:eastAsia="Aptos" w:hAnsi="Calibri" w:cs="Calibri"/>
          <w:i/>
          <w:iCs/>
          <w:kern w:val="2"/>
          <w:sz w:val="22"/>
          <w:szCs w:val="22"/>
          <w:lang w:val="en-GB" w:eastAsia="en-US"/>
        </w:rPr>
        <w:t>Educational Studies</w:t>
      </w:r>
      <w:r w:rsidRPr="001B4CDE">
        <w:rPr>
          <w:rFonts w:ascii="Calibri" w:eastAsia="Aptos" w:hAnsi="Calibri" w:cs="Calibri"/>
          <w:kern w:val="2"/>
          <w:sz w:val="22"/>
          <w:szCs w:val="22"/>
          <w:lang w:val="en-GB" w:eastAsia="en-US"/>
        </w:rPr>
        <w:t xml:space="preserve">. </w:t>
      </w:r>
      <w:r>
        <w:fldChar w:fldCharType="begin"/>
      </w:r>
      <w:r>
        <w:instrText xml:space="preserve"> HYPERLINK "https://durham-repository.worktribe.com/output/5720916" </w:instrText>
      </w:r>
      <w:r>
        <w:fldChar w:fldCharType="separate"/>
      </w:r>
      <w:r w:rsidRPr="001B4CDE">
        <w:rPr>
          <w:rFonts w:ascii="Calibri" w:eastAsia="Aptos" w:hAnsi="Calibri" w:cs="Calibri"/>
          <w:color w:val="464FEB"/>
          <w:kern w:val="2"/>
          <w:sz w:val="22"/>
          <w:szCs w:val="22"/>
          <w:lang w:val="en-GB" w:eastAsia="en-US"/>
        </w:rPr>
        <w:t>https://durham-repository.worktribe.com/output/5720916</w:t>
      </w:r>
      <w:r>
        <w:fldChar w:fldCharType="end"/>
      </w:r>
      <w:r w:rsidRPr="001B4CDE">
        <w:rPr>
          <w:rFonts w:ascii="Calibri" w:eastAsia="Aptos" w:hAnsi="Calibri" w:cs="Calibri"/>
          <w:kern w:val="2"/>
          <w:sz w:val="22"/>
          <w:szCs w:val="22"/>
          <w:lang w:val="en-GB" w:eastAsia="en-US"/>
        </w:rPr>
        <w:t xml:space="preserve"> </w:t>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spacing w:after="0" w:line="240" w:lineRule="auto"/>
        <w:jc w:val="both"/>
        <w:rPr>
          <w:rFonts w:ascii="Calibri" w:eastAsia="Aptos" w:hAnsi="Calibri" w:cs="Calibri"/>
          <w:kern w:val="2"/>
          <w:sz w:val="22"/>
          <w:szCs w:val="22"/>
          <w:lang w:val="en-GB" w:eastAsia="en-US"/>
        </w:rPr>
      </w:pPr>
      <w:r w:rsidRPr="001B4CDE">
        <w:rPr>
          <w:rFonts w:ascii="Calibri" w:eastAsia="Aptos" w:hAnsi="Calibri" w:cs="Calibri"/>
          <w:kern w:val="2"/>
          <w:sz w:val="22"/>
          <w:szCs w:val="22"/>
          <w:lang w:val="en-GB" w:eastAsia="en-US"/>
        </w:rPr>
        <w:t xml:space="preserve">Siddiqui N., Gorard, S., Huo, G. and Cao, G. (2026). </w:t>
      </w:r>
      <w:r>
        <w:fldChar w:fldCharType="begin"/>
      </w:r>
      <w:r>
        <w:instrText xml:space="preserve"> HYPERLINK "https://durham-repository.worktribe.com/output/5612148" </w:instrText>
      </w:r>
      <w:r>
        <w:fldChar w:fldCharType="separate"/>
      </w:r>
      <w:r w:rsidRPr="001B4CDE">
        <w:rPr>
          <w:rStyle w:val="Hyperlink"/>
          <w:rFonts w:ascii="Calibri" w:eastAsia="Aptos" w:hAnsi="Calibri" w:cs="Calibri"/>
          <w:kern w:val="2"/>
          <w:sz w:val="22"/>
          <w:szCs w:val="22"/>
          <w:lang w:val="en-GB" w:eastAsia="en-US"/>
        </w:rPr>
        <w:t>Investigating Illness Absences in Redcar and Cleveland</w:t>
      </w:r>
      <w:r>
        <w:fldChar w:fldCharType="end"/>
      </w:r>
      <w:r w:rsidRPr="001B4CDE">
        <w:rPr>
          <w:rFonts w:ascii="Calibri" w:eastAsia="Aptos" w:hAnsi="Calibri" w:cs="Calibri"/>
          <w:kern w:val="2"/>
          <w:sz w:val="22"/>
          <w:szCs w:val="22"/>
          <w:lang w:val="en-GB" w:eastAsia="en-US"/>
        </w:rPr>
        <w:t xml:space="preserve">. </w:t>
      </w:r>
      <w:r w:rsidRPr="001B4CDE">
        <w:rPr>
          <w:rFonts w:ascii="Calibri" w:eastAsia="Aptos" w:hAnsi="Calibri" w:cs="Calibri"/>
          <w:i/>
          <w:iCs/>
          <w:kern w:val="2"/>
          <w:sz w:val="22"/>
          <w:szCs w:val="22"/>
          <w:lang w:val="en-GB" w:eastAsia="en-US"/>
        </w:rPr>
        <w:t xml:space="preserve">Working paper. </w:t>
      </w:r>
      <w:r w:rsidRPr="001B4CDE">
        <w:rPr>
          <w:rFonts w:ascii="Calibri" w:eastAsia="Aptos" w:hAnsi="Calibri" w:cs="Calibri"/>
          <w:kern w:val="2"/>
          <w:sz w:val="22"/>
          <w:szCs w:val="22"/>
          <w:lang w:val="en-GB" w:eastAsia="en-US"/>
        </w:rPr>
        <w:t>Evidence Centre for Education, School of Education, Durham University.</w:t>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spacing w:after="0" w:line="240" w:lineRule="auto"/>
        <w:jc w:val="both"/>
        <w:rPr>
          <w:rFonts w:ascii="Calibri" w:eastAsia="Aptos" w:hAnsi="Calibri" w:cs="Calibri"/>
          <w:kern w:val="2"/>
          <w:sz w:val="22"/>
          <w:szCs w:val="22"/>
          <w:lang w:val="en-GB" w:eastAsia="en-US"/>
        </w:rPr>
      </w:pPr>
      <w:r w:rsidRPr="001B4CDE">
        <w:rPr>
          <w:rFonts w:ascii="Calibri" w:eastAsia="Aptos" w:hAnsi="Calibri" w:cs="Calibri"/>
          <w:kern w:val="2"/>
          <w:sz w:val="22"/>
          <w:szCs w:val="22"/>
          <w:lang w:val="en-GB" w:eastAsia="en-US"/>
        </w:rPr>
        <w:t>Siddiqui, N., &amp; Gorard, S. (2025). Fifteen years of Pupil Premium policy in England. In R. Morris &amp; T. Perry (Eds.), </w:t>
      </w:r>
      <w:r w:rsidRPr="001B4CDE">
        <w:rPr>
          <w:rFonts w:ascii="Calibri" w:eastAsia="Aptos" w:hAnsi="Calibri" w:cs="Calibri"/>
          <w:i/>
          <w:iCs/>
          <w:kern w:val="2"/>
          <w:sz w:val="22"/>
          <w:szCs w:val="22"/>
          <w:lang w:val="en-GB" w:eastAsia="en-US"/>
        </w:rPr>
        <w:t>Education Policy 2010-2024</w:t>
      </w:r>
      <w:r w:rsidRPr="001B4CDE">
        <w:rPr>
          <w:rFonts w:ascii="Calibri" w:eastAsia="Aptos" w:hAnsi="Calibri" w:cs="Calibri"/>
          <w:kern w:val="2"/>
          <w:sz w:val="22"/>
          <w:szCs w:val="22"/>
          <w:lang w:val="en-GB" w:eastAsia="en-US"/>
        </w:rPr>
        <w:t>. Routledge. https://doi.org/10.4324/9781003528661-17</w:t>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spacing w:after="0" w:line="240" w:lineRule="auto"/>
        <w:jc w:val="both"/>
        <w:rPr>
          <w:rFonts w:ascii="Calibri" w:eastAsia="Aptos" w:hAnsi="Calibri" w:cs="Calibri"/>
          <w:kern w:val="2"/>
          <w:sz w:val="22"/>
          <w:szCs w:val="22"/>
          <w:lang w:val="en-GB" w:eastAsia="en-US"/>
        </w:rPr>
      </w:pPr>
      <w:r w:rsidRPr="001B4CDE">
        <w:rPr>
          <w:rFonts w:ascii="Calibri" w:eastAsia="Aptos" w:hAnsi="Calibri" w:cs="Calibri"/>
          <w:kern w:val="2"/>
          <w:sz w:val="22"/>
          <w:szCs w:val="22"/>
          <w:lang w:val="en-GB" w:eastAsia="en-US"/>
        </w:rPr>
        <w:t xml:space="preserve">Siddiqui, N., &amp; Gorard, S. (2026). Segregation Between English Schools: What Has Changed (Or </w:t>
      </w:r>
      <w:r w:rsidRPr="001B4CDE">
        <w:rPr>
          <w:rFonts w:ascii="Calibri" w:eastAsia="Aptos" w:hAnsi="Calibri" w:cs="Calibri"/>
          <w:kern w:val="2"/>
          <w:sz w:val="22"/>
          <w:szCs w:val="22"/>
          <w:lang w:val="en-GB" w:eastAsia="en-US"/>
        </w:rPr>
        <w:t>Not</w:t>
      </w:r>
      <w:r w:rsidRPr="001B4CDE">
        <w:rPr>
          <w:rFonts w:ascii="Calibri" w:eastAsia="Aptos" w:hAnsi="Calibri" w:cs="Calibri"/>
          <w:kern w:val="2"/>
          <w:sz w:val="22"/>
          <w:szCs w:val="22"/>
          <w:lang w:val="en-GB" w:eastAsia="en-US"/>
        </w:rPr>
        <w:t>) from 2007 to 2024? </w:t>
      </w:r>
      <w:r w:rsidRPr="001B4CDE">
        <w:rPr>
          <w:rFonts w:ascii="Calibri" w:eastAsia="Aptos" w:hAnsi="Calibri" w:cs="Calibri"/>
          <w:i/>
          <w:iCs/>
          <w:kern w:val="2"/>
          <w:sz w:val="22"/>
          <w:szCs w:val="22"/>
          <w:lang w:val="en-GB" w:eastAsia="en-US"/>
        </w:rPr>
        <w:t>British Journal of Educational Studies</w:t>
      </w:r>
      <w:r w:rsidRPr="001B4CDE">
        <w:rPr>
          <w:rFonts w:ascii="Calibri" w:eastAsia="Aptos" w:hAnsi="Calibri" w:cs="Calibri"/>
          <w:kern w:val="2"/>
          <w:sz w:val="22"/>
          <w:szCs w:val="22"/>
          <w:lang w:val="en-GB" w:eastAsia="en-US"/>
        </w:rPr>
        <w:t>. Advance online publication. https://doi.org/10.1080/00071005.2026.2648993</w:t>
      </w:r>
    </w:p>
    <w:p w:rsidR="000E7F0D" w:rsidRPr="001B4CDE" w:rsidP="000E43E6">
      <w:pPr>
        <w:spacing w:after="0" w:line="240" w:lineRule="auto"/>
        <w:jc w:val="both"/>
        <w:rPr>
          <w:rFonts w:ascii="Calibri" w:eastAsia="Aptos" w:hAnsi="Calibri" w:cs="Calibri"/>
          <w:kern w:val="2"/>
          <w:sz w:val="22"/>
          <w:szCs w:val="22"/>
          <w:lang w:val="en-GB" w:eastAsia="en-US"/>
        </w:rPr>
      </w:pPr>
    </w:p>
    <w:p w:rsidR="000E7F0D" w:rsidRPr="001B4CDE" w:rsidP="000E43E6">
      <w:pPr>
        <w:jc w:val="both"/>
        <w:rPr>
          <w:rFonts w:ascii="Calibri" w:eastAsia="Times New Roman" w:hAnsi="Calibri" w:cs="Calibri"/>
          <w:i/>
          <w:iCs/>
          <w:sz w:val="22"/>
          <w:szCs w:val="22"/>
        </w:rPr>
      </w:pPr>
      <w:r w:rsidRPr="001B4CDE">
        <w:rPr>
          <w:rFonts w:ascii="Calibri" w:eastAsia="Times New Roman" w:hAnsi="Calibri" w:cs="Calibri"/>
          <w:i/>
          <w:iCs/>
          <w:sz w:val="22"/>
          <w:szCs w:val="22"/>
        </w:rPr>
        <w:t>September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6C0B2"/>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8D50FD4"/>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377A58BD"/>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43F9120B"/>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EF1D024"/>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58EA468D"/>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nsid w:val="5E3823C7"/>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644A11B9"/>
    <w:multiLevelType w:val="hybridMultilevel"/>
    <w:tmpl w:val="FFFFFFFF"/>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8">
    <w:nsid w:val="6A48BB5E"/>
    <w:multiLevelType w:val="hybridMultilevel"/>
    <w:tmpl w:val="FFFFFFFF"/>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79F75463"/>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7"/>
    <w:lvlOverride w:ilvl="0">
      <w:startOverride w:val="1"/>
    </w:lvlOverride>
  </w:num>
  <w:num w:numId="6">
    <w:abstractNumId w:val="3"/>
  </w:num>
  <w:num w:numId="7">
    <w:abstractNumId w:val="9"/>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table" w:customStyle="1" w:styleId="GridTable1Light1">
    <w:name w:val="Grid Table 1 Light1"/>
    <w:basedOn w:val="TableNormal"/>
    <w:uiPriority w:val="46"/>
    <w:rsid w:val="000447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511D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911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8B4C7-CC74-4B91-9517-E1DF71AE9CD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ECA0118</dc:title>
  <cp:revision>0</cp:revision>
</cp:coreProperties>
</file>