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E1BAA" w:rsidRPr="004634A8" w:rsidP="00AE6453">
      <w:pPr>
        <w:jc w:val="center"/>
        <w:rPr>
          <w:rFonts w:ascii="Calibri" w:hAnsi="Calibri" w:cs="Calibri"/>
          <w:b/>
          <w:bCs/>
          <w:sz w:val="22"/>
          <w:szCs w:val="22"/>
        </w:rPr>
      </w:pPr>
      <w:r w:rsidRPr="004634A8">
        <w:rPr>
          <w:rFonts w:ascii="Calibri" w:hAnsi="Calibri" w:cs="Calibri"/>
          <w:b/>
          <w:bCs/>
          <w:sz w:val="22"/>
          <w:szCs w:val="22"/>
        </w:rPr>
        <w:t xml:space="preserve">Written evidence by </w:t>
      </w:r>
      <w:r w:rsidRPr="004634A8">
        <w:rPr>
          <w:rFonts w:ascii="Calibri" w:hAnsi="Calibri" w:cs="Calibri"/>
          <w:b/>
          <w:bCs/>
          <w:sz w:val="22"/>
          <w:szCs w:val="22"/>
        </w:rPr>
        <w:t xml:space="preserve">National </w:t>
      </w:r>
      <w:r w:rsidRPr="004634A8">
        <w:rPr>
          <w:rFonts w:ascii="Calibri" w:hAnsi="Calibri" w:cs="Calibri"/>
          <w:b/>
          <w:bCs/>
          <w:sz w:val="22"/>
          <w:szCs w:val="22"/>
        </w:rPr>
        <w:t>Autistic Society</w:t>
      </w:r>
      <w:r w:rsidRPr="004634A8">
        <w:rPr>
          <w:rFonts w:ascii="Calibri" w:hAnsi="Calibri" w:cs="Calibri"/>
          <w:b/>
          <w:bCs/>
          <w:sz w:val="22"/>
          <w:szCs w:val="22"/>
        </w:rPr>
        <w:t xml:space="preserve"> (</w:t>
      </w:r>
      <w:r w:rsidRPr="004634A8">
        <w:rPr>
          <w:rFonts w:ascii="Calibri" w:hAnsi="Calibri" w:cs="Calibri"/>
          <w:b/>
          <w:bCs/>
          <w:sz w:val="22"/>
          <w:szCs w:val="22"/>
        </w:rPr>
        <w:t>ECA0117</w:t>
      </w:r>
      <w:r w:rsidRPr="004634A8">
        <w:rPr>
          <w:rFonts w:ascii="Calibri" w:hAnsi="Calibri" w:cs="Calibri"/>
          <w:b/>
          <w:bCs/>
          <w:sz w:val="22"/>
          <w:szCs w:val="22"/>
        </w:rPr>
        <w:t>)</w:t>
      </w:r>
    </w:p>
    <w:p w:rsidR="004634A8" w:rsidRPr="004634A8" w:rsidP="004634A8">
      <w:pPr>
        <w:rPr>
          <w:rFonts w:ascii="Calibri" w:hAnsi="Calibri" w:cs="Calibri"/>
          <w:b/>
          <w:bCs/>
          <w:sz w:val="22"/>
          <w:szCs w:val="22"/>
        </w:rPr>
      </w:pPr>
      <w:r w:rsidRPr="004634A8">
        <w:rPr>
          <w:rFonts w:ascii="Calibri" w:hAnsi="Calibri" w:cs="Calibri"/>
          <w:b/>
          <w:bCs/>
          <w:sz w:val="22"/>
          <w:szCs w:val="22"/>
        </w:rPr>
        <w:t>Education Committee</w:t>
      </w:r>
    </w:p>
    <w:p w:rsidR="004634A8" w:rsidRPr="004634A8" w:rsidP="004634A8">
      <w:pPr>
        <w:rPr>
          <w:rFonts w:ascii="Calibri" w:hAnsi="Calibri" w:cs="Calibri"/>
          <w:b/>
          <w:bCs/>
          <w:sz w:val="22"/>
          <w:szCs w:val="22"/>
        </w:rPr>
      </w:pPr>
      <w:r w:rsidRPr="004634A8">
        <w:rPr>
          <w:rFonts w:ascii="Calibri" w:eastAsia="Aptos" w:hAnsi="Calibri" w:cs="Calibri"/>
          <w:b/>
          <w:bCs/>
          <w:sz w:val="22"/>
          <w:szCs w:val="22"/>
        </w:rPr>
        <w:t>Every Child Achieving and Thriving’ White Paper</w:t>
      </w:r>
    </w:p>
    <w:p w:rsidR="004E1BAA" w:rsidRPr="004634A8" w:rsidP="00E47B56">
      <w:pPr>
        <w:pBdr>
          <w:top w:val="single" w:sz="4" w:space="1" w:color="auto"/>
          <w:left w:val="single" w:sz="4" w:space="4" w:color="auto"/>
          <w:right w:val="single" w:sz="4" w:space="4" w:color="auto"/>
        </w:pBdr>
        <w:shd w:val="clear" w:color="auto" w:fill="BFBFBF" w:themeFill="background1" w:themeFillShade="BF"/>
        <w:spacing w:line="240" w:lineRule="auto"/>
        <w:jc w:val="both"/>
        <w:rPr>
          <w:rFonts w:ascii="Calibri" w:hAnsi="Calibri" w:cs="Calibri"/>
          <w:sz w:val="22"/>
          <w:szCs w:val="22"/>
        </w:rPr>
      </w:pPr>
      <w:r w:rsidRPr="004634A8">
        <w:rPr>
          <w:rFonts w:ascii="Calibri" w:hAnsi="Calibri" w:cs="Calibri"/>
          <w:b/>
          <w:bCs/>
          <w:sz w:val="22"/>
          <w:szCs w:val="22"/>
        </w:rPr>
        <w:t xml:space="preserve">About autism: </w:t>
      </w:r>
      <w:r w:rsidRPr="004634A8">
        <w:rPr>
          <w:rFonts w:ascii="Calibri" w:hAnsi="Calibri" w:cs="Calibri"/>
          <w:sz w:val="22"/>
          <w:szCs w:val="22"/>
        </w:rPr>
        <w:t xml:space="preserve">Autism is a lifelong disability which affects how people communicate and interact with the world. There are over 700,000 autistic adults and children in the UK. Without the </w:t>
      </w:r>
      <w:r w:rsidRPr="004634A8">
        <w:rPr>
          <w:rFonts w:ascii="Calibri" w:hAnsi="Calibri" w:cs="Calibri"/>
          <w:sz w:val="22"/>
          <w:szCs w:val="22"/>
        </w:rPr>
        <w:t xml:space="preserve">right </w:t>
      </w:r>
      <w:r w:rsidRPr="004634A8">
        <w:rPr>
          <w:rFonts w:ascii="Calibri" w:hAnsi="Calibri" w:cs="Calibri"/>
          <w:sz w:val="22"/>
          <w:szCs w:val="22"/>
        </w:rPr>
        <w:t xml:space="preserve"> </w:t>
      </w:r>
      <w:r w:rsidRPr="004634A8">
        <w:rPr>
          <w:rFonts w:ascii="Calibri" w:hAnsi="Calibri" w:cs="Calibri"/>
          <w:sz w:val="22"/>
          <w:szCs w:val="22"/>
        </w:rPr>
        <w:t>support</w:t>
      </w:r>
      <w:r w:rsidRPr="004634A8">
        <w:rPr>
          <w:rFonts w:ascii="Calibri" w:hAnsi="Calibri" w:cs="Calibri"/>
          <w:sz w:val="22"/>
          <w:szCs w:val="22"/>
        </w:rPr>
        <w:t xml:space="preserve"> or understanding, autistic people can miss out on an education, struggle to find work and become extremely isolated.</w:t>
      </w:r>
      <w:r w:rsidRPr="004634A8">
        <w:rPr>
          <w:rFonts w:ascii="Calibri" w:hAnsi="Calibri" w:cs="Calibri"/>
          <w:sz w:val="22"/>
          <w:szCs w:val="22"/>
        </w:rPr>
        <w:t xml:space="preserve"> </w:t>
      </w:r>
    </w:p>
    <w:p w:rsidR="004E1BAA" w:rsidRPr="004634A8" w:rsidP="00E47B56">
      <w:pPr>
        <w:pBdr>
          <w:top w:val="single" w:sz="4" w:space="1" w:color="auto"/>
          <w:left w:val="single" w:sz="4" w:space="4" w:color="auto"/>
          <w:right w:val="single" w:sz="4" w:space="4" w:color="auto"/>
        </w:pBdr>
        <w:shd w:val="clear" w:color="auto" w:fill="BFBFBF" w:themeFill="background1" w:themeFillShade="BF"/>
        <w:spacing w:after="120" w:line="240" w:lineRule="auto"/>
        <w:jc w:val="both"/>
        <w:rPr>
          <w:rFonts w:ascii="Calibri" w:hAnsi="Calibri" w:cs="Calibri"/>
          <w:sz w:val="22"/>
          <w:szCs w:val="22"/>
          <w:u w:val="single"/>
        </w:rPr>
      </w:pPr>
      <w:r w:rsidRPr="004634A8">
        <w:rPr>
          <w:rFonts w:ascii="Calibri" w:hAnsi="Calibri" w:cs="Calibri"/>
          <w:b/>
          <w:bCs/>
          <w:sz w:val="22"/>
          <w:szCs w:val="22"/>
        </w:rPr>
        <w:t xml:space="preserve">About us: </w:t>
      </w:r>
      <w:r w:rsidRPr="004634A8">
        <w:rPr>
          <w:rFonts w:ascii="Calibri" w:hAnsi="Calibri" w:cs="Calibri"/>
          <w:sz w:val="22"/>
          <w:szCs w:val="22"/>
        </w:rPr>
        <w:t>The National Autistic Society is here to create a society that works for autistic people.</w:t>
      </w:r>
      <w:r w:rsidRPr="004634A8">
        <w:rPr>
          <w:rFonts w:ascii="Calibri" w:hAnsi="Calibri" w:cs="Calibri"/>
          <w:sz w:val="22"/>
          <w:szCs w:val="22"/>
        </w:rPr>
        <w:t xml:space="preserve"> </w:t>
      </w:r>
      <w:r w:rsidRPr="004634A8">
        <w:rPr>
          <w:rFonts w:ascii="Calibri" w:hAnsi="Calibri" w:cs="Calibri"/>
          <w:sz w:val="22"/>
          <w:szCs w:val="22"/>
        </w:rPr>
        <w:t xml:space="preserve">We transform lives by providing support, information and practical advice for the over 700,000 autistic adults and children in the UK, as well as three million family members and carers. </w:t>
      </w:r>
      <w:r w:rsidRPr="004634A8">
        <w:rPr>
          <w:rFonts w:ascii="Calibri" w:hAnsi="Calibri" w:cs="Calibri"/>
          <w:sz w:val="22"/>
          <w:szCs w:val="22"/>
        </w:rPr>
        <w:t xml:space="preserve"> </w:t>
      </w:r>
      <w:r>
        <w:fldChar w:fldCharType="begin"/>
      </w:r>
      <w:r>
        <w:instrText xml:space="preserve"> HYPERLINK "http://www.autism.org.uk" </w:instrText>
      </w:r>
      <w:r>
        <w:fldChar w:fldCharType="separate"/>
      </w:r>
      <w:r w:rsidRPr="004634A8">
        <w:rPr>
          <w:rStyle w:val="Hyperlink"/>
          <w:rFonts w:ascii="Calibri" w:hAnsi="Calibri" w:cs="Calibri"/>
          <w:sz w:val="22"/>
          <w:szCs w:val="22"/>
        </w:rPr>
        <w:t>www.autism.org.uk</w:t>
      </w:r>
      <w:r>
        <w:fldChar w:fldCharType="end"/>
      </w:r>
    </w:p>
    <w:p w:rsidR="004E1BAA" w:rsidRPr="004634A8" w:rsidP="00D2472E">
      <w:pPr>
        <w:rPr>
          <w:rFonts w:ascii="Calibri" w:hAnsi="Calibri" w:cs="Calibri"/>
          <w:b/>
          <w:bCs/>
          <w:sz w:val="22"/>
          <w:szCs w:val="22"/>
        </w:rPr>
      </w:pPr>
      <w:r w:rsidRPr="004634A8">
        <w:rPr>
          <w:rFonts w:ascii="Calibri" w:hAnsi="Calibri" w:cs="Calibri"/>
          <w:b/>
          <w:bCs/>
          <w:sz w:val="22"/>
          <w:szCs w:val="22"/>
        </w:rPr>
        <w:t>Executive Summary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welcome the Government's ambition to improve outcomes for children and young people with SEND but</w:t>
      </w:r>
      <w:r w:rsidRPr="004634A8">
        <w:rPr>
          <w:rFonts w:ascii="Calibri" w:hAnsi="Calibri" w:cs="Calibri"/>
          <w:sz w:val="22"/>
          <w:szCs w:val="22"/>
        </w:rPr>
        <w:t xml:space="preserve"> remain concerned that the reforms focus too heavily on attainment, attendance and structural change without sufficiently addressing inclusion, wellbeing and workforce capacity.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For autistic children and young people, success should be measured through a broader set of outcomes, including wellbeing, belonging, engagement, preparation for adulthood and positive destinations, not academic attainment alone. Current accountability arrangements risk incentivising schools to prioritise exam performance at the expense of pupil wellbeing.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Across the reforms, workforce knowledge and capacity emerge as critical issues. Mandatory training is welcome, but it must be high-quality, role-specific and embedded throughout a professional's career. </w:t>
      </w:r>
      <w:r w:rsidRPr="004634A8">
        <w:rPr>
          <w:rFonts w:ascii="Calibri" w:hAnsi="Calibri" w:cs="Calibri"/>
          <w:sz w:val="22"/>
          <w:szCs w:val="22"/>
        </w:rPr>
        <w:t>I</w:t>
      </w:r>
      <w:r w:rsidRPr="004634A8">
        <w:rPr>
          <w:rFonts w:ascii="Calibri" w:hAnsi="Calibri" w:cs="Calibri"/>
          <w:sz w:val="22"/>
          <w:szCs w:val="22"/>
        </w:rPr>
        <w:t>mproving autism understanding is essential to reducing absence, exclusion, poor mental health and disengagement.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also support greater accountability for inclusion through strengthened Trust Standards, the National Inclusion Standards and new measures of pupil wellbeing and belonging. However, these reforms must be accompanied by clear accountability mechanisms, meaningful pupil voice and stronger collaboration between education, health and local authority services</w:t>
      </w:r>
      <w:r w:rsidRPr="004634A8">
        <w:rPr>
          <w:rFonts w:ascii="Calibri" w:hAnsi="Calibri" w:cs="Calibri"/>
          <w:sz w:val="22"/>
          <w:szCs w:val="22"/>
        </w:rPr>
        <w:t xml:space="preserve"> and an independent arbit</w:t>
      </w:r>
      <w:r w:rsidRPr="004634A8">
        <w:rPr>
          <w:rFonts w:ascii="Calibri" w:hAnsi="Calibri" w:cs="Calibri"/>
          <w:sz w:val="22"/>
          <w:szCs w:val="22"/>
        </w:rPr>
        <w:t>rator for final judgement.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Finally, while workforce and leadership reforms are positive, concerns remain around workload, funding and system capacity. </w:t>
      </w:r>
      <w:r w:rsidRPr="004634A8">
        <w:rPr>
          <w:rFonts w:ascii="Calibri" w:hAnsi="Calibri" w:cs="Calibri"/>
          <w:sz w:val="22"/>
          <w:szCs w:val="22"/>
        </w:rPr>
        <w:t>R</w:t>
      </w:r>
      <w:r w:rsidRPr="004634A8">
        <w:rPr>
          <w:rFonts w:ascii="Calibri" w:hAnsi="Calibri" w:cs="Calibri"/>
          <w:sz w:val="22"/>
          <w:szCs w:val="22"/>
        </w:rPr>
        <w:t>eforms must be matched by investment in workforce capacity, specialist support and retention if they are to succeed.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Ultimately, reform should be judged by whether autistic children and young people feel understood, included and able to thrive, not solely by improvements in attendance or attainment data.</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 xml:space="preserve">Raising Attainment </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Government’s ambition to raise attainment, including reducing the disadvantage gap</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would challenge the assumption that raising attainment and reducing the disadvantage gap are necessarily the same. For autistic children and young people, a narrow focus on attainment can result in increased pressure, anxiety and poorer mental health outcomes. Current accountability arrangements incentivise schools to prioritise academic results, often at the expense of wellbeing, engagement and preparation for adulthood.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This is particularly concerning given the mental health challenges autistic pupils already experience. The National Autistic Society has found that 7 in 10 autistic pupils have a mental health condition, while almost half of autistic children have an anxiety disorder. At the same time, 7 in 10 autistic pupils report that teachers do not understand enough about autism, suggesting that many children are expected to achieve within systems that do not fully understand or respond to their needs.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Reducing the disadvantage gap requires a broader understanding of what success looks like. A setting’s success should be measured not only by attainment but also by outcomes such as social and emotional development, confidence, engagement, community participation, preparation for adulthood and progression into positive destinations. Valuing these outcomes would create a system that encourages schools to support children to thrive, rather than simply perform academically.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A wellbeing-led approach must also be accompanied by greater understanding of autism across the workforce. Poor knowledge of autism remains a significant barrier to supporting autistic pupils effectively. </w:t>
      </w:r>
      <w:r w:rsidRPr="004634A8">
        <w:rPr>
          <w:rFonts w:ascii="Calibri" w:hAnsi="Calibri" w:cs="Calibri"/>
          <w:sz w:val="22"/>
          <w:szCs w:val="22"/>
        </w:rPr>
        <w:t xml:space="preserve">Our survey found that only 39% of teachers have received more than half a day of autism training, falling to just 14% of secondary school teachers. </w:t>
      </w:r>
      <w:r w:rsidRPr="004634A8">
        <w:rPr>
          <w:rFonts w:ascii="Calibri" w:hAnsi="Calibri" w:cs="Calibri"/>
          <w:sz w:val="22"/>
          <w:szCs w:val="22"/>
        </w:rPr>
        <w:t>Staff need the training and confidence to recognise signs of distress, understand how mental health difficulties may present differently in autistic children and young people, and respond appropriately before difficulties escalate. Without this foundation, efforts to improve wellbeing are unlikely to succeed.</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proposed reforms to accountability measures, including Progress 8, Attainment 8, and new measures for low and high attainers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Current accountability measures place too much emphasis on attainment and do not adequately capture the progress, wellbeing and wider achievements of children and young people. While proposals to introduce new measures for pupils working significantly below or above expected levels are welcome, reform should go further by placing wellbeing and progress on an equal footing with attainment.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more balanced accountability framework should include indicators such as pupil wellbeing, attendance, exclusions, engagement and post-school destinations. This would provide a more accurate reflection of whether schools are meeting the needs of all pupils, particularly those who are disadvantaged or have SEND.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Achieving this requires improvements in data collection. We strongly support proposals to gather more comprehensive information on pupil experiences and outcomes, including through pupil surveys. </w:t>
      </w:r>
      <w:r w:rsidRPr="004634A8">
        <w:rPr>
          <w:rFonts w:ascii="Calibri" w:hAnsi="Calibri" w:cs="Calibri"/>
          <w:sz w:val="22"/>
          <w:szCs w:val="22"/>
        </w:rPr>
        <w:t>DfE</w:t>
      </w:r>
      <w:r w:rsidRPr="004634A8">
        <w:rPr>
          <w:rFonts w:ascii="Calibri" w:hAnsi="Calibri" w:cs="Calibri"/>
          <w:sz w:val="22"/>
          <w:szCs w:val="22"/>
        </w:rPr>
        <w:t xml:space="preserve"> should collect and publish information on:</w:t>
      </w:r>
    </w:p>
    <w:p w:rsidR="004E1BAA" w:rsidRPr="004634A8" w:rsidP="00AA1A64">
      <w:pPr>
        <w:pStyle w:val="ListParagraph"/>
        <w:numPr>
          <w:ilvl w:val="0"/>
          <w:numId w:val="14"/>
        </w:numPr>
        <w:spacing w:before="240" w:beforeLines="100" w:after="240" w:afterLines="100"/>
        <w:rPr>
          <w:rFonts w:ascii="Calibri" w:hAnsi="Calibri" w:cs="Calibri"/>
          <w:sz w:val="22"/>
          <w:szCs w:val="22"/>
        </w:rPr>
      </w:pPr>
      <w:r w:rsidRPr="004634A8">
        <w:rPr>
          <w:rFonts w:ascii="Calibri" w:hAnsi="Calibri" w:cs="Calibri"/>
          <w:sz w:val="22"/>
          <w:szCs w:val="22"/>
        </w:rPr>
        <w:t>Pupil wellbeing, including through regular pupil surveys.</w:t>
      </w:r>
    </w:p>
    <w:p w:rsidR="004E1BAA" w:rsidRPr="004634A8" w:rsidP="00AA1A64">
      <w:pPr>
        <w:pStyle w:val="ListParagraph"/>
        <w:numPr>
          <w:ilvl w:val="0"/>
          <w:numId w:val="14"/>
        </w:numPr>
        <w:spacing w:before="240" w:beforeLines="100" w:after="240" w:afterLines="100"/>
        <w:rPr>
          <w:rFonts w:ascii="Calibri" w:hAnsi="Calibri" w:cs="Calibri"/>
          <w:sz w:val="22"/>
          <w:szCs w:val="22"/>
        </w:rPr>
      </w:pPr>
      <w:r w:rsidRPr="004634A8">
        <w:rPr>
          <w:rFonts w:ascii="Calibri" w:hAnsi="Calibri" w:cs="Calibri"/>
          <w:sz w:val="22"/>
          <w:szCs w:val="22"/>
        </w:rPr>
        <w:t>Progress over time.</w:t>
      </w:r>
    </w:p>
    <w:p w:rsidR="004E1BAA" w:rsidRPr="004634A8" w:rsidP="00AA1A64">
      <w:pPr>
        <w:pStyle w:val="ListParagraph"/>
        <w:numPr>
          <w:ilvl w:val="0"/>
          <w:numId w:val="14"/>
        </w:numPr>
        <w:spacing w:before="240" w:beforeLines="100" w:after="240" w:afterLines="100"/>
        <w:rPr>
          <w:rFonts w:ascii="Calibri" w:hAnsi="Calibri" w:cs="Calibri"/>
          <w:sz w:val="22"/>
          <w:szCs w:val="22"/>
        </w:rPr>
      </w:pPr>
      <w:r w:rsidRPr="004634A8">
        <w:rPr>
          <w:rFonts w:ascii="Calibri" w:hAnsi="Calibri" w:cs="Calibri"/>
          <w:sz w:val="22"/>
          <w:szCs w:val="22"/>
        </w:rPr>
        <w:t>Absence and exclusion rates.</w:t>
      </w:r>
    </w:p>
    <w:p w:rsidR="004E1BAA" w:rsidRPr="004634A8" w:rsidP="00AA1A64">
      <w:pPr>
        <w:pStyle w:val="ListParagraph"/>
        <w:numPr>
          <w:ilvl w:val="0"/>
          <w:numId w:val="14"/>
        </w:numPr>
        <w:spacing w:before="240" w:beforeLines="100" w:after="240" w:afterLines="100"/>
        <w:rPr>
          <w:rFonts w:ascii="Calibri" w:hAnsi="Calibri" w:cs="Calibri"/>
          <w:sz w:val="22"/>
          <w:szCs w:val="22"/>
        </w:rPr>
      </w:pPr>
      <w:r w:rsidRPr="004634A8">
        <w:rPr>
          <w:rFonts w:ascii="Calibri" w:hAnsi="Calibri" w:cs="Calibri"/>
          <w:sz w:val="22"/>
          <w:szCs w:val="22"/>
        </w:rPr>
        <w:t>Post-school destinations.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Without robust data on these outcomes, policy and decision-making will continue to be driven by narrow attainment indicators rather than </w:t>
      </w:r>
      <w:r w:rsidRPr="004634A8">
        <w:rPr>
          <w:rFonts w:ascii="Calibri" w:hAnsi="Calibri" w:cs="Calibri"/>
          <w:sz w:val="22"/>
          <w:szCs w:val="22"/>
        </w:rPr>
        <w:t>children's</w:t>
      </w:r>
      <w:r w:rsidRPr="004634A8">
        <w:rPr>
          <w:rFonts w:ascii="Calibri" w:hAnsi="Calibri" w:cs="Calibri"/>
          <w:sz w:val="22"/>
          <w:szCs w:val="22"/>
        </w:rPr>
        <w:t xml:space="preserve"> lived experiences.</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 xml:space="preserve">How essential skills can be more effectively integrated into the curriculum </w:t>
      </w:r>
      <w:r w:rsidRPr="004634A8">
        <w:rPr>
          <w:rFonts w:ascii="Calibri" w:hAnsi="Calibri" w:cs="Calibri"/>
          <w:b/>
          <w:bCs/>
          <w:sz w:val="22"/>
          <w:szCs w:val="22"/>
        </w:rPr>
        <w:t>in order to</w:t>
      </w:r>
      <w:r w:rsidRPr="004634A8">
        <w:rPr>
          <w:rFonts w:ascii="Calibri" w:hAnsi="Calibri" w:cs="Calibri"/>
          <w:b/>
          <w:bCs/>
          <w:sz w:val="22"/>
          <w:szCs w:val="22"/>
        </w:rPr>
        <w:t xml:space="preserve"> raise attainment and reduce the number of young people not in education, employment or training (NEET)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disagree with the assumption that raising attainment is the primary route to reducing the number of young people who become NEET. Academic qualifications are important, but they are only one part of preparing young people for adulthood. Many of the skills that support successful transitions into employment, training or further education are not assessed through traditional examinations.</w:t>
      </w:r>
      <w:r w:rsidRPr="004634A8">
        <w:rPr>
          <w:rFonts w:ascii="Calibri" w:hAnsi="Calibri" w:cs="Calibri"/>
          <w:sz w:val="22"/>
          <w:szCs w:val="22"/>
        </w:rPr>
        <w:t xml:space="preserve"> This is something </w:t>
      </w:r>
      <w:r w:rsidRPr="004634A8">
        <w:rPr>
          <w:rFonts w:ascii="Calibri" w:hAnsi="Calibri" w:cs="Calibri"/>
          <w:sz w:val="22"/>
          <w:szCs w:val="22"/>
        </w:rPr>
        <w:t>the new Prime Minister has echoed and an approach we would completely welcome.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Greater emphasis should be placed on developing essential skills such as communication, confidence, resilience, self-advocacy, independence and workplace readiness. A stronger focus on these broader outcomes would better equip young people to succeed beyond school and aligns with wider discussions about the need to rethink the skills young people require for modern life and work.</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National Autistic Society's Moving Forward+ programme in Scotland provides a strong example of this approach in practice. The programme supports autistic young people to build confidence, resilience and readiness for positive destinations through personalised one-to-one and group support. Its focus extends beyond academic achievement to include wellbeing, independence and progression into employment, volunteering, training or further education. The success of programmes such as Moving Forward+ demonstra</w:t>
      </w:r>
      <w:r w:rsidRPr="004634A8">
        <w:rPr>
          <w:rFonts w:ascii="Calibri" w:hAnsi="Calibri" w:cs="Calibri"/>
          <w:sz w:val="22"/>
          <w:szCs w:val="22"/>
        </w:rPr>
        <w:t>tes that targeted support focused on developing essential life and employment skills can play a critical role in improving post-16 outcomes and reducing the risk of young people becoming NEET.</w:t>
      </w:r>
    </w:p>
    <w:p w:rsidR="004E1BAA" w:rsidRPr="004634A8" w:rsidP="00A14728">
      <w:pPr>
        <w:spacing w:before="240" w:beforeLines="100" w:after="240" w:afterLines="100"/>
        <w:rPr>
          <w:rFonts w:ascii="Calibri" w:hAnsi="Calibri" w:cs="Calibri"/>
          <w:b/>
          <w:bCs/>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Improving Attendance</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Government’s target to reduce overall absence and increase total days attended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We agree that improving attendance is an important objective. However, reducing absence requires an understanding of why </w:t>
      </w:r>
      <w:r w:rsidRPr="004634A8">
        <w:rPr>
          <w:rFonts w:ascii="Calibri" w:hAnsi="Calibri" w:cs="Calibri"/>
          <w:sz w:val="22"/>
          <w:szCs w:val="22"/>
        </w:rPr>
        <w:t>autistic</w:t>
      </w:r>
      <w:r w:rsidRPr="004634A8">
        <w:rPr>
          <w:rFonts w:ascii="Calibri" w:hAnsi="Calibri" w:cs="Calibri"/>
          <w:sz w:val="22"/>
          <w:szCs w:val="22"/>
        </w:rPr>
        <w:t xml:space="preserve"> pupils are absent in the first place. Autistic children and young people are disproportionately affected by persistent and severe absence. In the 2024/25 school year, 67,298 autistic pupils were persistently absent and 13,215 autistic pupils were severely absent, missing more than 50% of school sessions. These figures demonstrate that absence among autistic pupils is not a marginal issue but a systemic challenge.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For many autistic children, absence is not a matter of choice or disengagement. It is often driven by anxiety, unmet need, bullying, sensory overwhelm, poor mental health and emotional based school avoidance (EBSA). In these circumstances, simply increasing attendance targets will not address the root causes of absence.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It is also important to recognise that attendance is not always synonymous with progress. For some children, particularly those experiencing significant anxiety </w:t>
      </w:r>
      <w:r w:rsidRPr="004634A8">
        <w:rPr>
          <w:rFonts w:ascii="Calibri" w:hAnsi="Calibri" w:cs="Calibri"/>
          <w:sz w:val="22"/>
          <w:szCs w:val="22"/>
        </w:rPr>
        <w:t>or school-based trauma, alternative approaches can provide more effective educational outcomes. The Southern Cross School EBSA provision demonstrates this clearly. By providing education in the home or community and focusing on relationship-building before academic engagement, the programme has successfully supported children with attendance as low as 3% to re-engage with education and work towards qualifications. Nearly 46% of Key Stage 2 and 3 pupils on the EBSA pathway improved their attendance by more t</w:t>
      </w:r>
      <w:r w:rsidRPr="004634A8">
        <w:rPr>
          <w:rFonts w:ascii="Calibri" w:hAnsi="Calibri" w:cs="Calibri"/>
          <w:sz w:val="22"/>
          <w:szCs w:val="22"/>
        </w:rPr>
        <w:t>han five percentage points compared to the previous year, alongside continued educational progress. This highlights the importance of focusing on engagement, wellbeing and outcomes rather than attendance figures alone.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In the white paper, the blanket approach that "attendance is not optional" risks failing to recognise the complexity of SEND-related absence and the individual circumstances of children whose needs are not being met within traditional school environments.</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reasons for persistent absence, particularly among disadvantaged pupils, and whether the White Paper’s proposals address those reasons adequately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P</w:t>
      </w:r>
      <w:r w:rsidRPr="004634A8">
        <w:rPr>
          <w:rFonts w:ascii="Calibri" w:hAnsi="Calibri" w:cs="Calibri"/>
          <w:sz w:val="22"/>
          <w:szCs w:val="22"/>
        </w:rPr>
        <w:t>ersistent absence among autistic pupils is driven by unmet need rather than a lack of willingness to attend school. Many autistic children experience school environments that are overwhelming, inaccessible or psychologically unsafe. Factors such as sensory overload, bullying, discrimination, poor mental health and the misinterpretation of distress as poor behaviour all contribute to absence.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White Paper's focus on improving attendance is welcome, but it does not go far enough in addressing these underlying causes. A key contributor to persistent absence is poor understanding of autism among school staff. The National Autistic Society has found that 7 in 10 autistic pupils said their teachers do not understand enough about autism. This lack of understanding is unsurprising given that only 39% of teachers have received more than half a day of autism training, falling to just 14% of secondary </w:t>
      </w:r>
      <w:r w:rsidRPr="004634A8">
        <w:rPr>
          <w:rFonts w:ascii="Calibri" w:hAnsi="Calibri" w:cs="Calibri"/>
          <w:sz w:val="22"/>
          <w:szCs w:val="22"/>
        </w:rPr>
        <w:t>school teachers.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Improved staff training therefore has the potential to make a significant difference. However, training must be meaningful, mandatory and role-specific rather than delivered through a one-size-fits-all model</w:t>
      </w:r>
      <w:r w:rsidRPr="004634A8">
        <w:rPr>
          <w:rFonts w:ascii="Calibri" w:hAnsi="Calibri" w:cs="Calibri"/>
          <w:sz w:val="22"/>
          <w:szCs w:val="22"/>
        </w:rPr>
        <w:t xml:space="preserve"> on a voluntary on digital basis</w:t>
      </w:r>
      <w:r w:rsidRPr="004634A8">
        <w:rPr>
          <w:rFonts w:ascii="Calibri" w:hAnsi="Calibri" w:cs="Calibri"/>
          <w:sz w:val="22"/>
          <w:szCs w:val="22"/>
        </w:rPr>
        <w:t>. Every member of staff influences a pupil's experience of school, including teachers, support staff, senior leaders, lunchtime supervisors, reception staff and site teams. Training should help staff understand how autism may present in different settings, how anxiety and distress can manifest, how to identify signs of unmet need, and how reasonable adjustments can support attendance and engagement.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Training alone, however, will not solve the problem. There also needs to be a fundamental reconsideration of behaviour policy. Rigid "zero tolerance" approaches are inherently non-inclusive and disproportionately impact autistic children whose communication styles, sensory needs or responses to distress may not align with traditional expectations of compliance. Such policies often reinforce the misconception that behaviour is a disciplinary issue rather than a signal of unmet need.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For this reason, we would challenge the assumption that school leaders should continue to be trusted to make exclusion decisions without significantly improved understanding of autism and SEND. The most common reason recorded for permanent exclusion remains "persistent disruptive behaviour", yet this behaviour is frequently rooted in anxiety, distress or unmet need. Without reforming behaviour policies and workforce knowledge, attendance and exclusion rates are unlikely to improve significantly</w:t>
      </w:r>
      <w:r w:rsidRPr="004634A8">
        <w:rPr>
          <w:rFonts w:ascii="Calibri" w:hAnsi="Calibri" w:cs="Calibri"/>
          <w:sz w:val="22"/>
          <w:szCs w:val="22"/>
        </w:rPr>
        <w:t xml:space="preserve"> </w:t>
      </w:r>
      <w:r w:rsidRPr="004634A8">
        <w:rPr>
          <w:rFonts w:ascii="Calibri" w:hAnsi="Calibri" w:cs="Calibri"/>
          <w:sz w:val="22"/>
          <w:szCs w:val="22"/>
        </w:rPr>
        <w:t>as long as</w:t>
      </w:r>
      <w:r w:rsidRPr="004634A8">
        <w:rPr>
          <w:rFonts w:ascii="Calibri" w:hAnsi="Calibri" w:cs="Calibri"/>
          <w:sz w:val="22"/>
          <w:szCs w:val="22"/>
        </w:rPr>
        <w:t xml:space="preserve"> the perceived experience of school leaders is trusted.</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How responsibility for improving attendance should be shared between schools, families and local services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Responsibility for improving attendance must be shared across schools, families and local services, with recognition that attendance difficulties often arise from systemic barriers rather than parental choices.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Schools have a responsibility to create inclusive environments where autistic children feel safe, understood and able to access learning. This includes ensuring staff have the knowledge and confidence to identify unmet need, make reasonable adjustments and respond appropriately to distress. Improving autism understanding across the workforce is one of the most effective ways schools can support attendance.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Local services also have a critical role. Too often, families struggle to access timely support from education, health and mental health services when attendance begins to decline. Greater coordination between schools, local authorities, CAMHS and specialist SEND services is essential to ensure children receive help before absence becomes entrenched.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Families should be treated as partners rather than as the source of the problem. The reality for many parents of autistic children is that they are already doing everything possible to </w:t>
      </w:r>
      <w:r w:rsidRPr="004634A8">
        <w:rPr>
          <w:rFonts w:ascii="Calibri" w:hAnsi="Calibri" w:cs="Calibri"/>
          <w:sz w:val="22"/>
          <w:szCs w:val="22"/>
        </w:rPr>
        <w:t xml:space="preserve">support attendance. Punitive approaches such as fines or legal action are ineffective when absence is driven by anxiety, unmet need or EBSA. As one parent described: </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i/>
          <w:iCs/>
          <w:sz w:val="22"/>
          <w:szCs w:val="22"/>
        </w:rPr>
        <w:t>"You are threatened with fines, but you've got a child who is petrified and won't go to school. What can you do?"</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more effective approach would focus on early intervention, collaborative problem-solving and flexible provision where appropriate. In some cases, alternative models such as EOTAS may provide the most suitable route to education and progress. Attendance should remain an important consideration, but it should never be prioritised above a child's wellbeing, safety or ability to access education in a way that meets their needs.</w:t>
      </w:r>
    </w:p>
    <w:p w:rsidR="004E1BAA" w:rsidRPr="004634A8" w:rsidP="00A14728">
      <w:pPr>
        <w:spacing w:before="240" w:beforeLines="100" w:after="240" w:afterLines="100"/>
        <w:rPr>
          <w:rFonts w:ascii="Calibri" w:hAnsi="Calibri" w:cs="Calibri"/>
          <w:b/>
          <w:bCs/>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Moving to a trust-led school system</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expectation that all state-funded schools should join or form a school trust, and its implications for school autonomy, governance, choice and accountability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principle of a trust-led system could be welcomed, but its success will depend on there being a clear and consistent understanding of what schools and trusts are expected to deliver, particularly for </w:t>
      </w:r>
      <w:r w:rsidRPr="004634A8">
        <w:rPr>
          <w:rFonts w:ascii="Calibri" w:hAnsi="Calibri" w:cs="Calibri"/>
          <w:sz w:val="22"/>
          <w:szCs w:val="22"/>
        </w:rPr>
        <w:t xml:space="preserve">autistic </w:t>
      </w:r>
      <w:r w:rsidRPr="004634A8">
        <w:rPr>
          <w:rFonts w:ascii="Calibri" w:hAnsi="Calibri" w:cs="Calibri"/>
          <w:sz w:val="22"/>
          <w:szCs w:val="22"/>
        </w:rPr>
        <w:t>children and young people. At present, there is no universally agreed understanding of what "good" inclusion looks like across the system. Without this, there is a risk that the effectiveness of trusts becomes dependent on individual leadership or good faith rather than measurable expectations.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proposed Trust Standards therefore need to set out explicit baseline responsibilities for every school, define the purpose of trusts, and establish clear measures of success. These expectations should align closely with the National Inclusion Standards (NIS), including minimum standards for inclusion, </w:t>
      </w:r>
      <w:r w:rsidRPr="004634A8">
        <w:rPr>
          <w:rFonts w:ascii="Calibri" w:hAnsi="Calibri" w:cs="Calibri"/>
          <w:sz w:val="22"/>
          <w:szCs w:val="22"/>
        </w:rPr>
        <w:t>whole school</w:t>
      </w:r>
      <w:r w:rsidRPr="004634A8">
        <w:rPr>
          <w:rFonts w:ascii="Calibri" w:hAnsi="Calibri" w:cs="Calibri"/>
          <w:sz w:val="22"/>
          <w:szCs w:val="22"/>
        </w:rPr>
        <w:t xml:space="preserve"> neuroinclusive practice and the delivery of SEND provision. This would provide a common framework against which trusts can be held accountable and reduce variation between areas.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School autonomy can be beneficial, but only where it sits alongside strong accountability and scrutiny. There is also a risk that decisions within trusts become overly influenced by financial pressures rather than children's needs. To mitigate this, SEND expertise must play a central role in governance and </w:t>
      </w:r>
      <w:r w:rsidRPr="004634A8">
        <w:rPr>
          <w:rFonts w:ascii="Calibri" w:hAnsi="Calibri" w:cs="Calibri"/>
          <w:sz w:val="22"/>
          <w:szCs w:val="22"/>
        </w:rPr>
        <w:t>strategic planning. SENCOs should have a formal role within trust-level decision making to ensure that SEND funding is used strategically and equitably, rather than disproportionately favouring larger schools or being driven by budgetary considerations. As trusts take on greater responsibility for shared budgets and provision, SEND expertise must be embedded at the heart of decision making.</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practical challenges of transitioning to a trust-led system</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One of the biggest challenges facing a trust-led system is the existing inconsistency in partnership working and service coordination across England. There is already clear evidence that weak coordination between education, local authorities and health services is a major driver of SEND pressures.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Institute for Government has highlighted that relationships between services are often fragmented and, in some cases, adversarial. These challenges are reflected in inspection data, with weaknesses in partnership working and strategic governance identified in more than half of Ofsted SEND inspections in </w:t>
      </w:r>
      <w:r w:rsidRPr="004634A8">
        <w:rPr>
          <w:rFonts w:ascii="Calibri" w:hAnsi="Calibri" w:cs="Calibri"/>
          <w:sz w:val="22"/>
          <w:szCs w:val="22"/>
        </w:rPr>
        <w:t>since</w:t>
      </w:r>
      <w:r w:rsidRPr="004634A8">
        <w:rPr>
          <w:rFonts w:ascii="Calibri" w:hAnsi="Calibri" w:cs="Calibri"/>
          <w:sz w:val="22"/>
          <w:szCs w:val="22"/>
        </w:rPr>
        <w:t xml:space="preserve"> 2025. Among areas judged as having "widespread and/or systemic failings", this rose to 86% of inspections.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Against this backdrop, moving to a trust-led system without first addressing coordination challenges risks simply transferring existing problems into a new structure. Schools cannot be expected to collaborate effectively through trusts if there remains uncertainty about roles, responsibilities and accountability across education, health and local government. Greater clarity is needed on how trusts will support collaboration and how consistent levels of inclusion and SEND provision will be maintained nationa</w:t>
      </w:r>
      <w:r w:rsidRPr="004634A8">
        <w:rPr>
          <w:rFonts w:ascii="Calibri" w:hAnsi="Calibri" w:cs="Calibri"/>
          <w:sz w:val="22"/>
          <w:szCs w:val="22"/>
        </w:rPr>
        <w:t>lly.</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role of local authorities, including their powers to establish trusts and co-ordinate services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There remains significant uncertainty regarding the role of local authorities within a trust-led system. While stronger local coordination is welcome, it is currently unclear how local authority responsibilities will interact with multi-academy trusts</w:t>
      </w:r>
      <w:r w:rsidRPr="004634A8">
        <w:rPr>
          <w:rFonts w:ascii="Calibri" w:hAnsi="Calibri" w:cs="Calibri"/>
          <w:sz w:val="22"/>
          <w:szCs w:val="22"/>
        </w:rPr>
        <w:t xml:space="preserve"> (MATs)</w:t>
      </w:r>
      <w:r w:rsidRPr="004634A8">
        <w:rPr>
          <w:rFonts w:ascii="Calibri" w:hAnsi="Calibri" w:cs="Calibri"/>
          <w:sz w:val="22"/>
          <w:szCs w:val="22"/>
        </w:rPr>
        <w:t xml:space="preserve"> and what powers local authorities will have to hold trusts to account.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If local authorities are expected to oversee inclusion, coordinate services and drive local improvement, there must be clarity on whether MATs fall within these arrangements and how compliance will be enforced where concerns arise. </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Government's proposed model of local partnership and shared accountability has potential, but further detail is required before its effectiveness can be assessed. Any future system must ensure that local authorities</w:t>
      </w:r>
      <w:r w:rsidRPr="004634A8">
        <w:rPr>
          <w:rFonts w:ascii="Calibri" w:hAnsi="Calibri" w:cs="Calibri"/>
          <w:sz w:val="22"/>
          <w:szCs w:val="22"/>
        </w:rPr>
        <w:t xml:space="preserve"> have the authority to ensure all services involved are hold to an acceptable standard</w:t>
      </w:r>
      <w:r w:rsidRPr="004634A8">
        <w:rPr>
          <w:rFonts w:ascii="Calibri" w:hAnsi="Calibri" w:cs="Calibri"/>
          <w:sz w:val="22"/>
          <w:szCs w:val="22"/>
        </w:rPr>
        <w:t>, with clear routes for challenge and resolution where those expectations are not being met.</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introduction of trust-level inspection by Ofsted and new standards for trusts, including expectations on inclusion, collaboration and value for money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Trust-level inspection has the potential to strengthen accountability, particularly if it assesses how trusts deliver inclusion across all their schools rather than simply focusing on financial performance or attainment.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However, if Ofsted is expected to be the primary accountability mechanism, there must be a recognition that inspections typically operate on multi-year cycles. Families and schools need more immediate routes to challenge trusts where concerns arise regarding inclusion, SEND provision or resource allocation. A system that relies solely on inspection every few years risks leaving issues unresolved for too long.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Trust Standards should therefore establish explicit minimum expectations around inclusion, aligned with the N</w:t>
      </w:r>
      <w:r w:rsidRPr="004634A8">
        <w:rPr>
          <w:rFonts w:ascii="Calibri" w:hAnsi="Calibri" w:cs="Calibri"/>
          <w:sz w:val="22"/>
          <w:szCs w:val="22"/>
        </w:rPr>
        <w:t>IS</w:t>
      </w:r>
      <w:r w:rsidRPr="004634A8">
        <w:rPr>
          <w:rFonts w:ascii="Calibri" w:hAnsi="Calibri" w:cs="Calibri"/>
          <w:sz w:val="22"/>
          <w:szCs w:val="22"/>
        </w:rPr>
        <w:t>s. These should clearly define what a whole-school inclusive approach looks like in practice across leadership, classroom teaching, workforce development, behaviour policies, physical environments and parent partnership. They should also set out minimum standards of provision that every child can expect</w:t>
      </w:r>
      <w:r w:rsidRPr="004634A8">
        <w:rPr>
          <w:rFonts w:ascii="Calibri" w:hAnsi="Calibri" w:cs="Calibri"/>
          <w:sz w:val="22"/>
          <w:szCs w:val="22"/>
        </w:rPr>
        <w: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Alongside these minimum expectations, schools and inspectors would benefit from an evidence-based bank of good practice examples demonstrating inclusive leadership, flexible behaviour approaches, sensory-friendly environments and effective universal provision. This would support consistency in both implementation and inspection.</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impact on local collaboration between schools and wider children’s services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success of a trust-led system will ultimately depend on whether it improves collaboration between education, health and </w:t>
      </w:r>
      <w:r w:rsidRPr="004634A8">
        <w:rPr>
          <w:rFonts w:ascii="Calibri" w:hAnsi="Calibri" w:cs="Calibri"/>
          <w:sz w:val="22"/>
          <w:szCs w:val="22"/>
        </w:rPr>
        <w:t>LA</w:t>
      </w:r>
      <w:r w:rsidRPr="004634A8">
        <w:rPr>
          <w:rFonts w:ascii="Calibri" w:hAnsi="Calibri" w:cs="Calibri"/>
          <w:sz w:val="22"/>
          <w:szCs w:val="22"/>
        </w:rPr>
        <w:t xml:space="preserve"> services. Current arrangements often suffer from duplication, unclear accountability and disconnected planning.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promising model would be for a</w:t>
      </w:r>
      <w:r w:rsidRPr="004634A8">
        <w:rPr>
          <w:rFonts w:ascii="Calibri" w:hAnsi="Calibri" w:cs="Calibri"/>
          <w:sz w:val="22"/>
          <w:szCs w:val="22"/>
        </w:rPr>
        <w:t xml:space="preserve"> dedicated SEND commissioning role operating across organisational boundaries. Sunderland's jointly funded Strategic SEND Commissioning Lead provides a strong example. By sitting across both the local authority and Integrated Care Board (ICB), the role has helped align priorities, improve joint working and reduce duplication despite having no formal control over budgets. Importantly, the role was created through existing funding arrangements rather than requiring significant new investment.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This type of cross-system leadership could play an important role in helping trusts, local authorities and health services work together more effectively.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proposed Experts at Hand (EaH) model will be a key test of whether genuinely joined-up services can function within the reformed system. Delivering specialist support into mainstream schools is a positive ambition, but its success depends on resolving longstanding workforce and commissioning challenges.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There are significant concerns about whether EaH</w:t>
      </w:r>
      <w:r w:rsidRPr="004634A8">
        <w:rPr>
          <w:rFonts w:ascii="Calibri" w:hAnsi="Calibri" w:cs="Calibri"/>
          <w:sz w:val="22"/>
          <w:szCs w:val="22"/>
        </w:rPr>
        <w:t xml:space="preserve"> is currently deliverable at scale. Workforce shortages remain severe. </w:t>
      </w:r>
      <w:r w:rsidRPr="004634A8">
        <w:rPr>
          <w:rFonts w:ascii="Calibri" w:hAnsi="Calibri" w:cs="Calibri"/>
          <w:sz w:val="22"/>
          <w:szCs w:val="22"/>
        </w:rPr>
        <w:t>96%</w:t>
      </w:r>
      <w:r w:rsidRPr="004634A8">
        <w:rPr>
          <w:rFonts w:ascii="Calibri" w:hAnsi="Calibri" w:cs="Calibri"/>
          <w:sz w:val="22"/>
          <w:szCs w:val="22"/>
        </w:rPr>
        <w:t xml:space="preserve"> of local authorities report difficulties recruiting and retaining educational psychologists, while the Education Policy Institute estimates that local authorities below benchmark staffing levels would require an additional 1,400 full-time equivalent educational psychologists</w:t>
      </w:r>
      <w:r w:rsidRPr="004634A8">
        <w:rPr>
          <w:rFonts w:ascii="Calibri" w:hAnsi="Calibri" w:cs="Calibri"/>
          <w:sz w:val="22"/>
          <w:szCs w:val="22"/>
        </w:rPr>
        <w:t xml:space="preserve">, </w:t>
      </w:r>
      <w:r w:rsidRPr="004634A8">
        <w:rPr>
          <w:rFonts w:ascii="Calibri" w:hAnsi="Calibri" w:cs="Calibri"/>
          <w:sz w:val="22"/>
          <w:szCs w:val="22"/>
        </w:rPr>
        <w:t>a 40% increase in the current workforce</w:t>
      </w:r>
      <w:r w:rsidRPr="004634A8">
        <w:rPr>
          <w:rFonts w:ascii="Calibri" w:hAnsi="Calibri" w:cs="Calibri"/>
          <w:sz w:val="22"/>
          <w:szCs w:val="22"/>
        </w:rPr>
        <w:t xml:space="preserve">, </w:t>
      </w:r>
      <w:r w:rsidRPr="004634A8">
        <w:rPr>
          <w:rFonts w:ascii="Calibri" w:hAnsi="Calibri" w:cs="Calibri"/>
          <w:sz w:val="22"/>
          <w:szCs w:val="22"/>
        </w:rPr>
        <w:t>at an estimated annual cost of £140 million</w:t>
      </w:r>
      <w:r w:rsidRPr="004634A8">
        <w:rPr>
          <w:rFonts w:ascii="Calibri" w:hAnsi="Calibri" w:cs="Calibri"/>
          <w:sz w:val="22"/>
          <w:szCs w:val="22"/>
        </w:rPr>
        <w:t xml:space="preserve"> just to reach an </w:t>
      </w:r>
      <w:r w:rsidRPr="004634A8">
        <w:rPr>
          <w:rFonts w:ascii="Calibri" w:hAnsi="Calibri" w:cs="Calibri"/>
          <w:sz w:val="22"/>
          <w:szCs w:val="22"/>
        </w:rPr>
        <w:t>adequate level in the current system</w:t>
      </w:r>
      <w:r w:rsidRPr="004634A8">
        <w:rPr>
          <w:rFonts w:ascii="Calibri" w:hAnsi="Calibri" w:cs="Calibri"/>
          <w:sz w:val="22"/>
          <w:szCs w:val="22"/>
        </w:rPr>
        <w:t xml:space="preserve">. </w:t>
      </w:r>
      <w:r w:rsidRPr="004634A8">
        <w:rPr>
          <w:rFonts w:ascii="Calibri" w:hAnsi="Calibri" w:cs="Calibri"/>
          <w:sz w:val="22"/>
          <w:szCs w:val="22"/>
        </w:rPr>
        <w:t>Against this backdrop, proposals to increase capacity by around 200 educational psychologists per year are unlikely on their own to meet demand.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For EaH to succeed, there must be clear minimum service expectations, robust joint workforce planning, pooled budgets and clear accountability between education and health services. Without addressing these underlying capacity issues, </w:t>
      </w:r>
      <w:r w:rsidRPr="004634A8">
        <w:rPr>
          <w:rFonts w:ascii="Calibri" w:hAnsi="Calibri" w:cs="Calibri"/>
          <w:sz w:val="22"/>
          <w:szCs w:val="22"/>
        </w:rPr>
        <w:t xml:space="preserve">it is overly ambitious to expect </w:t>
      </w:r>
      <w:r w:rsidRPr="004634A8">
        <w:rPr>
          <w:rFonts w:ascii="Calibri" w:hAnsi="Calibri" w:cs="Calibri"/>
          <w:sz w:val="22"/>
          <w:szCs w:val="22"/>
        </w:rPr>
        <w:t>joint-services</w:t>
      </w:r>
      <w:r w:rsidRPr="004634A8">
        <w:rPr>
          <w:rFonts w:ascii="Calibri" w:hAnsi="Calibri" w:cs="Calibri"/>
          <w:sz w:val="22"/>
          <w:szCs w:val="22"/>
        </w:rPr>
        <w:t xml:space="preserve"> to function effectively. </w:t>
      </w:r>
    </w:p>
    <w:p w:rsidR="004E1BAA" w:rsidRPr="004634A8" w:rsidP="00A14728">
      <w:pPr>
        <w:spacing w:before="240" w:beforeLines="100" w:after="240" w:afterLines="100"/>
        <w:rPr>
          <w:rFonts w:ascii="Calibri" w:hAnsi="Calibri" w:cs="Calibri"/>
          <w:b/>
          <w:bCs/>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Enrichment, belonging and behaviour</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How schools can promote belonging and positive relationships, whilst also addressing bullying and discrimination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Central to promoting belonging is ensuring that inclusion becomes a universal part of a school's identity rather than something that is only activated once a child has a formal diagnosis, ISP or EHCP. We strongly support the principle of "Inclusion by Default", as outlined by the Neurodiversity Task and Finish Group. Many of the adjustments currently secured through lengthy statutory processes are neither specialist nor exceptional. They are reasonable, low-cost and evidence-based adaptations that can be em</w:t>
      </w:r>
      <w:r w:rsidRPr="004634A8">
        <w:rPr>
          <w:rFonts w:ascii="Calibri" w:hAnsi="Calibri" w:cs="Calibri"/>
          <w:sz w:val="22"/>
          <w:szCs w:val="22"/>
        </w:rPr>
        <w:t>bedded within the universal offer available to all pupils.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genuinely inclusive school culture helps ensure autistic children feel welcomed, supported and understood. If a child feels their school wants them to succeed and is prepared to make reasonable adjustments without resistance, they are far more likely to develop a sense of belonging.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Addressing bullying and discrimination is a key part of this. A major driver of bullying is misunderstanding, both from staff and peers. Poor understanding of autism remains a significant systemic barrier. The National Autistic Society has found that 7 in 10 autistic pupils said their teachers did not understand enough about autism. This is perhaps unsurprising given that only 39% of teachers have received more than half a day of autism training, falling to just 14% of secondary school</w:t>
      </w:r>
      <w:r w:rsidRPr="004634A8">
        <w:rPr>
          <w:rFonts w:ascii="Calibri" w:hAnsi="Calibri" w:cs="Calibri"/>
          <w:b/>
          <w:bCs/>
          <w:sz w:val="22"/>
          <w:szCs w:val="22"/>
        </w:rPr>
        <w:t xml:space="preserve"> </w:t>
      </w:r>
      <w:r w:rsidRPr="004634A8">
        <w:rPr>
          <w:rFonts w:ascii="Calibri" w:hAnsi="Calibri" w:cs="Calibri"/>
          <w:sz w:val="22"/>
          <w:szCs w:val="22"/>
        </w:rPr>
        <w:t>teachers.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Improving belonging therefore requires substantial investment in autism training across the workforce. However, understanding must extend beyond staff. Schools should actively promote awareness and acceptance of neurodiversity among pupils by embedding learning about neurodiversity within the curriculum, using evidence-based programmes such as Learning About Neurodiversity in Schools (LEANS), providing structured opportunities for social connection, and implementing robust anti-bullying and anti-discriminat</w:t>
      </w:r>
      <w:r w:rsidRPr="004634A8">
        <w:rPr>
          <w:rFonts w:ascii="Calibri" w:hAnsi="Calibri" w:cs="Calibri"/>
          <w:sz w:val="22"/>
          <w:szCs w:val="22"/>
        </w:rPr>
        <w:t>ion policies.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need for greater peer understanding is particularly clear given that only 8% of autistic pupils felt their peers understood enough about autism. Improving understanding amongst both staff and pupils would help reduce bullying, strengthen relationships and create more inclusive school communities.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As the Government develops Attendance and Behaviour Hubs, these should include specific training on autism, neurodiversity and how autistic children and young people may present differently, ensuring schools have access to evidence-based approaches that promote inclusion and belonging.</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role of the proposed Pupil Engagement Framework in enhancing pupils’ sense of belonging and enjoyment of school</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proposed Pupil Engagement Framework has the potential to be transformational if it genuinely centres children's experiences within school improvement and accountability systems.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key weakness within the current system is that schools are often judged through attainment and attendance data alone, with insufficient attention paid to whether children feel safe, included and engaged. The proposal that schools monitor pupils' sense of belonging and engagement is therefore strongly welcomed. The D</w:t>
      </w:r>
      <w:r w:rsidRPr="004634A8">
        <w:rPr>
          <w:rFonts w:ascii="Calibri" w:hAnsi="Calibri" w:cs="Calibri"/>
          <w:sz w:val="22"/>
          <w:szCs w:val="22"/>
        </w:rPr>
        <w:t>fE</w:t>
      </w:r>
      <w:r w:rsidRPr="004634A8">
        <w:rPr>
          <w:rFonts w:ascii="Calibri" w:hAnsi="Calibri" w:cs="Calibri"/>
          <w:sz w:val="22"/>
          <w:szCs w:val="22"/>
        </w:rPr>
        <w:t>'s ambition that by 2029 every school should monitor pupils' sense of belonging and engagement, particularly amongst disadvantaged pupils and those with SEND, represents a significant step forward.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For autistic children and young people, feeling that they belong can often be the difference between thriving and disengaging from education. The framework should therefore place a strong emphasis on measuring whether children feel understood, respected and able to participate meaningfully in school life.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Importantly, the success of the framework should be judged not by whether schools collect information, but by whether pupil feedback actively shapes practice and drives improvement.</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How enrichment and pupil engagement will be measured and incorporated into school accountability frameworks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Pupil voice must be at the centre of measuring enrichment, engagement and belonging. The most effective way to understand whether reforms are working is to ask children directly about their experiences through regular and meaningful wellbeing and engagement surveys.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strongly welcome proposals to introduce wellbeing surveys and broader measures of pupil experience. These would provide valuable evidence about whether efforts to improve belonging are having the desired effect and would help move accountability beyond narrow attainment-focused measures.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However, these measures must not sit separately from accountability frameworks. Wellbeing, engagement and belonging should form part of Ofsted's assessment of inclusion </w:t>
      </w:r>
      <w:r w:rsidRPr="004634A8">
        <w:rPr>
          <w:rFonts w:ascii="Calibri" w:hAnsi="Calibri" w:cs="Calibri"/>
          <w:sz w:val="22"/>
          <w:szCs w:val="22"/>
        </w:rPr>
        <w:t>and school effectiveness. Schools should be expected to demonstrate how they gather pupil feedback, respond to concerns and improve outcomes over time.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There must also be clear consequences where schools consistently fail to create inclusive environments or where pupil feedback indicates poor experiences for children with SEND. If belonging is truly viewed as a key educational outcome, it needs to carry meaningful weight within accountability systems rather than being treated as supplementary information.</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Measures to improve pupil behaviour, including schools' approaches to suspension and exclusion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significant overhaul of behaviour policy is needed if schools are to become genuinely inclusive.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Current approaches too often interpret behaviour through a disciplinary lens rather than understanding it as a communication of unmet need. This is particularly problematic for autistic pupils. The most common reason cited for permanent exclusion remains "persistent disruptive behaviour</w:t>
      </w:r>
      <w:r w:rsidRPr="004634A8">
        <w:rPr>
          <w:rFonts w:ascii="Calibri" w:hAnsi="Calibri" w:cs="Calibri"/>
          <w:b/>
          <w:bCs/>
          <w:sz w:val="22"/>
          <w:szCs w:val="22"/>
        </w:rPr>
        <w:t>"</w:t>
      </w:r>
      <w:r w:rsidRPr="004634A8">
        <w:rPr>
          <w:rFonts w:ascii="Calibri" w:hAnsi="Calibri" w:cs="Calibri"/>
          <w:sz w:val="22"/>
          <w:szCs w:val="22"/>
        </w:rPr>
        <w:t>, yet this behaviour is frequently driven by anxiety, distress, sensory overload or other unmet needs rather than deliberate misconduct.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Autistic pupils are disproportionately represented in absence, suspension and exclusion data, while also being overrepresented among children experiencing emotional based school avoidance (EBSA). These patterns indicate that many school environments are not meeting autistic pupils' needs effectively.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Rigid "zero tolerance" approaches are inherently non-inclusive because they prioritise compliance over understanding. Such policies risk reinforcing harmful assumptions that autistic children are badly behaved rather than recognising that behaviour often reflects fear, overwhelm or a need for support.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Schools should move towards flexible, evidence-based approaches that prioritise understanding, regulation and support. Staff training is central to this. Greater understanding of autism, sensory needs, anxiety and communication differences would enable schools to identify underlying causes of behaviour and intervene before situations escalate to exclusion.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Improving behaviour outcomes therefore requires cultural change, not simply stronger disciplinary processes.</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Reforms to the complaints system, including the introduction of a digital complaints-handling system, support for schools to monitor complaints, and improved information for parents and families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Improvements to complaints systems are welcome, particularly efforts to modernise processes through digital systems and improve access to information for families. These reforms may help make complaints easier to submit, track and monitor.</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However, complaints systems should not be viewed as the primary mechanism for accountability, particularly in relation to inclusion and SEND provision.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fundamental challenge is not administrative inefficiency but a lack of independence. Complaints processes that are largely managed within schools can undermine trust and risk damaging relationships between families and education settings. Parents are often reluctant to pursue complaints when doing so may affect their ongoing relationship with the staff responsible for supporting their child.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While digital complaints handling may improve efficiency, it does not address these underlying concerns. Greater transparency and independence are needed if complaints systems are to command confidence amongst families.</w:t>
      </w:r>
    </w:p>
    <w:p w:rsidR="004E1BAA" w:rsidRPr="004634A8" w:rsidP="00A14728">
      <w:pPr>
        <w:spacing w:before="240" w:beforeLines="100" w:after="240" w:afterLines="100"/>
        <w:rPr>
          <w:rFonts w:ascii="Calibri" w:hAnsi="Calibri" w:cs="Calibri"/>
          <w:b/>
          <w:bCs/>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School Admissions</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fairness and transparency of admissions arrangements, including banding and fair access protocols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Our main concern with school admissions is the lack of preventative measures within the system to ensure that decisions are driven primarily by a child’s needs rather than the financial pressures faced by individual settings or local systems. Any admissions framework should prioritise identifying the setting in which a child is most likely to thrive, rather than balancing budgets or managing capacity pressures.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This concern is compounded by the proposed changes to the SEND Tribunal. It is deeply problematic that tribunals will no longer </w:t>
      </w:r>
      <w:r w:rsidRPr="004634A8">
        <w:rPr>
          <w:rFonts w:ascii="Calibri" w:hAnsi="Calibri" w:cs="Calibri"/>
          <w:sz w:val="22"/>
          <w:szCs w:val="22"/>
        </w:rPr>
        <w:t>have the ability to</w:t>
      </w:r>
      <w:r w:rsidRPr="004634A8">
        <w:rPr>
          <w:rFonts w:ascii="Calibri" w:hAnsi="Calibri" w:cs="Calibri"/>
          <w:sz w:val="22"/>
          <w:szCs w:val="22"/>
        </w:rPr>
        <w:t xml:space="preserve"> directly determine school placements. While local authorities will be required to reconsider decisions following tribunal findings, the responsibility ultimately returns to the same body that made the original decision. It remains unclear how </w:t>
      </w:r>
      <w:r w:rsidRPr="004634A8">
        <w:rPr>
          <w:rFonts w:ascii="Calibri" w:hAnsi="Calibri" w:cs="Calibri"/>
          <w:sz w:val="22"/>
          <w:szCs w:val="22"/>
        </w:rPr>
        <w:t>this process will operate in practice, how many times decisions can be reconsidered or challenged, and what safeguards exist to prevent lengthy delays.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There is a risk that these changes could increase rather than reduce the time children spend waiting for an appropriate placement, potentially leaving some children out of education for longer </w:t>
      </w:r>
      <w:r w:rsidRPr="004634A8">
        <w:rPr>
          <w:rFonts w:ascii="Calibri" w:hAnsi="Calibri" w:cs="Calibri"/>
          <w:sz w:val="22"/>
          <w:szCs w:val="22"/>
        </w:rPr>
        <w:t xml:space="preserve">than necessary </w:t>
      </w:r>
      <w:r w:rsidRPr="004634A8">
        <w:rPr>
          <w:rFonts w:ascii="Calibri" w:hAnsi="Calibri" w:cs="Calibri"/>
          <w:sz w:val="22"/>
          <w:szCs w:val="22"/>
        </w:rPr>
        <w:t>periods. The proposals also create uncertainty for families at a time when confidence in the system is already fragile. The lack of clarity around how disputes will be resolved has caused significant anxiety for parents who are concerned about whether their child will be able to access the provision that best meets their needs.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While it is welcome that local authorities will be required to justify placement decisions, the proposals do not currently provide a clear statutory framework against which those justifications will be assessed. Nor is it clear what independent mechanisms will be available if families or schools believe a justification is flawed. Without stronger safeguards, there is a risk that decisions become influenced by financial considerations rather than evidence of need.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This concern is also relevant to proposals relating to independent specialist provision, including any move towards price caps or greater control of placement costs. While improving value for money is important, cost-control measures should never reduce access to suitable provision where a child's needs cannot be met elsewhere. The underlying solution is not to restrict access to appropriate placements but to ensure there is sufficient capacity across mainstream, specialist and independent provision to meet</w:t>
      </w:r>
      <w:r w:rsidRPr="004634A8">
        <w:rPr>
          <w:rFonts w:ascii="Calibri" w:hAnsi="Calibri" w:cs="Calibri"/>
          <w:sz w:val="22"/>
          <w:szCs w:val="22"/>
        </w:rPr>
        <w:t xml:space="preserve"> demand.</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role of local authorities in coordinating admissions and ensuring fair access to school places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Local authorities have an important role in coordinating admissions and ensuring children and young people are matched with settings that can meet their needs effectively. Their role should involve bringing together education, health and social care partners to make informed decisions based on a comprehensive understanding of a child's needs and the provision available locally.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Placement decisions should be firmly centred on the individual child or young person, </w:t>
      </w:r>
      <w:r w:rsidRPr="004634A8">
        <w:rPr>
          <w:rFonts w:ascii="Calibri" w:hAnsi="Calibri" w:cs="Calibri"/>
          <w:sz w:val="22"/>
          <w:szCs w:val="22"/>
        </w:rPr>
        <w:t>taking into account</w:t>
      </w:r>
      <w:r w:rsidRPr="004634A8">
        <w:rPr>
          <w:rFonts w:ascii="Calibri" w:hAnsi="Calibri" w:cs="Calibri"/>
          <w:sz w:val="22"/>
          <w:szCs w:val="22"/>
        </w:rPr>
        <w:t xml:space="preserve"> their profile of need, the level of support required, and where they are most likely to thrive academically, socially and emotionally. This requires local authorities to work closely with schools, health services and social care partners, ensuring that all relevant expertise informs decision making.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To support this, a robust strategic planning and commissioning model should be developed and used consistently across the country. This model should draw on data from education, health and social care services, alongside local population and demographic data, including ethnicity, gender and socioeconomic background. Better data collection and linkage would allow local systems to understand patterns of need, identify inequalities and plan more effectively for future demand.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A stronger strategic approach would enable local authorities to forecast demand for different types of provision, identify local and regional gaps, evaluate the effectiveness of early intervention and preventative support, and ensure that pressures are shared appropriately across settings rather than concentrated </w:t>
      </w:r>
      <w:r w:rsidRPr="004634A8">
        <w:rPr>
          <w:rFonts w:ascii="Calibri" w:hAnsi="Calibri" w:cs="Calibri"/>
          <w:sz w:val="22"/>
          <w:szCs w:val="22"/>
        </w:rPr>
        <w:t>in particular schools</w:t>
      </w:r>
      <w:r w:rsidRPr="004634A8">
        <w:rPr>
          <w:rFonts w:ascii="Calibri" w:hAnsi="Calibri" w:cs="Calibri"/>
          <w:sz w:val="22"/>
          <w:szCs w:val="22"/>
        </w:rPr>
        <w:t xml:space="preserve"> or areas.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The success of local authorities in coordinating admissions will therefore depend not only on their decision-making powers but on their ability to use robust evidence, coordinate services effectively and plan provision strategically. Without this, the system will remain </w:t>
      </w:r>
      <w:r w:rsidRPr="004634A8">
        <w:rPr>
          <w:rFonts w:ascii="Calibri" w:hAnsi="Calibri" w:cs="Calibri"/>
          <w:sz w:val="22"/>
          <w:szCs w:val="22"/>
        </w:rPr>
        <w:t>reactive, with placement decisions too often shaped by capacity constraints rather than the needs of children and young people.</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Workforce Reform</w:t>
      </w: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Government’s target to recruit 6,500 additional teachers and the feasibility of meeting this commitment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ambition</w:t>
      </w:r>
      <w:r w:rsidRPr="004634A8">
        <w:rPr>
          <w:rFonts w:ascii="Calibri" w:hAnsi="Calibri" w:cs="Calibri"/>
          <w:sz w:val="22"/>
          <w:szCs w:val="22"/>
        </w:rPr>
        <w:t xml:space="preserve"> </w:t>
      </w:r>
      <w:r w:rsidRPr="004634A8">
        <w:rPr>
          <w:rFonts w:ascii="Calibri" w:hAnsi="Calibri" w:cs="Calibri"/>
          <w:sz w:val="22"/>
          <w:szCs w:val="22"/>
        </w:rPr>
        <w:t>is welcome, but recruitment alone will not resolve the challenges facing the education workforce. Retention remains a significant concern, particularly given the pressures associated with supporting children and young people with SEND.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Evidence from our March 2026 survey of professionals highlights the scale of the challenge. Only 5% of respondents said that current funding and staff capacity are enough to fully support children with SEND where they work, while not a single respondent believed the proposed reforms would reduce stress or workload for school staff and professionals. Similarly, 95% of respondents to our campaigners' survey agreed that teachers are not given the resources and support they need.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These findings suggest that workforce pressures stem not only from staffing numbers but from the wider conditions in which staff are working. Without addressing workload, capacity and support, there is a risk that newly recruited teachers enter a system that struggles to retain them. This challenge is likely to be particularly acute in high-need areas where schools are already under significant pressure to meet rising levels of SEND need.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In addition, reforms such as the introduction of Individual Support Plans (ISPs) are likely to create additional responsibilities for school staff. While the policy intention is positive, many teachers and school leaders are concerned about the practical implications of implementing new administrative requirements within an already overstretched system.</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effectiveness of proposed retention measures, including the new teacher retention programme and financial incentives for headteachers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proposed retention measures are welcome, particularly the focus on peer support and measures to prevent burnout among school leaders. Headteachers play a critical role in shaping school culture, workforce wellbeing and educational outcomes, and investment in their retention is important.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However, the proposals represent a missed opportunity if they do not explicitly embed inclusion and autism understanding within leadership development. Headteachers are often the key decision-makers with responsibility for behaviour policies, staff training, resource allocation and wider school culture. They therefore play a central role in determining whether schools become genuinely inclusive environments.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Financial incentives and leadership support programmes should be linked to the development of inclusive leadership practice, including a stronger understanding of autism and neurodiversity. Supporting headteachers to adopt whole-school neuroinclusive approaches would likely have system-wide benefits, improving attendance, reducing exclusions and strengthening pupil wellbeing.</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Retention measures will have the greatest impact when they focus not only on keeping leaders in post but also on ensuring they have the knowledge and confidence required to create environments in which both staff and pupils can thrive.</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Changes to pay and conditions, including maternity pay and the establishment of the School Support Staff Negotiating Body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creation of the School Support Staff Negotiating Body (SSSNB) and reforms to maternity pay are strongly welcomed. Both recognise the importance of supporting and retaining a workforce that is essential to the success of the education system.</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Particularly welcome is the recognition of the role played by teaching assistants and wider support staff. Teaching assistants are often central to delivering support for children and young people with SEND. They frequently help implement adjustments, support communication, build relationships with pupils and families, and provide continuity for children whose needs may not always be understood by wider systems.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However, improving pay alone will not address the challenges facing this workforce. Teaching assistants and support staff are often given significant responsibility for supporting pupils with complex needs while lacking sufficient time, training and access to specialist expertise. This can contribute to stress, burnout and poor retention.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Improving pay and conditions is therefore an important step, but it must be accompanied by investment in training, professional development, career progression and access to specialist support. Combined with maternity pay reforms, these measures should help improve retention and make support roles more sustainable in the long term.</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availability and quality of continuous professional development, mentoring, and leadership support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We strongly welcome the proposal for mandatory training for all school staff and governors. With an estimated 11.2% of children in state schools identified as autistic, autism is no longer a niche or specialist issue but a core part of everyday school life. Every member of the workforce is likely to support autistic pupils during their career, making autism understanding an essential professional competency.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However, the effectiveness of workforce reforms will depend on the quality and depth of this training rather than simply its availability. Training should not consist of a one-off awareness session. It should be evidence-based, practical and embedded within ongoing professional development.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Training should cover:</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Autism and neurodiversity awareness.</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How mental health difficulties can present differently in autistic children and young people.</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Sensory differences and communication needs.</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Masking and identifying signs of distress.</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Reasonable adjustments and inclusive classroom practice.</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Understanding behaviour as communication of unmet need.</w:t>
      </w:r>
    </w:p>
    <w:p w:rsidR="004E1BAA" w:rsidRPr="004634A8" w:rsidP="00A14728">
      <w:pPr>
        <w:pStyle w:val="ListParagraph"/>
        <w:numPr>
          <w:ilvl w:val="0"/>
          <w:numId w:val="11"/>
        </w:numPr>
        <w:spacing w:before="240" w:beforeLines="100" w:after="240" w:afterLines="100"/>
        <w:rPr>
          <w:rFonts w:ascii="Calibri" w:hAnsi="Calibri" w:cs="Calibri"/>
          <w:sz w:val="22"/>
          <w:szCs w:val="22"/>
        </w:rPr>
      </w:pPr>
      <w:r w:rsidRPr="004634A8">
        <w:rPr>
          <w:rFonts w:ascii="Calibri" w:hAnsi="Calibri" w:cs="Calibri"/>
          <w:sz w:val="22"/>
          <w:szCs w:val="22"/>
        </w:rPr>
        <w:t>Strategies to reduce exclusion, absence and disengagement.</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Training should also be </w:t>
      </w:r>
      <w:r w:rsidRPr="004634A8">
        <w:rPr>
          <w:rFonts w:ascii="Calibri" w:hAnsi="Calibri" w:cs="Calibri"/>
          <w:sz w:val="22"/>
          <w:szCs w:val="22"/>
        </w:rPr>
        <w:t>role-specific</w:t>
      </w:r>
      <w:r w:rsidRPr="004634A8">
        <w:rPr>
          <w:rFonts w:ascii="Calibri" w:hAnsi="Calibri" w:cs="Calibri"/>
          <w:sz w:val="22"/>
          <w:szCs w:val="22"/>
        </w:rPr>
        <w:t>. Teachers, SENCOs, governors, school leaders, support staff, lunchtime supervisors and facilities staff all interact with autistic pupils differently and require tailored guidance on how autism relates to their role.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Alongside training, schools should have access to expert advice and mentoring. Programmes such as Experts at Hand could support this by providing specialist input for complex cases, helping staff apply learning in practice rather than relying solely on theoretical knowledge.</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extent to which the proposals address workload, wellbeing, and job satisfaction across the school workforce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proposals acknowledge workforce pressures, but concerns remain about whether they sufficiently address them in practice.</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A particular challenge is the introduction of new responsibilities without corresponding reductions elsewhere. The creation of ISPs, while potentially beneficial for children and families, will inevitably create additional administrative tasks. Given that only 5% of professionals believe current funding and capacity are sufficient, there is a real risk that reforms add workload unless implementation is carefully managed.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To minimise this, schools will require:</w:t>
      </w:r>
    </w:p>
    <w:p w:rsidR="004E1BAA" w:rsidRPr="004634A8" w:rsidP="00A14728">
      <w:pPr>
        <w:pStyle w:val="ListParagraph"/>
        <w:numPr>
          <w:ilvl w:val="0"/>
          <w:numId w:val="12"/>
        </w:numPr>
        <w:spacing w:before="240" w:beforeLines="100" w:after="240" w:afterLines="100"/>
        <w:rPr>
          <w:rFonts w:ascii="Calibri" w:hAnsi="Calibri" w:cs="Calibri"/>
          <w:sz w:val="22"/>
          <w:szCs w:val="22"/>
        </w:rPr>
      </w:pPr>
      <w:r w:rsidRPr="004634A8">
        <w:rPr>
          <w:rFonts w:ascii="Calibri" w:hAnsi="Calibri" w:cs="Calibri"/>
          <w:sz w:val="22"/>
          <w:szCs w:val="22"/>
        </w:rPr>
        <w:t>Clear national guidance on ISP creation and review.</w:t>
      </w:r>
    </w:p>
    <w:p w:rsidR="004E1BAA" w:rsidRPr="004634A8" w:rsidP="00A14728">
      <w:pPr>
        <w:pStyle w:val="ListParagraph"/>
        <w:numPr>
          <w:ilvl w:val="0"/>
          <w:numId w:val="12"/>
        </w:numPr>
        <w:spacing w:before="240" w:beforeLines="100" w:after="240" w:afterLines="100"/>
        <w:rPr>
          <w:rFonts w:ascii="Calibri" w:hAnsi="Calibri" w:cs="Calibri"/>
          <w:sz w:val="22"/>
          <w:szCs w:val="22"/>
        </w:rPr>
      </w:pPr>
      <w:r w:rsidRPr="004634A8">
        <w:rPr>
          <w:rFonts w:ascii="Calibri" w:hAnsi="Calibri" w:cs="Calibri"/>
          <w:sz w:val="22"/>
          <w:szCs w:val="22"/>
        </w:rPr>
        <w:t>Standardised templates and digital systems.</w:t>
      </w:r>
    </w:p>
    <w:p w:rsidR="004E1BAA" w:rsidRPr="004634A8" w:rsidP="00A14728">
      <w:pPr>
        <w:pStyle w:val="ListParagraph"/>
        <w:numPr>
          <w:ilvl w:val="0"/>
          <w:numId w:val="12"/>
        </w:numPr>
        <w:spacing w:before="240" w:beforeLines="100" w:after="240" w:afterLines="100"/>
        <w:rPr>
          <w:rFonts w:ascii="Calibri" w:hAnsi="Calibri" w:cs="Calibri"/>
          <w:sz w:val="22"/>
          <w:szCs w:val="22"/>
        </w:rPr>
      </w:pPr>
      <w:r w:rsidRPr="004634A8">
        <w:rPr>
          <w:rFonts w:ascii="Calibri" w:hAnsi="Calibri" w:cs="Calibri"/>
          <w:sz w:val="22"/>
          <w:szCs w:val="22"/>
        </w:rPr>
        <w:t>Access to specialist advice for more complex cases.</w:t>
      </w:r>
    </w:p>
    <w:p w:rsidR="004E1BAA" w:rsidRPr="004634A8" w:rsidP="00A14728">
      <w:pPr>
        <w:pStyle w:val="ListParagraph"/>
        <w:numPr>
          <w:ilvl w:val="0"/>
          <w:numId w:val="12"/>
        </w:numPr>
        <w:spacing w:before="240" w:beforeLines="100" w:after="240" w:afterLines="100"/>
        <w:rPr>
          <w:rFonts w:ascii="Calibri" w:hAnsi="Calibri" w:cs="Calibri"/>
          <w:sz w:val="22"/>
          <w:szCs w:val="22"/>
        </w:rPr>
      </w:pPr>
      <w:r w:rsidRPr="004634A8">
        <w:rPr>
          <w:rFonts w:ascii="Calibri" w:hAnsi="Calibri" w:cs="Calibri"/>
          <w:sz w:val="22"/>
          <w:szCs w:val="22"/>
        </w:rPr>
        <w:t>Clear thresholds for when external input is required.</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 xml:space="preserve">Workload concerns should not be viewed solely through the lens of capacity. Many difficulties arise because staff often lack the specialist knowledge needed </w:t>
      </w:r>
      <w:r w:rsidRPr="004634A8">
        <w:rPr>
          <w:rFonts w:ascii="Calibri" w:hAnsi="Calibri" w:cs="Calibri"/>
          <w:sz w:val="22"/>
          <w:szCs w:val="22"/>
        </w:rPr>
        <w:t xml:space="preserve">to feel confident </w:t>
      </w:r>
      <w:r w:rsidRPr="004634A8">
        <w:rPr>
          <w:rFonts w:ascii="Calibri" w:hAnsi="Calibri" w:cs="Calibri"/>
          <w:sz w:val="22"/>
          <w:szCs w:val="22"/>
        </w:rPr>
        <w:t>supporting SEND pupils effectively. Better training can improve confidence, reduce uncertainty and help staff respond to needs more efficiently.</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Ultimately, workforce wellbeing depends on staff feeling both supported and equipped to do their jobs well.</w:t>
      </w:r>
    </w:p>
    <w:p w:rsidR="004E1BAA" w:rsidRPr="004634A8" w:rsidP="00A14728">
      <w:pPr>
        <w:spacing w:before="240" w:beforeLines="100" w:after="240" w:afterLines="100"/>
        <w:rPr>
          <w:rFonts w:ascii="Calibri" w:hAnsi="Calibri" w:cs="Calibri"/>
          <w:sz w:val="22"/>
          <w:szCs w:val="22"/>
        </w:rPr>
      </w:pPr>
    </w:p>
    <w:p w:rsidR="004E1BAA" w:rsidRPr="004634A8" w:rsidP="00A14728">
      <w:pPr>
        <w:spacing w:before="240" w:beforeLines="100" w:after="240" w:afterLines="100"/>
        <w:rPr>
          <w:rFonts w:ascii="Calibri" w:hAnsi="Calibri" w:cs="Calibri"/>
          <w:b/>
          <w:bCs/>
          <w:sz w:val="22"/>
          <w:szCs w:val="22"/>
        </w:rPr>
      </w:pPr>
      <w:r w:rsidRPr="004634A8">
        <w:rPr>
          <w:rFonts w:ascii="Calibri" w:hAnsi="Calibri" w:cs="Calibri"/>
          <w:b/>
          <w:bCs/>
          <w:sz w:val="22"/>
          <w:szCs w:val="22"/>
        </w:rPr>
        <w:t>The likely impact of workforce reforms on teacher recruitment, retention, and school leadership capacity, particularly in high-need areas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 proposed workforce reforms have the potential to make a positive contribution to recruitment and retention, particularly through improvements to pay, conditions, leadership support and professional development. However, their success will depend on whether they address the underlying issues driving staff dissatisfaction.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There exists</w:t>
      </w:r>
      <w:r w:rsidRPr="004634A8">
        <w:rPr>
          <w:rFonts w:ascii="Calibri" w:hAnsi="Calibri" w:cs="Calibri"/>
          <w:sz w:val="22"/>
          <w:szCs w:val="22"/>
        </w:rPr>
        <w:t xml:space="preserve"> significant concern across the workforce. The fact that 95% of campaigners believe teachers lack the resources and support they need, and that no professionals surveyed believed the reforms would reduce workload, suggests low confidence among those responsible for delivering the reforms.</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To improve recruitment and retention, particularly in high-need areas, workforce reforms must be accompanied by:</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Increased capacity and funding.</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High-quality professional development on SEND, autism and mental health.</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Greater access to specialist support.</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Clearer accountability arrangements.</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Reduced administrative burden.</w:t>
      </w:r>
    </w:p>
    <w:p w:rsidR="004E1BAA" w:rsidRPr="004634A8" w:rsidP="00A14728">
      <w:pPr>
        <w:pStyle w:val="ListParagraph"/>
        <w:numPr>
          <w:ilvl w:val="0"/>
          <w:numId w:val="13"/>
        </w:numPr>
        <w:spacing w:before="240" w:beforeLines="100" w:after="240" w:afterLines="100"/>
        <w:rPr>
          <w:rFonts w:ascii="Calibri" w:hAnsi="Calibri" w:cs="Calibri"/>
          <w:sz w:val="22"/>
          <w:szCs w:val="22"/>
        </w:rPr>
      </w:pPr>
      <w:r w:rsidRPr="004634A8">
        <w:rPr>
          <w:rFonts w:ascii="Calibri" w:hAnsi="Calibri" w:cs="Calibri"/>
          <w:sz w:val="22"/>
          <w:szCs w:val="22"/>
        </w:rPr>
        <w:t>Stronger support for wellbeing and career progression.</w:t>
      </w:r>
    </w:p>
    <w:p w:rsidR="004E1BAA" w:rsidRPr="004634A8" w:rsidP="00A14728">
      <w:pPr>
        <w:pStyle w:val="ListParagraph"/>
        <w:numPr>
          <w:ilvl w:val="0"/>
          <w:numId w:val="8"/>
        </w:numPr>
        <w:spacing w:before="240" w:beforeLines="100" w:after="240" w:afterLines="100"/>
        <w:contextualSpacing w:val="0"/>
        <w:rPr>
          <w:rFonts w:ascii="Calibri" w:hAnsi="Calibri" w:cs="Calibri"/>
          <w:sz w:val="22"/>
          <w:szCs w:val="22"/>
        </w:rPr>
      </w:pPr>
      <w:r w:rsidRPr="004634A8">
        <w:rPr>
          <w:rFonts w:ascii="Calibri" w:hAnsi="Calibri" w:cs="Calibri"/>
          <w:sz w:val="22"/>
          <w:szCs w:val="22"/>
        </w:rPr>
        <w:t>Without these foundations, there is a risk that reforms increase expectations on an already stretched workforce. With them, however, there is an opportunity to improve teacher retention, strengthen school leadership and build a workforce that is better equipped to support all children and young people, including those with SEND.</w:t>
      </w:r>
    </w:p>
    <w:p w:rsidR="004E1BAA" w:rsidRPr="004634A8">
      <w:pPr>
        <w:rPr>
          <w:rFonts w:ascii="Calibri" w:hAnsi="Calibri" w:cs="Calibri"/>
          <w:i/>
          <w:iCs/>
          <w:sz w:val="22"/>
          <w:szCs w:val="22"/>
        </w:rPr>
      </w:pPr>
      <w:r w:rsidRPr="004634A8">
        <w:rPr>
          <w:rFonts w:ascii="Calibri" w:hAnsi="Calibri" w:cs="Calibri"/>
          <w:i/>
          <w:iCs/>
          <w:sz w:val="22"/>
          <w:szCs w:val="22"/>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F35C1D"/>
    <w:multiLevelType w:val="hybridMultilevel"/>
    <w:tmpl w:val="1528DE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4D64E2"/>
    <w:multiLevelType w:val="hybridMultilevel"/>
    <w:tmpl w:val="CBE23F6C"/>
    <w:lvl w:ilvl="0">
      <w:start w:val="1"/>
      <w:numFmt w:val="decimal"/>
      <w:suff w:val="space"/>
      <w:lvlText w:val="%1."/>
      <w:lvlJc w:val="left"/>
      <w:pPr>
        <w:ind w:left="720" w:hanging="323"/>
      </w:pPr>
      <w:rPr>
        <w:rFonts w:ascii="Aptos" w:hAnsi="Apto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F3F1E19"/>
    <w:multiLevelType w:val="multilevel"/>
    <w:tmpl w:val="9C0E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4F0116"/>
    <w:multiLevelType w:val="hybridMultilevel"/>
    <w:tmpl w:val="D214E764"/>
    <w:lvl w:ilvl="0">
      <w:start w:val="1"/>
      <w:numFmt w:val="bullet"/>
      <w:lvlText w:val=""/>
      <w:lvlJc w:val="left"/>
      <w:pPr>
        <w:ind w:left="1117" w:hanging="360"/>
      </w:pPr>
      <w:rPr>
        <w:rFonts w:ascii="Symbol" w:hAnsi="Symbol" w:hint="default"/>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4">
    <w:nsid w:val="2AA25403"/>
    <w:multiLevelType w:val="hybridMultilevel"/>
    <w:tmpl w:val="5FAC9FB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478326F3"/>
    <w:multiLevelType w:val="hybridMultilevel"/>
    <w:tmpl w:val="E3025B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33D09CF"/>
    <w:multiLevelType w:val="hybridMultilevel"/>
    <w:tmpl w:val="0ABC3B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3565F7C"/>
    <w:multiLevelType w:val="multilevel"/>
    <w:tmpl w:val="BA74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F74961"/>
    <w:multiLevelType w:val="multilevel"/>
    <w:tmpl w:val="C3C4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097B17"/>
    <w:multiLevelType w:val="hybridMultilevel"/>
    <w:tmpl w:val="F5E87AE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66A640E9"/>
    <w:multiLevelType w:val="hybridMultilevel"/>
    <w:tmpl w:val="E19A88E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68554841"/>
    <w:multiLevelType w:val="hybridMultilevel"/>
    <w:tmpl w:val="5830C5E4"/>
    <w:lvl w:ilvl="0">
      <w:start w:val="1"/>
      <w:numFmt w:val="bullet"/>
      <w:lvlText w:val=""/>
      <w:lvlJc w:val="left"/>
      <w:pPr>
        <w:ind w:left="1117" w:hanging="360"/>
      </w:pPr>
      <w:rPr>
        <w:rFonts w:ascii="Symbol" w:hAnsi="Symbol" w:hint="default"/>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2">
    <w:nsid w:val="71BB6B6B"/>
    <w:multiLevelType w:val="multilevel"/>
    <w:tmpl w:val="4ED2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884E94"/>
    <w:multiLevelType w:val="hybridMultilevel"/>
    <w:tmpl w:val="A35C6F52"/>
    <w:lvl w:ilvl="0">
      <w:start w:val="1"/>
      <w:numFmt w:val="decimal"/>
      <w:lvlText w:val="%1."/>
      <w:lvlJc w:val="left"/>
      <w:pPr>
        <w:ind w:left="720" w:hanging="360"/>
      </w:pPr>
      <w:rPr>
        <w:rFonts w:ascii="Aptos" w:hAnsi="Apto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7"/>
  </w:num>
  <w:num w:numId="3">
    <w:abstractNumId w:val="12"/>
  </w:num>
  <w:num w:numId="4">
    <w:abstractNumId w:val="8"/>
  </w:num>
  <w:num w:numId="5">
    <w:abstractNumId w:val="2"/>
  </w:num>
  <w:num w:numId="6">
    <w:abstractNumId w:val="5"/>
  </w:num>
  <w:num w:numId="7">
    <w:abstractNumId w:val="0"/>
  </w:num>
  <w:num w:numId="8">
    <w:abstractNumId w:val="1"/>
  </w:num>
  <w:num w:numId="9">
    <w:abstractNumId w:val="4"/>
  </w:num>
  <w:num w:numId="10">
    <w:abstractNumId w:val="13"/>
  </w:num>
  <w:num w:numId="11">
    <w:abstractNumId w:val="9"/>
  </w:num>
  <w:num w:numId="12">
    <w:abstractNumId w:val="3"/>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6453"/>
  </w:style>
  <w:style w:type="paragraph" w:styleId="Heading1">
    <w:name w:val="heading 1"/>
    <w:basedOn w:val="Normal"/>
    <w:next w:val="Normal"/>
    <w:link w:val="Heading1Char"/>
    <w:uiPriority w:val="9"/>
    <w:qFormat/>
    <w:rsid w:val="00AE6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453"/>
    <w:rPr>
      <w:rFonts w:eastAsiaTheme="majorEastAsia" w:cstheme="majorBidi"/>
      <w:color w:val="272727" w:themeColor="text1" w:themeTint="D8"/>
    </w:rPr>
  </w:style>
  <w:style w:type="paragraph" w:styleId="Title">
    <w:name w:val="Title"/>
    <w:basedOn w:val="Normal"/>
    <w:next w:val="Normal"/>
    <w:link w:val="TitleChar"/>
    <w:uiPriority w:val="10"/>
    <w:qFormat/>
    <w:rsid w:val="00AE6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453"/>
    <w:pPr>
      <w:spacing w:before="160"/>
      <w:jc w:val="center"/>
    </w:pPr>
    <w:rPr>
      <w:i/>
      <w:iCs/>
      <w:color w:val="404040" w:themeColor="text1" w:themeTint="BF"/>
    </w:rPr>
  </w:style>
  <w:style w:type="character" w:customStyle="1" w:styleId="QuoteChar">
    <w:name w:val="Quote Char"/>
    <w:basedOn w:val="DefaultParagraphFont"/>
    <w:link w:val="Quote"/>
    <w:uiPriority w:val="29"/>
    <w:rsid w:val="00AE6453"/>
    <w:rPr>
      <w:i/>
      <w:iCs/>
      <w:color w:val="404040" w:themeColor="text1" w:themeTint="BF"/>
    </w:rPr>
  </w:style>
  <w:style w:type="paragraph" w:styleId="ListParagraph">
    <w:name w:val="List Paragraph"/>
    <w:basedOn w:val="Normal"/>
    <w:uiPriority w:val="34"/>
    <w:qFormat/>
    <w:rsid w:val="00AE6453"/>
    <w:pPr>
      <w:ind w:left="720"/>
      <w:contextualSpacing/>
    </w:pPr>
  </w:style>
  <w:style w:type="character" w:styleId="IntenseEmphasis">
    <w:name w:val="Intense Emphasis"/>
    <w:basedOn w:val="DefaultParagraphFont"/>
    <w:uiPriority w:val="21"/>
    <w:qFormat/>
    <w:rsid w:val="00AE6453"/>
    <w:rPr>
      <w:i/>
      <w:iCs/>
      <w:color w:val="0F4761" w:themeColor="accent1" w:themeShade="BF"/>
    </w:rPr>
  </w:style>
  <w:style w:type="paragraph" w:styleId="IntenseQuote">
    <w:name w:val="Intense Quote"/>
    <w:basedOn w:val="Normal"/>
    <w:next w:val="Normal"/>
    <w:link w:val="IntenseQuoteChar"/>
    <w:uiPriority w:val="30"/>
    <w:qFormat/>
    <w:rsid w:val="00AE6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453"/>
    <w:rPr>
      <w:i/>
      <w:iCs/>
      <w:color w:val="0F4761" w:themeColor="accent1" w:themeShade="BF"/>
    </w:rPr>
  </w:style>
  <w:style w:type="character" w:styleId="IntenseReference">
    <w:name w:val="Intense Reference"/>
    <w:basedOn w:val="DefaultParagraphFont"/>
    <w:uiPriority w:val="32"/>
    <w:qFormat/>
    <w:rsid w:val="00AE6453"/>
    <w:rPr>
      <w:b/>
      <w:bCs/>
      <w:smallCaps/>
      <w:color w:val="0F4761" w:themeColor="accent1" w:themeShade="BF"/>
      <w:spacing w:val="5"/>
    </w:rPr>
  </w:style>
  <w:style w:type="paragraph" w:styleId="Header">
    <w:name w:val="header"/>
    <w:basedOn w:val="Normal"/>
    <w:link w:val="HeaderChar"/>
    <w:uiPriority w:val="99"/>
    <w:unhideWhenUsed/>
    <w:rsid w:val="00623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0F6"/>
  </w:style>
  <w:style w:type="paragraph" w:styleId="Footer">
    <w:name w:val="footer"/>
    <w:basedOn w:val="Normal"/>
    <w:link w:val="FooterChar"/>
    <w:uiPriority w:val="99"/>
    <w:unhideWhenUsed/>
    <w:rsid w:val="00623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0F6"/>
  </w:style>
  <w:style w:type="character" w:styleId="Hyperlink">
    <w:name w:val="Hyperlink"/>
    <w:basedOn w:val="DefaultParagraphFont"/>
    <w:uiPriority w:val="99"/>
    <w:unhideWhenUsed/>
    <w:rsid w:val="00C10858"/>
    <w:rPr>
      <w:color w:val="467886" w:themeColor="hyperlink"/>
      <w:u w:val="single"/>
    </w:rPr>
  </w:style>
  <w:style w:type="character" w:customStyle="1" w:styleId="UnresolvedMention1">
    <w:name w:val="Unresolved Mention1"/>
    <w:basedOn w:val="DefaultParagraphFont"/>
    <w:uiPriority w:val="99"/>
    <w:semiHidden/>
    <w:unhideWhenUsed/>
    <w:rsid w:val="00C10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ECA0117</dc:title>
  <cp:revision>0</cp:revision>
</cp:coreProperties>
</file>