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11/relationships/webextensiontaskpanes" Target="word/webextensions/taskpanes.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4806" w:rsidP="00AC631B">
      <w:pPr>
        <w:rPr>
          <w:rStyle w:val="normaltextrun"/>
          <w:rFonts w:ascii="Arial" w:hAnsi="Arial" w:cs="Arial"/>
          <w:color w:val="FF591F"/>
          <w:sz w:val="32"/>
          <w:szCs w:val="32"/>
          <w:bdr w:val="nil"/>
        </w:rPr>
      </w:pPr>
      <w:r w:rsidRPr="004C74A6">
        <w:rPr>
          <w:rStyle w:val="normaltextrun"/>
          <w:rFonts w:ascii="Arial" w:hAnsi="Arial" w:cs="Arial"/>
          <w:i/>
          <w:iCs/>
          <w:color w:val="FF591F"/>
          <w:sz w:val="32"/>
          <w:szCs w:val="32"/>
          <w:bdr w:val="nil"/>
        </w:rPr>
        <w:t>Every Child Achieving and Thriving</w:t>
      </w:r>
      <w:r>
        <w:rPr>
          <w:rStyle w:val="normaltextrun"/>
          <w:rFonts w:ascii="Arial" w:hAnsi="Arial" w:cs="Arial"/>
          <w:color w:val="FF591F"/>
          <w:sz w:val="32"/>
          <w:szCs w:val="32"/>
          <w:bdr w:val="nil"/>
        </w:rPr>
        <w:t xml:space="preserve"> </w:t>
      </w:r>
      <w:r>
        <w:rPr>
          <w:rStyle w:val="normaltextrun"/>
          <w:rFonts w:ascii="Arial" w:hAnsi="Arial" w:cs="Arial"/>
          <w:color w:val="FF591F"/>
          <w:sz w:val="32"/>
          <w:szCs w:val="32"/>
          <w:bdr w:val="nil"/>
        </w:rPr>
        <w:t>Education Committee Call for Evidence</w:t>
      </w:r>
    </w:p>
    <w:p w:rsidR="00FA02C9" w:rsidP="00AC631B">
      <w:pPr>
        <w:rPr>
          <w:rStyle w:val="normaltextrun"/>
          <w:rFonts w:ascii="Arial" w:hAnsi="Arial" w:cs="Arial"/>
          <w:color w:val="FF591F"/>
          <w:sz w:val="28"/>
          <w:szCs w:val="28"/>
          <w:bdr w:val="nil"/>
        </w:rPr>
      </w:pPr>
      <w:r w:rsidRPr="004C74A6">
        <w:rPr>
          <w:rStyle w:val="normaltextrun"/>
          <w:rFonts w:ascii="Arial" w:hAnsi="Arial" w:cs="Arial"/>
          <w:color w:val="FF591F"/>
          <w:sz w:val="28"/>
          <w:szCs w:val="28"/>
          <w:bdr w:val="nil"/>
        </w:rPr>
        <w:t xml:space="preserve">Written evidence submitted by </w:t>
      </w:r>
      <w:r w:rsidRPr="004C74A6">
        <w:rPr>
          <w:rStyle w:val="normaltextrun"/>
          <w:rFonts w:ascii="Arial" w:hAnsi="Arial" w:cs="Arial"/>
          <w:color w:val="FF591F"/>
          <w:sz w:val="28"/>
          <w:szCs w:val="28"/>
          <w:bdr w:val="nil"/>
        </w:rPr>
        <w:t>Impetus</w:t>
      </w:r>
      <w:r w:rsidR="004C74A6">
        <w:rPr>
          <w:rStyle w:val="normaltextrun"/>
          <w:rFonts w:ascii="Arial" w:hAnsi="Arial" w:cs="Arial"/>
          <w:color w:val="FF591F"/>
          <w:sz w:val="28"/>
          <w:szCs w:val="28"/>
          <w:bdr w:val="nil"/>
        </w:rPr>
        <w:t>, July 2026</w:t>
      </w:r>
    </w:p>
    <w:p w:rsidR="002F1521" w:rsidP="002F1521">
      <w:pPr>
        <w:pStyle w:val="paragraph"/>
        <w:spacing w:before="0" w:beforeAutospacing="0" w:after="0" w:afterAutospacing="0"/>
        <w:textAlignment w:val="baseline"/>
        <w:rPr>
          <w:rStyle w:val="normaltextrun"/>
          <w:rFonts w:ascii="Arial" w:hAnsi="Arial" w:cs="Arial"/>
          <w:lang w:val="en-US"/>
        </w:rPr>
      </w:pPr>
      <w:r w:rsidRPr="009E333F">
        <w:rPr>
          <w:rStyle w:val="normaltextrun"/>
          <w:rFonts w:ascii="Arial" w:hAnsi="Arial" w:cs="Arial"/>
          <w:lang w:val="en-US"/>
        </w:rPr>
        <w:t>Impetus</w:t>
      </w:r>
      <w:r w:rsidRPr="00497E32">
        <w:rPr>
          <w:rStyle w:val="normaltextrun"/>
          <w:rFonts w:ascii="Arial" w:hAnsi="Arial" w:cs="Arial"/>
          <w:lang w:val="en-US"/>
        </w:rPr>
        <w:t> is the leading impact funder, transforming the lives of young people from disadvantaged</w:t>
      </w:r>
      <w:r w:rsidRPr="00497E32" w:rsidR="00B6131E">
        <w:rPr>
          <w:rStyle w:val="superscript"/>
          <w:rFonts w:ascii="Arial" w:hAnsi="Arial" w:cs="Arial"/>
          <w:vertAlign w:val="superscript"/>
          <w:lang w:val="en-US"/>
        </w:rPr>
        <w:t xml:space="preserve"> </w:t>
      </w:r>
      <w:r w:rsidRPr="00497E32">
        <w:rPr>
          <w:rStyle w:val="normaltextrun"/>
          <w:rFonts w:ascii="Arial" w:hAnsi="Arial" w:cs="Arial"/>
          <w:lang w:val="en-US"/>
        </w:rPr>
        <w:t>backgrounds by investing in the best education and employment non-profit </w:t>
      </w:r>
      <w:r w:rsidRPr="00497E32">
        <w:rPr>
          <w:rStyle w:val="normaltextrun"/>
          <w:rFonts w:ascii="Arial" w:hAnsi="Arial" w:cs="Arial"/>
          <w:lang w:val="en-US"/>
        </w:rPr>
        <w:t>organisations</w:t>
      </w:r>
      <w:r w:rsidR="00EB36B6">
        <w:rPr>
          <w:rStyle w:val="normaltextrun"/>
          <w:rFonts w:ascii="Arial" w:hAnsi="Arial" w:cs="Arial"/>
          <w:lang w:val="en-US"/>
        </w:rPr>
        <w:t>.</w:t>
      </w:r>
      <w:r>
        <w:rPr>
          <w:rStyle w:val="FootnoteReference"/>
          <w:rFonts w:ascii="Arial" w:hAnsi="Arial" w:cs="Arial"/>
          <w:lang w:val="en-US"/>
        </w:rPr>
        <w:footnoteReference w:id="2"/>
      </w:r>
      <w:r w:rsidRPr="00497E32">
        <w:rPr>
          <w:rStyle w:val="normaltextrun"/>
          <w:rFonts w:ascii="Arial" w:hAnsi="Arial" w:cs="Arial"/>
          <w:lang w:val="en-US"/>
        </w:rPr>
        <w:t xml:space="preserve"> We give them long-term funding, pro-bono support and our strategic expertise, and influence policy to deliver systemic change, so that more young people get the education, qualifications, and opportunities they need for a fulfilling life. </w:t>
      </w:r>
    </w:p>
    <w:p w:rsidR="002F1521" w:rsidP="002F1521">
      <w:pPr>
        <w:pStyle w:val="paragraph"/>
        <w:spacing w:before="0" w:beforeAutospacing="0" w:after="0" w:afterAutospacing="0"/>
        <w:textAlignment w:val="baseline"/>
        <w:rPr>
          <w:rStyle w:val="normaltextrun"/>
          <w:rFonts w:ascii="Arial" w:hAnsi="Arial" w:cs="Arial"/>
          <w:lang w:val="en-US"/>
        </w:rPr>
      </w:pPr>
    </w:p>
    <w:p w:rsidR="00EB76F2" w:rsidP="002F1521">
      <w:pPr>
        <w:pStyle w:val="paragraph"/>
        <w:spacing w:before="0" w:beforeAutospacing="0" w:after="0" w:afterAutospacing="0"/>
        <w:textAlignment w:val="baseline"/>
        <w:rPr>
          <w:rStyle w:val="normaltextrun"/>
          <w:rFonts w:ascii="Arial" w:hAnsi="Arial" w:cs="Arial"/>
          <w:lang w:val="en-US"/>
        </w:rPr>
      </w:pPr>
      <w:r w:rsidRPr="00497E32">
        <w:rPr>
          <w:rStyle w:val="normaltextrun"/>
          <w:rFonts w:ascii="Arial" w:hAnsi="Arial" w:cs="Arial"/>
          <w:lang w:val="en-US"/>
        </w:rPr>
        <w:t>We tackle the three most difficult challenges that </w:t>
      </w:r>
      <w:r w:rsidRPr="00497E32" w:rsidR="00D445C1">
        <w:rPr>
          <w:rStyle w:val="normaltextrun"/>
          <w:rFonts w:ascii="Arial" w:hAnsi="Arial" w:cs="Arial"/>
          <w:lang w:val="en-US"/>
        </w:rPr>
        <w:t xml:space="preserve">prevent </w:t>
      </w:r>
      <w:r w:rsidRPr="00497E32">
        <w:rPr>
          <w:rStyle w:val="normaltextrun"/>
          <w:rFonts w:ascii="Arial" w:hAnsi="Arial" w:cs="Arial"/>
          <w:lang w:val="en-US"/>
        </w:rPr>
        <w:t>young people from disadvantaged backgrounds’ ability to succeed in life in Britain today: </w:t>
      </w:r>
    </w:p>
    <w:p w:rsidR="00153BE4" w:rsidRPr="00497E32" w:rsidP="002F1521">
      <w:pPr>
        <w:pStyle w:val="paragraph"/>
        <w:spacing w:before="0" w:beforeAutospacing="0" w:after="0" w:afterAutospacing="0"/>
        <w:textAlignment w:val="baseline"/>
        <w:rPr>
          <w:rFonts w:ascii="Arial" w:hAnsi="Arial" w:cs="Arial"/>
          <w:lang w:val="en-US"/>
        </w:rPr>
      </w:pPr>
    </w:p>
    <w:p w:rsidR="00EB76F2" w:rsidRPr="00014E85" w:rsidP="002F1521">
      <w:pPr>
        <w:pStyle w:val="paragraph"/>
        <w:numPr>
          <w:ilvl w:val="0"/>
          <w:numId w:val="28"/>
        </w:numPr>
        <w:spacing w:before="0" w:beforeAutospacing="0" w:after="0" w:afterAutospacing="0"/>
        <w:textAlignment w:val="baseline"/>
        <w:rPr>
          <w:rFonts w:ascii="Arial" w:hAnsi="Arial" w:cs="Arial"/>
          <w:b/>
          <w:bCs/>
        </w:rPr>
      </w:pPr>
      <w:r w:rsidRPr="00014E85">
        <w:rPr>
          <w:rStyle w:val="normaltextrun"/>
          <w:rFonts w:ascii="Arial" w:hAnsi="Arial" w:cs="Arial"/>
          <w:b/>
          <w:bCs/>
          <w:lang w:val="en-US"/>
        </w:rPr>
        <w:t>Lost learning through absence, suspension</w:t>
      </w:r>
      <w:r w:rsidRPr="00014E85" w:rsidR="00C03FED">
        <w:rPr>
          <w:rStyle w:val="normaltextrun"/>
          <w:rFonts w:ascii="Arial" w:hAnsi="Arial" w:cs="Arial"/>
          <w:b/>
          <w:bCs/>
          <w:lang w:val="en-US"/>
        </w:rPr>
        <w:t xml:space="preserve"> and </w:t>
      </w:r>
      <w:r w:rsidRPr="00014E85">
        <w:rPr>
          <w:rStyle w:val="normaltextrun"/>
          <w:rFonts w:ascii="Arial" w:hAnsi="Arial" w:cs="Arial"/>
          <w:b/>
          <w:bCs/>
          <w:lang w:val="en-US"/>
        </w:rPr>
        <w:t>exclusion from school </w:t>
      </w:r>
    </w:p>
    <w:p w:rsidR="00EB76F2" w:rsidRPr="00014E85" w:rsidP="002F1521">
      <w:pPr>
        <w:pStyle w:val="paragraph"/>
        <w:numPr>
          <w:ilvl w:val="0"/>
          <w:numId w:val="28"/>
        </w:numPr>
        <w:spacing w:before="0" w:beforeAutospacing="0" w:after="0" w:afterAutospacing="0"/>
        <w:textAlignment w:val="baseline"/>
        <w:rPr>
          <w:rFonts w:ascii="Arial" w:hAnsi="Arial" w:cs="Arial"/>
          <w:b/>
          <w:bCs/>
        </w:rPr>
      </w:pPr>
      <w:r w:rsidRPr="00014E85">
        <w:rPr>
          <w:rStyle w:val="normaltextrun"/>
          <w:rFonts w:ascii="Arial" w:hAnsi="Arial" w:cs="Arial"/>
          <w:b/>
          <w:bCs/>
          <w:lang w:val="en-US"/>
        </w:rPr>
        <w:t>Stagnation in education attainment outcomes</w:t>
      </w:r>
    </w:p>
    <w:p w:rsidR="002F1521" w:rsidRPr="00014E85" w:rsidP="00AC631B">
      <w:pPr>
        <w:pStyle w:val="paragraph"/>
        <w:numPr>
          <w:ilvl w:val="0"/>
          <w:numId w:val="28"/>
        </w:numPr>
        <w:spacing w:before="0" w:beforeAutospacing="0" w:after="0" w:afterAutospacing="0"/>
        <w:textAlignment w:val="baseline"/>
        <w:rPr>
          <w:rStyle w:val="normaltextrun"/>
          <w:rFonts w:ascii="Arial" w:hAnsi="Arial" w:cs="Arial"/>
          <w:b/>
          <w:bCs/>
        </w:rPr>
      </w:pPr>
      <w:r w:rsidRPr="00014E85">
        <w:rPr>
          <w:rStyle w:val="normaltextrun"/>
          <w:rFonts w:ascii="Arial" w:hAnsi="Arial" w:cs="Arial"/>
          <w:b/>
          <w:bCs/>
          <w:lang w:val="en-US"/>
        </w:rPr>
        <w:t>The large numbers of young people </w:t>
      </w:r>
      <w:r w:rsidRPr="00014E85">
        <w:rPr>
          <w:rStyle w:val="normaltextrun"/>
          <w:rFonts w:ascii="Arial" w:hAnsi="Arial" w:cs="Arial"/>
          <w:b/>
          <w:bCs/>
          <w:lang w:val="en-US"/>
        </w:rPr>
        <w:t>out</w:t>
      </w:r>
      <w:r w:rsidRPr="00014E85">
        <w:rPr>
          <w:rStyle w:val="normaltextrun"/>
          <w:rFonts w:ascii="Arial" w:hAnsi="Arial" w:cs="Arial"/>
          <w:b/>
          <w:bCs/>
          <w:lang w:val="en-US"/>
        </w:rPr>
        <w:t> of education, training and employment </w:t>
      </w:r>
    </w:p>
    <w:p w:rsidR="00153BE4" w:rsidRPr="00153BE4" w:rsidP="00153BE4">
      <w:pPr>
        <w:pStyle w:val="paragraph"/>
        <w:spacing w:before="0" w:beforeAutospacing="0" w:after="0" w:afterAutospacing="0"/>
        <w:ind w:left="1800"/>
        <w:textAlignment w:val="baseline"/>
        <w:rPr>
          <w:rFonts w:ascii="Arial" w:hAnsi="Arial" w:cs="Arial"/>
        </w:rPr>
      </w:pPr>
    </w:p>
    <w:p w:rsidR="00D738F4" w:rsidRPr="00D738F4">
      <w:pPr>
        <w:rPr>
          <w:color w:val="00B050"/>
        </w:rPr>
      </w:pPr>
      <w:r w:rsidRPr="0057486B">
        <w:t xml:space="preserve">Our portfolio </w:t>
      </w:r>
      <w:r w:rsidRPr="00837FEA" w:rsidR="00837FEA">
        <w:t xml:space="preserve">comprises </w:t>
      </w:r>
      <w:r w:rsidR="00837FEA">
        <w:t>2</w:t>
      </w:r>
      <w:r w:rsidR="30B15EFE">
        <w:t>2</w:t>
      </w:r>
      <w:r w:rsidRPr="0057486B">
        <w:t xml:space="preserve"> organisations </w:t>
      </w:r>
      <w:r w:rsidRPr="00837FEA" w:rsidR="00837FEA">
        <w:t>delivering</w:t>
      </w:r>
      <w:r w:rsidRPr="0057486B">
        <w:t xml:space="preserve"> vital programmes and interventions in schools and communities across the country</w:t>
      </w:r>
      <w:r>
        <w:t xml:space="preserve">. Last year, they </w:t>
      </w:r>
      <w:r w:rsidRPr="00837FEA" w:rsidR="00837FEA">
        <w:t>reached</w:t>
      </w:r>
      <w:r>
        <w:t xml:space="preserve"> nearly </w:t>
      </w:r>
      <w:r w:rsidRPr="0057486B">
        <w:t>half a million young people</w:t>
      </w:r>
      <w:r>
        <w:t xml:space="preserve">. Our policy team </w:t>
      </w:r>
      <w:r w:rsidRPr="00837FEA" w:rsidR="00837FEA">
        <w:t>draws on</w:t>
      </w:r>
      <w:r w:rsidRPr="0031016C">
        <w:t xml:space="preserve"> insights from our portfolio and the wider sector</w:t>
      </w:r>
      <w:r w:rsidRPr="00837FEA" w:rsidR="00837FEA">
        <w:t xml:space="preserve"> to</w:t>
      </w:r>
      <w:r w:rsidRPr="0031016C">
        <w:t xml:space="preserve"> inform national policy and </w:t>
      </w:r>
      <w:r w:rsidRPr="00837FEA" w:rsidR="00837FEA">
        <w:t>spending</w:t>
      </w:r>
      <w:r w:rsidRPr="0031016C">
        <w:t xml:space="preserve"> decisions, </w:t>
      </w:r>
      <w:r w:rsidRPr="00837FEA" w:rsidR="00837FEA">
        <w:t>creating the conditions</w:t>
      </w:r>
      <w:r w:rsidRPr="0031016C">
        <w:t xml:space="preserve"> for our </w:t>
      </w:r>
      <w:r>
        <w:t>portfolio partners</w:t>
      </w:r>
      <w:r w:rsidRPr="00837FEA" w:rsidR="00837FEA">
        <w:t xml:space="preserve"> to grow their impact</w:t>
      </w:r>
      <w:r w:rsidRPr="0031016C">
        <w:t>.</w:t>
      </w:r>
    </w:p>
    <w:p w:rsidR="00D738F4" w:rsidRPr="00D738F4">
      <w:pPr>
        <w:rPr>
          <w:color w:val="00B050"/>
        </w:rPr>
      </w:pPr>
      <w:r w:rsidRPr="0031016C">
        <w:t xml:space="preserve">We use three </w:t>
      </w:r>
      <w:r w:rsidRPr="00A3733A" w:rsidR="00A3733A">
        <w:t>main</w:t>
      </w:r>
      <w:r w:rsidRPr="0031016C">
        <w:t xml:space="preserve"> levers to </w:t>
      </w:r>
      <w:r w:rsidRPr="00A3733A" w:rsidR="00A3733A">
        <w:t>make</w:t>
      </w:r>
      <w:r w:rsidRPr="0031016C">
        <w:t xml:space="preserve"> the case for government action</w:t>
      </w:r>
      <w:r w:rsidRPr="00A3733A" w:rsidR="00A3733A">
        <w:t>: evidence</w:t>
      </w:r>
      <w:r w:rsidRPr="0031016C">
        <w:t xml:space="preserve"> and research to understand the challenges; </w:t>
      </w:r>
      <w:r w:rsidRPr="00A3733A" w:rsidR="00A3733A">
        <w:t>targeted campaigning</w:t>
      </w:r>
      <w:r w:rsidRPr="0031016C">
        <w:t xml:space="preserve"> in coalition with like-minded organisations; and </w:t>
      </w:r>
      <w:r w:rsidRPr="00A3733A" w:rsidR="00A3733A">
        <w:t>direct engagement with</w:t>
      </w:r>
      <w:r w:rsidRPr="0031016C">
        <w:t xml:space="preserve"> key decision-makers</w:t>
      </w:r>
      <w:r>
        <w:t xml:space="preserve">. </w:t>
      </w:r>
      <w:r w:rsidRPr="0031016C">
        <w:t>Together</w:t>
      </w:r>
      <w:r w:rsidRPr="00A3733A" w:rsidR="00A3733A">
        <w:t>,</w:t>
      </w:r>
      <w:r w:rsidRPr="0031016C">
        <w:t xml:space="preserve"> these help </w:t>
      </w:r>
      <w:r w:rsidRPr="00A3733A" w:rsidR="00A3733A">
        <w:t>secure</w:t>
      </w:r>
      <w:r w:rsidRPr="0031016C">
        <w:t xml:space="preserve"> the </w:t>
      </w:r>
      <w:r w:rsidRPr="00A3733A" w:rsidR="00A3733A">
        <w:t>funding</w:t>
      </w:r>
      <w:r w:rsidRPr="0031016C">
        <w:t xml:space="preserve"> and policies </w:t>
      </w:r>
      <w:r w:rsidRPr="00A3733A" w:rsidR="00A3733A">
        <w:t>young people</w:t>
      </w:r>
      <w:r w:rsidRPr="0031016C">
        <w:t xml:space="preserve"> need for change at scale.</w:t>
      </w:r>
    </w:p>
    <w:p w:rsidR="00BE70AC" w:rsidRPr="00112167" w:rsidP="003A0E33">
      <w:pPr>
        <w:spacing w:after="0" w:line="240" w:lineRule="auto"/>
        <w:ind w:hanging="357"/>
        <w:rPr>
          <w:b/>
          <w:bCs/>
          <w:color w:val="282727" w:themeColor="text1"/>
        </w:rPr>
      </w:pPr>
      <w:r>
        <w:rPr>
          <w:b/>
          <w:bCs/>
          <w:color w:val="282727" w:themeColor="text1"/>
        </w:rPr>
        <w:t>1.</w:t>
      </w:r>
      <w:r w:rsidRPr="00112167" w:rsidR="00242DF5">
        <w:rPr>
          <w:b/>
          <w:bCs/>
          <w:color w:val="282727" w:themeColor="text1"/>
        </w:rPr>
        <w:t>Raising attainmen</w:t>
      </w:r>
      <w:r w:rsidRPr="00112167" w:rsidR="00785342">
        <w:rPr>
          <w:b/>
          <w:bCs/>
          <w:color w:val="282727" w:themeColor="text1"/>
        </w:rPr>
        <w:t xml:space="preserve">t </w:t>
      </w:r>
    </w:p>
    <w:p w:rsidR="00973009" w:rsidP="003A0E33">
      <w:pPr>
        <w:pStyle w:val="ListParagraph"/>
        <w:numPr>
          <w:ilvl w:val="1"/>
          <w:numId w:val="33"/>
        </w:numPr>
        <w:spacing w:after="0" w:line="240" w:lineRule="auto"/>
        <w:ind w:hanging="357"/>
        <w:rPr>
          <w:color w:val="282727" w:themeColor="text2"/>
        </w:rPr>
      </w:pPr>
      <w:r w:rsidRPr="51EE06F6">
        <w:rPr>
          <w:color w:val="282727" w:themeColor="text2"/>
        </w:rPr>
        <w:t>Supporting young people to gain GCSE</w:t>
      </w:r>
      <w:r w:rsidRPr="51EE06F6" w:rsidR="005F35DB">
        <w:rPr>
          <w:color w:val="282727" w:themeColor="text2"/>
        </w:rPr>
        <w:t xml:space="preserve"> English and maths is a mission level outcome for Impetus</w:t>
      </w:r>
      <w:r w:rsidRPr="51EE06F6" w:rsidR="6C0E730D">
        <w:rPr>
          <w:color w:val="282727" w:themeColor="text2"/>
        </w:rPr>
        <w:t>;</w:t>
      </w:r>
      <w:r w:rsidRPr="51EE06F6" w:rsidR="00F36BD3">
        <w:rPr>
          <w:color w:val="282727" w:themeColor="text2"/>
        </w:rPr>
        <w:t xml:space="preserve"> </w:t>
      </w:r>
      <w:r w:rsidRPr="51EE06F6" w:rsidR="002F3816">
        <w:rPr>
          <w:color w:val="282727" w:themeColor="text2"/>
        </w:rPr>
        <w:t>English and</w:t>
      </w:r>
      <w:r w:rsidRPr="51EE06F6" w:rsidR="005F35DB">
        <w:rPr>
          <w:color w:val="282727" w:themeColor="text2"/>
        </w:rPr>
        <w:t xml:space="preserve"> </w:t>
      </w:r>
      <w:r w:rsidRPr="51EE06F6" w:rsidR="0084141F">
        <w:rPr>
          <w:color w:val="282727" w:themeColor="text2"/>
        </w:rPr>
        <w:t xml:space="preserve">maths at grade 4 and above are crucial qualifications that all young people need to access further study and better jobs. </w:t>
      </w:r>
      <w:r w:rsidR="00DA77B2">
        <w:rPr>
          <w:color w:val="282727" w:themeColor="text2"/>
        </w:rPr>
        <w:t xml:space="preserve">Currently, </w:t>
      </w:r>
      <w:r w:rsidR="00531020">
        <w:rPr>
          <w:color w:val="282727" w:themeColor="text2"/>
        </w:rPr>
        <w:t>47% of</w:t>
      </w:r>
      <w:r w:rsidR="00782212">
        <w:rPr>
          <w:color w:val="282727" w:themeColor="text2"/>
        </w:rPr>
        <w:t xml:space="preserve"> </w:t>
      </w:r>
      <w:r w:rsidRPr="00604A43" w:rsidR="00DA77B2">
        <w:rPr>
          <w:color w:val="282727" w:themeColor="text2"/>
        </w:rPr>
        <w:t>young people</w:t>
      </w:r>
      <w:r w:rsidR="00782212">
        <w:rPr>
          <w:color w:val="282727" w:themeColor="text2"/>
        </w:rPr>
        <w:t xml:space="preserve"> from disadvantaged backgrounds</w:t>
      </w:r>
      <w:r w:rsidRPr="00DA77B2" w:rsidR="00DA77B2">
        <w:rPr>
          <w:color w:val="282727" w:themeColor="text2"/>
        </w:rPr>
        <w:t xml:space="preserve"> leave compulsory education without the basic English and maths they need to access apprenticeships, further study and most skilled jobs</w:t>
      </w:r>
      <w:r w:rsidR="00581657">
        <w:rPr>
          <w:color w:val="282727" w:themeColor="text2"/>
        </w:rPr>
        <w:t xml:space="preserve"> compared </w:t>
      </w:r>
      <w:r w:rsidR="00531020">
        <w:rPr>
          <w:color w:val="282727" w:themeColor="text2"/>
        </w:rPr>
        <w:t>19.6%</w:t>
      </w:r>
      <w:r w:rsidR="002F2369">
        <w:rPr>
          <w:color w:val="282727" w:themeColor="text2"/>
        </w:rPr>
        <w:t xml:space="preserve"> of their more advantaged peers</w:t>
      </w:r>
      <w:r w:rsidR="00BB7ACC">
        <w:rPr>
          <w:color w:val="282727" w:themeColor="text2"/>
        </w:rPr>
        <w:t xml:space="preserve"> </w:t>
      </w:r>
      <w:r w:rsidRPr="00531020" w:rsidR="002F2369">
        <w:rPr>
          <w:color w:val="282727" w:themeColor="text2"/>
        </w:rPr>
        <w:t xml:space="preserve">– a gap of </w:t>
      </w:r>
      <w:r w:rsidRPr="00531020" w:rsidR="00531020">
        <w:rPr>
          <w:color w:val="282727" w:themeColor="text2"/>
        </w:rPr>
        <w:t>27.4 percentage points.</w:t>
      </w:r>
      <w:r>
        <w:rPr>
          <w:rStyle w:val="FootnoteReference"/>
          <w:color w:val="282727" w:themeColor="text2"/>
        </w:rPr>
        <w:footnoteReference w:id="3"/>
      </w:r>
      <w:r>
        <w:rPr>
          <w:color w:val="282727" w:themeColor="text2"/>
        </w:rPr>
        <w:t xml:space="preserve"> </w:t>
      </w:r>
      <w:r w:rsidRPr="00973009" w:rsidR="00F36BD3">
        <w:rPr>
          <w:color w:val="282727" w:themeColor="text2"/>
        </w:rPr>
        <w:t xml:space="preserve">Our </w:t>
      </w:r>
      <w:r w:rsidRPr="00973009" w:rsidR="008D530B">
        <w:rPr>
          <w:color w:val="282727" w:themeColor="text2"/>
        </w:rPr>
        <w:t xml:space="preserve">Youth Jobs Gap </w:t>
      </w:r>
      <w:r w:rsidRPr="00733135" w:rsidR="00F36BD3">
        <w:rPr>
          <w:color w:val="282727" w:themeColor="text2"/>
        </w:rPr>
        <w:t>research</w:t>
      </w:r>
      <w:r w:rsidRPr="00973009" w:rsidR="00F36BD3">
        <w:rPr>
          <w:color w:val="282727" w:themeColor="text2"/>
        </w:rPr>
        <w:t xml:space="preserve"> fin</w:t>
      </w:r>
      <w:r w:rsidRPr="00973009" w:rsidR="004937B4">
        <w:rPr>
          <w:color w:val="282727" w:themeColor="text2"/>
        </w:rPr>
        <w:t>ds a</w:t>
      </w:r>
      <w:r w:rsidRPr="00973009" w:rsidR="005F35DB">
        <w:rPr>
          <w:color w:val="282727" w:themeColor="text2"/>
        </w:rPr>
        <w:t xml:space="preserve">ttaining </w:t>
      </w:r>
      <w:r w:rsidRPr="00973009" w:rsidR="68AA5776">
        <w:rPr>
          <w:color w:val="282727" w:themeColor="text2"/>
        </w:rPr>
        <w:t>these core qualifications</w:t>
      </w:r>
      <w:r w:rsidRPr="00973009" w:rsidR="005F35DB">
        <w:rPr>
          <w:color w:val="282727" w:themeColor="text2"/>
        </w:rPr>
        <w:t xml:space="preserve"> at GCSE means a young person is 50% less likely to be </w:t>
      </w:r>
      <w:r w:rsidRPr="00973009" w:rsidR="00F36BD3">
        <w:rPr>
          <w:color w:val="282727" w:themeColor="text2"/>
        </w:rPr>
        <w:t>not in education, employment or training.</w:t>
      </w:r>
      <w:r>
        <w:rPr>
          <w:rStyle w:val="FootnoteReference"/>
          <w:color w:val="282727" w:themeColor="text2"/>
        </w:rPr>
        <w:footnoteReference w:id="4"/>
      </w:r>
    </w:p>
    <w:p w:rsidR="00B46EB6" w:rsidP="003A0E33">
      <w:pPr>
        <w:pStyle w:val="ListParagraph"/>
        <w:spacing w:after="0" w:line="240" w:lineRule="auto"/>
        <w:ind w:left="360" w:hanging="357"/>
        <w:rPr>
          <w:color w:val="282727" w:themeColor="text2"/>
        </w:rPr>
      </w:pPr>
    </w:p>
    <w:p w:rsidR="00220670" w:rsidP="003A0E33">
      <w:pPr>
        <w:pStyle w:val="ListParagraph"/>
        <w:numPr>
          <w:ilvl w:val="1"/>
          <w:numId w:val="33"/>
        </w:numPr>
        <w:spacing w:after="0" w:line="240" w:lineRule="auto"/>
        <w:ind w:hanging="357"/>
        <w:rPr>
          <w:color w:val="282727" w:themeColor="text2"/>
        </w:rPr>
      </w:pPr>
      <w:r w:rsidRPr="00973009">
        <w:rPr>
          <w:color w:val="282727" w:themeColor="text2"/>
        </w:rPr>
        <w:t xml:space="preserve">Impetus has a 14-year track record of working in the attainment space, funding 10 organisations in that time, including Magic Breakfast, which has gone on to national scale. Crucially, we played a central role in building the evidence base </w:t>
      </w:r>
      <w:r w:rsidRPr="00973009" w:rsidR="11DE4FEA">
        <w:rPr>
          <w:color w:val="282727" w:themeColor="text2"/>
        </w:rPr>
        <w:t>for</w:t>
      </w:r>
      <w:r w:rsidRPr="00973009">
        <w:rPr>
          <w:color w:val="282727" w:themeColor="text2"/>
        </w:rPr>
        <w:t xml:space="preserve"> tutoring as a high potential attainment intervention through support of Action Tutoring, The Tutor Trust, and The Access Project. </w:t>
      </w:r>
      <w:r w:rsidRPr="00973009" w:rsidR="5A8EE248">
        <w:rPr>
          <w:color w:val="282727" w:themeColor="text2"/>
        </w:rPr>
        <w:t>I</w:t>
      </w:r>
      <w:r w:rsidRPr="00973009" w:rsidR="00284E35">
        <w:rPr>
          <w:color w:val="282727" w:themeColor="text2"/>
        </w:rPr>
        <w:t>mpetus’</w:t>
      </w:r>
      <w:r w:rsidRPr="00973009" w:rsidR="21F2C6C4">
        <w:rPr>
          <w:color w:val="282727" w:themeColor="text2"/>
        </w:rPr>
        <w:t>s</w:t>
      </w:r>
      <w:r w:rsidRPr="00973009" w:rsidR="00284E35">
        <w:rPr>
          <w:color w:val="282727" w:themeColor="text2"/>
        </w:rPr>
        <w:t xml:space="preserve"> new Attainment Fund is pioneering a new approach to narrowing the worsening attainment gap in the UK. It brings together the public sector, our portfolio partners and philanthropy to achieve a common goal – to improve attainment for young people from disadvantaged backgrounds and in doing so contribute to closing the attainment gap. </w:t>
      </w:r>
      <w:r w:rsidRPr="00973009" w:rsidR="3A0BF1D7">
        <w:rPr>
          <w:color w:val="282727" w:themeColor="text2"/>
        </w:rPr>
        <w:t>O</w:t>
      </w:r>
      <w:r w:rsidRPr="00973009" w:rsidR="00284E35">
        <w:rPr>
          <w:color w:val="282727" w:themeColor="text2"/>
        </w:rPr>
        <w:t xml:space="preserve">ur partners are acting at every stage to close the gap </w:t>
      </w:r>
      <w:r w:rsidRPr="00973009" w:rsidR="77ACD75D">
        <w:rPr>
          <w:color w:val="282727" w:themeColor="text2"/>
        </w:rPr>
        <w:t>through direct provision targeted at young people</w:t>
      </w:r>
      <w:r w:rsidRPr="00973009" w:rsidR="00284E35">
        <w:rPr>
          <w:color w:val="282727" w:themeColor="text2"/>
        </w:rPr>
        <w:t xml:space="preserve"> </w:t>
      </w:r>
      <w:r w:rsidRPr="00973009" w:rsidR="51413737">
        <w:rPr>
          <w:color w:val="282727" w:themeColor="text2"/>
        </w:rPr>
        <w:t xml:space="preserve">from disadvantaged backgrounds. </w:t>
      </w:r>
      <w:r w:rsidRPr="00973009" w:rsidR="27ADB8F4">
        <w:rPr>
          <w:color w:val="282727" w:themeColor="text2"/>
        </w:rPr>
        <w:t>O</w:t>
      </w:r>
      <w:r w:rsidRPr="00973009" w:rsidR="00284E35">
        <w:rPr>
          <w:color w:val="282727" w:themeColor="text2"/>
        </w:rPr>
        <w:t xml:space="preserve">rganisations in the fund </w:t>
      </w:r>
      <w:r w:rsidRPr="00973009" w:rsidR="2AB7B0D2">
        <w:rPr>
          <w:color w:val="282727" w:themeColor="text2"/>
        </w:rPr>
        <w:t xml:space="preserve">(Voice 21, The Tutor Trust, Action Tutoring, FBB and Get Further) currently </w:t>
      </w:r>
      <w:r w:rsidRPr="00973009" w:rsidR="00284E35">
        <w:rPr>
          <w:color w:val="282727" w:themeColor="text2"/>
        </w:rPr>
        <w:t xml:space="preserve">reach over 400,000 young people. </w:t>
      </w:r>
      <w:r w:rsidRPr="00973009" w:rsidR="00AC7CA2">
        <w:rPr>
          <w:color w:val="282727" w:themeColor="text2"/>
        </w:rPr>
        <w:t xml:space="preserve">Given </w:t>
      </w:r>
      <w:r w:rsidRPr="00973009" w:rsidR="00B70779">
        <w:rPr>
          <w:color w:val="282727" w:themeColor="text2"/>
        </w:rPr>
        <w:t xml:space="preserve">our mission and long history in this policy area, Impetus were delighted to see a specific commitment to </w:t>
      </w:r>
      <w:r w:rsidRPr="00973009" w:rsidR="006575AF">
        <w:rPr>
          <w:color w:val="282727" w:themeColor="text2"/>
        </w:rPr>
        <w:t xml:space="preserve">raise attainment and </w:t>
      </w:r>
      <w:r w:rsidRPr="00973009" w:rsidR="00B70779">
        <w:rPr>
          <w:color w:val="282727" w:themeColor="text2"/>
        </w:rPr>
        <w:t>halv</w:t>
      </w:r>
      <w:r w:rsidRPr="00973009" w:rsidR="006575AF">
        <w:rPr>
          <w:color w:val="282727" w:themeColor="text2"/>
        </w:rPr>
        <w:t>e</w:t>
      </w:r>
      <w:r w:rsidRPr="00973009" w:rsidR="00B70779">
        <w:rPr>
          <w:color w:val="282727" w:themeColor="text2"/>
        </w:rPr>
        <w:t xml:space="preserve"> the attainment gap in the </w:t>
      </w:r>
      <w:r w:rsidRPr="00973009" w:rsidR="42E37FC5">
        <w:rPr>
          <w:color w:val="282727" w:themeColor="text2"/>
        </w:rPr>
        <w:t>Schools W</w:t>
      </w:r>
      <w:r w:rsidRPr="00973009" w:rsidR="00B70779">
        <w:rPr>
          <w:color w:val="282727" w:themeColor="text2"/>
        </w:rPr>
        <w:t xml:space="preserve">hite </w:t>
      </w:r>
      <w:r w:rsidRPr="00973009" w:rsidR="419347DA">
        <w:rPr>
          <w:color w:val="282727" w:themeColor="text2"/>
        </w:rPr>
        <w:t>P</w:t>
      </w:r>
      <w:r w:rsidRPr="00973009" w:rsidR="00B70779">
        <w:rPr>
          <w:color w:val="282727" w:themeColor="text2"/>
        </w:rPr>
        <w:t xml:space="preserve">aper. </w:t>
      </w:r>
      <w:r w:rsidRPr="00973009" w:rsidR="00D10838">
        <w:rPr>
          <w:color w:val="282727" w:themeColor="text2"/>
        </w:rPr>
        <w:t xml:space="preserve">We do, however have two concerns. </w:t>
      </w:r>
    </w:p>
    <w:p w:rsidR="00220670" w:rsidP="003A0E33">
      <w:pPr>
        <w:pStyle w:val="ListParagraph"/>
        <w:spacing w:after="0" w:line="240" w:lineRule="auto"/>
        <w:ind w:left="360" w:hanging="357"/>
        <w:rPr>
          <w:color w:val="282727" w:themeColor="text2"/>
        </w:rPr>
      </w:pPr>
    </w:p>
    <w:p w:rsidR="009967B5" w:rsidRPr="00220670" w:rsidP="003A0E33">
      <w:pPr>
        <w:pStyle w:val="ListParagraph"/>
        <w:numPr>
          <w:ilvl w:val="1"/>
          <w:numId w:val="33"/>
        </w:numPr>
        <w:spacing w:after="0" w:line="240" w:lineRule="auto"/>
        <w:ind w:hanging="357"/>
        <w:rPr>
          <w:color w:val="282727" w:themeColor="text2"/>
        </w:rPr>
      </w:pPr>
      <w:r w:rsidRPr="00220670">
        <w:rPr>
          <w:color w:val="282727" w:themeColor="text2"/>
        </w:rPr>
        <w:t>Firstly, while the White Paper rightly recognises the scale and persistence of the disadvantage attainment gap, it does not set out a sufficiently targeted plan to close it. It acknowledges that the 30-percentage-point gap in GCSE English and maths has remained static since 2024, and that outcomes have not shifted for children experiencing the most persistent disadvantage. However, this diagnosis is not translated into a quantified target population or a clear geographic delivery plan. For example, the White Paper does not identify how many additional GCSE passes should come from at-risk cohorts</w:t>
      </w:r>
      <w:r w:rsidRPr="00220670" w:rsidR="00176ACD">
        <w:rPr>
          <w:color w:val="282727" w:themeColor="text2"/>
        </w:rPr>
        <w:t xml:space="preserve"> -</w:t>
      </w:r>
      <w:r w:rsidRPr="00220670">
        <w:rPr>
          <w:color w:val="282727" w:themeColor="text2"/>
        </w:rPr>
        <w:t xml:space="preserve"> with white working-class children, children with SEND, and those in the most deprived communities named as consistently failed. Nor does it map the local authorities, regions or school types where need is greatest. Instead, delivery relies largely on system-wide levers, including pupil premium reform, funding formula changes, RISE hubs and trust accountability, with a consultation on better targeting still to come. This matters given the Government's own acknowledgement that free school meal status is "a blunt way to assess disadvantage." Without a settled targeting mechanism, its chances of meeting the attainment ambition are weakened, particularly given E</w:t>
      </w:r>
      <w:r w:rsidR="001A60D7">
        <w:rPr>
          <w:color w:val="282727" w:themeColor="text2"/>
        </w:rPr>
        <w:t>ducation Policy Institute’s (EPI) recent c</w:t>
      </w:r>
      <w:r w:rsidRPr="00220670">
        <w:rPr>
          <w:color w:val="282727" w:themeColor="text2"/>
        </w:rPr>
        <w:t>onclusion that progress on closing the gap has stalled.</w:t>
      </w:r>
      <w:r>
        <w:rPr>
          <w:rStyle w:val="FootnoteReference"/>
          <w:color w:val="282727" w:themeColor="text2"/>
        </w:rPr>
        <w:footnoteReference w:id="5"/>
      </w:r>
    </w:p>
    <w:p w:rsidR="00176ACD" w:rsidRPr="002B05B2" w:rsidP="003A0E33">
      <w:pPr>
        <w:pStyle w:val="ListParagraph"/>
        <w:spacing w:after="0" w:line="240" w:lineRule="auto"/>
        <w:ind w:left="360" w:hanging="357"/>
        <w:rPr>
          <w:color w:val="282727" w:themeColor="text1"/>
        </w:rPr>
      </w:pPr>
    </w:p>
    <w:p w:rsidR="005A778C" w:rsidP="003A0E33">
      <w:pPr>
        <w:pStyle w:val="ListParagraph"/>
        <w:numPr>
          <w:ilvl w:val="1"/>
          <w:numId w:val="33"/>
        </w:numPr>
        <w:spacing w:after="0" w:line="240" w:lineRule="auto"/>
        <w:ind w:hanging="357"/>
        <w:rPr>
          <w:color w:val="282727" w:themeColor="text2"/>
        </w:rPr>
      </w:pPr>
      <w:r w:rsidRPr="51EE06F6">
        <w:rPr>
          <w:color w:val="282727" w:themeColor="text2"/>
        </w:rPr>
        <w:t xml:space="preserve">Secondly, despite the </w:t>
      </w:r>
      <w:r w:rsidRPr="51EE06F6" w:rsidR="003D7DD3">
        <w:rPr>
          <w:color w:val="282727" w:themeColor="text2"/>
        </w:rPr>
        <w:t xml:space="preserve">White Paper’s </w:t>
      </w:r>
      <w:r w:rsidRPr="51EE06F6">
        <w:rPr>
          <w:color w:val="282727" w:themeColor="text2"/>
        </w:rPr>
        <w:t>commitment to raise attainment and close the attainment gap</w:t>
      </w:r>
      <w:r w:rsidRPr="51EE06F6" w:rsidR="003D7DD3">
        <w:rPr>
          <w:color w:val="282727" w:themeColor="text2"/>
        </w:rPr>
        <w:t>, its</w:t>
      </w:r>
      <w:r w:rsidRPr="51EE06F6">
        <w:rPr>
          <w:color w:val="282727" w:themeColor="text2"/>
        </w:rPr>
        <w:t xml:space="preserve"> only substantive tutoring </w:t>
      </w:r>
      <w:r w:rsidRPr="51EE06F6" w:rsidR="003D7DD3">
        <w:rPr>
          <w:color w:val="282727" w:themeColor="text2"/>
        </w:rPr>
        <w:t>proposal</w:t>
      </w:r>
      <w:r w:rsidRPr="51EE06F6">
        <w:rPr>
          <w:color w:val="282727" w:themeColor="text2"/>
        </w:rPr>
        <w:t xml:space="preserve"> is </w:t>
      </w:r>
      <w:r w:rsidRPr="51EE06F6" w:rsidR="003D7DD3">
        <w:rPr>
          <w:color w:val="282727" w:themeColor="text2"/>
        </w:rPr>
        <w:t xml:space="preserve">focused on </w:t>
      </w:r>
      <w:r w:rsidRPr="51EE06F6">
        <w:rPr>
          <w:color w:val="282727" w:themeColor="text2"/>
        </w:rPr>
        <w:t>AI tools for secondary pupils</w:t>
      </w:r>
      <w:r w:rsidR="009B4D75">
        <w:rPr>
          <w:color w:val="282727" w:themeColor="text2"/>
        </w:rPr>
        <w:t xml:space="preserve"> – with </w:t>
      </w:r>
      <w:r w:rsidR="006A5914">
        <w:rPr>
          <w:color w:val="282727" w:themeColor="text2"/>
        </w:rPr>
        <w:t>trials of AI tutoring in schools beginning in au</w:t>
      </w:r>
      <w:r w:rsidR="00EA4F02">
        <w:rPr>
          <w:color w:val="282727" w:themeColor="text2"/>
        </w:rPr>
        <w:t>tumn 2026, and tools being available in classrooms by the end of 2027.</w:t>
      </w:r>
      <w:r w:rsidRPr="000348A7" w:rsidR="000348A7">
        <w:t xml:space="preserve"> </w:t>
      </w:r>
      <w:r w:rsidRPr="00174AF6" w:rsidR="003D7DD3">
        <w:rPr>
          <w:color w:val="282727" w:themeColor="text2"/>
        </w:rPr>
        <w:t xml:space="preserve">The White Paper does not reaffirm a </w:t>
      </w:r>
      <w:r w:rsidR="00851833">
        <w:rPr>
          <w:color w:val="282727" w:themeColor="text2"/>
        </w:rPr>
        <w:t xml:space="preserve">wider </w:t>
      </w:r>
      <w:r w:rsidRPr="00174AF6" w:rsidR="003D7DD3">
        <w:rPr>
          <w:color w:val="282727" w:themeColor="text2"/>
        </w:rPr>
        <w:t xml:space="preserve">commitment to </w:t>
      </w:r>
      <w:r w:rsidR="000230AF">
        <w:rPr>
          <w:color w:val="282727" w:themeColor="text2"/>
        </w:rPr>
        <w:t>tutoring</w:t>
      </w:r>
      <w:r w:rsidR="00851833">
        <w:rPr>
          <w:color w:val="282727" w:themeColor="text2"/>
        </w:rPr>
        <w:t xml:space="preserve"> </w:t>
      </w:r>
      <w:r w:rsidRPr="00174AF6" w:rsidR="003D7DD3">
        <w:rPr>
          <w:color w:val="282727" w:themeColor="text2"/>
        </w:rPr>
        <w:t>despite acknowledging that attainment for the most persistently disadvantaged pupils has failed to improve</w:t>
      </w:r>
      <w:r w:rsidR="00F51FC0">
        <w:rPr>
          <w:color w:val="282727" w:themeColor="text2"/>
        </w:rPr>
        <w:t xml:space="preserve">. </w:t>
      </w:r>
      <w:r w:rsidRPr="00F51FC0" w:rsidR="003D7DD3">
        <w:rPr>
          <w:color w:val="282727" w:themeColor="text2"/>
        </w:rPr>
        <w:t>This</w:t>
      </w:r>
      <w:r w:rsidRPr="00F51FC0">
        <w:rPr>
          <w:color w:val="282727" w:themeColor="text2"/>
        </w:rPr>
        <w:t xml:space="preserve"> is a serious omission.</w:t>
      </w:r>
      <w:r w:rsidRPr="00F51FC0" w:rsidR="00851833">
        <w:rPr>
          <w:color w:val="282727" w:themeColor="text2"/>
        </w:rPr>
        <w:t xml:space="preserve"> </w:t>
      </w:r>
      <w:r w:rsidR="0060296F">
        <w:rPr>
          <w:color w:val="282727" w:themeColor="text2"/>
        </w:rPr>
        <w:t>T</w:t>
      </w:r>
      <w:r w:rsidRPr="00F51FC0">
        <w:rPr>
          <w:color w:val="282727" w:themeColor="text2"/>
        </w:rPr>
        <w:t xml:space="preserve">utoring </w:t>
      </w:r>
      <w:r w:rsidRPr="00F51FC0" w:rsidR="003D7DD3">
        <w:rPr>
          <w:color w:val="282727" w:themeColor="text2"/>
        </w:rPr>
        <w:t>remains one of</w:t>
      </w:r>
      <w:r w:rsidRPr="00F51FC0">
        <w:rPr>
          <w:color w:val="282727" w:themeColor="text2"/>
        </w:rPr>
        <w:t xml:space="preserve"> the strongest and </w:t>
      </w:r>
      <w:r w:rsidRPr="00A964D5" w:rsidR="00A964D5">
        <w:rPr>
          <w:color w:val="282727" w:themeColor="text2"/>
        </w:rPr>
        <w:t>best</w:t>
      </w:r>
      <w:r w:rsidR="00A964D5">
        <w:rPr>
          <w:color w:val="282727" w:themeColor="text2"/>
        </w:rPr>
        <w:t>-</w:t>
      </w:r>
      <w:r w:rsidRPr="00A964D5" w:rsidR="00A964D5">
        <w:rPr>
          <w:color w:val="282727" w:themeColor="text2"/>
        </w:rPr>
        <w:t>evidenced</w:t>
      </w:r>
      <w:r w:rsidRPr="00F51FC0">
        <w:rPr>
          <w:color w:val="282727" w:themeColor="text2"/>
        </w:rPr>
        <w:t xml:space="preserve"> </w:t>
      </w:r>
      <w:r w:rsidRPr="00F51FC0" w:rsidR="003D7DD3">
        <w:rPr>
          <w:color w:val="282727" w:themeColor="text2"/>
        </w:rPr>
        <w:t xml:space="preserve">interventions for helping pupils who </w:t>
      </w:r>
      <w:r w:rsidRPr="00F51FC0">
        <w:rPr>
          <w:color w:val="282727" w:themeColor="text2"/>
        </w:rPr>
        <w:t xml:space="preserve">have </w:t>
      </w:r>
      <w:r w:rsidRPr="00F51FC0" w:rsidR="003D7DD3">
        <w:rPr>
          <w:color w:val="282727" w:themeColor="text2"/>
        </w:rPr>
        <w:t xml:space="preserve">fallen behind to catch up </w:t>
      </w:r>
      <w:r w:rsidRPr="3AAB2686" w:rsidR="19DD8149">
        <w:rPr>
          <w:color w:val="282727" w:themeColor="text2"/>
        </w:rPr>
        <w:t xml:space="preserve">as </w:t>
      </w:r>
      <w:r w:rsidRPr="4313EBF9" w:rsidR="19DD8149">
        <w:rPr>
          <w:color w:val="282727" w:themeColor="text2"/>
        </w:rPr>
        <w:t xml:space="preserve">well as </w:t>
      </w:r>
      <w:r w:rsidRPr="00F51FC0" w:rsidR="003D7DD3">
        <w:rPr>
          <w:color w:val="282727" w:themeColor="text2"/>
        </w:rPr>
        <w:t>narrowing</w:t>
      </w:r>
      <w:r w:rsidRPr="00F51FC0">
        <w:rPr>
          <w:color w:val="282727" w:themeColor="text2"/>
        </w:rPr>
        <w:t xml:space="preserve"> the attainment gap</w:t>
      </w:r>
      <w:r w:rsidRPr="00F51FC0" w:rsidR="003D7DD3">
        <w:rPr>
          <w:color w:val="282727" w:themeColor="text2"/>
        </w:rPr>
        <w:t>.</w:t>
      </w:r>
      <w:r>
        <w:rPr>
          <w:rStyle w:val="FootnoteReference"/>
          <w:color w:val="282727" w:themeColor="text2"/>
        </w:rPr>
        <w:footnoteReference w:id="6"/>
      </w:r>
      <w:r w:rsidRPr="00F51FC0" w:rsidR="00597405">
        <w:rPr>
          <w:color w:val="282727" w:themeColor="text2"/>
        </w:rPr>
        <w:t xml:space="preserve"> </w:t>
      </w:r>
      <w:r w:rsidRPr="00F51FC0" w:rsidR="003D7DD3">
        <w:rPr>
          <w:color w:val="282727" w:themeColor="text2"/>
        </w:rPr>
        <w:t>Yet</w:t>
      </w:r>
      <w:r w:rsidRPr="00F51FC0">
        <w:rPr>
          <w:color w:val="282727" w:themeColor="text2"/>
        </w:rPr>
        <w:t xml:space="preserve"> too many of the young people </w:t>
      </w:r>
      <w:r w:rsidRPr="00F51FC0">
        <w:rPr>
          <w:color w:val="282727" w:themeColor="text2"/>
        </w:rPr>
        <w:t xml:space="preserve">who </w:t>
      </w:r>
      <w:r w:rsidRPr="00F51FC0" w:rsidR="003D7DD3">
        <w:rPr>
          <w:color w:val="282727" w:themeColor="text2"/>
        </w:rPr>
        <w:t>would benefit</w:t>
      </w:r>
      <w:r w:rsidRPr="00F51FC0">
        <w:rPr>
          <w:color w:val="282727" w:themeColor="text2"/>
        </w:rPr>
        <w:t xml:space="preserve"> most are missing out</w:t>
      </w:r>
      <w:r w:rsidRPr="00F51FC0" w:rsidR="003D7DD3">
        <w:rPr>
          <w:color w:val="282727" w:themeColor="text2"/>
        </w:rPr>
        <w:t>:</w:t>
      </w:r>
      <w:r w:rsidRPr="00F51FC0">
        <w:rPr>
          <w:color w:val="282727" w:themeColor="text2"/>
        </w:rPr>
        <w:t xml:space="preserve"> schools and colleges are </w:t>
      </w:r>
      <w:r w:rsidRPr="00F51FC0" w:rsidR="003D7DD3">
        <w:rPr>
          <w:color w:val="282727" w:themeColor="text2"/>
        </w:rPr>
        <w:t>cutting</w:t>
      </w:r>
      <w:r w:rsidRPr="00F51FC0">
        <w:rPr>
          <w:color w:val="282727" w:themeColor="text2"/>
        </w:rPr>
        <w:t xml:space="preserve"> back on tutoring</w:t>
      </w:r>
      <w:r w:rsidRPr="00F51FC0" w:rsidR="003D7DD3">
        <w:rPr>
          <w:color w:val="282727" w:themeColor="text2"/>
        </w:rPr>
        <w:t>,</w:t>
      </w:r>
      <w:r w:rsidRPr="00F51FC0">
        <w:rPr>
          <w:color w:val="282727" w:themeColor="text2"/>
        </w:rPr>
        <w:t xml:space="preserve"> while </w:t>
      </w:r>
      <w:r w:rsidRPr="00F51FC0" w:rsidR="003D7DD3">
        <w:rPr>
          <w:color w:val="282727" w:themeColor="text2"/>
        </w:rPr>
        <w:t xml:space="preserve">more </w:t>
      </w:r>
      <w:r w:rsidRPr="00F51FC0">
        <w:rPr>
          <w:color w:val="282727" w:themeColor="text2"/>
        </w:rPr>
        <w:t xml:space="preserve">affluent families </w:t>
      </w:r>
      <w:r w:rsidRPr="00F51FC0" w:rsidR="003D7DD3">
        <w:rPr>
          <w:color w:val="282727" w:themeColor="text2"/>
        </w:rPr>
        <w:t>continue to invest</w:t>
      </w:r>
      <w:r w:rsidRPr="00F51FC0">
        <w:rPr>
          <w:color w:val="282727" w:themeColor="text2"/>
        </w:rPr>
        <w:t xml:space="preserve"> in private </w:t>
      </w:r>
      <w:r w:rsidRPr="00F51FC0" w:rsidR="003D7DD3">
        <w:rPr>
          <w:color w:val="282727" w:themeColor="text2"/>
        </w:rPr>
        <w:t>tuition.</w:t>
      </w:r>
      <w:r>
        <w:rPr>
          <w:rStyle w:val="FootnoteReference"/>
          <w:color w:val="282727" w:themeColor="text2"/>
        </w:rPr>
        <w:footnoteReference w:id="7"/>
      </w:r>
      <w:r w:rsidRPr="00F51FC0" w:rsidR="003D7DD3">
        <w:rPr>
          <w:color w:val="282727" w:themeColor="text2"/>
        </w:rPr>
        <w:t xml:space="preserve"> </w:t>
      </w:r>
      <w:r w:rsidR="00A10D1C">
        <w:rPr>
          <w:color w:val="282727" w:themeColor="text2"/>
        </w:rPr>
        <w:t xml:space="preserve">Additionally, the </w:t>
      </w:r>
      <w:r w:rsidRPr="00A10D1C" w:rsidR="00A10D1C">
        <w:rPr>
          <w:color w:val="282727" w:themeColor="text2"/>
        </w:rPr>
        <w:t>reduced buying power of the Pupil Premium means that schools often have to divert the funds to cover core costs, and so are unable to afford supplementary interventions like tutoring.</w:t>
      </w:r>
      <w:r>
        <w:rPr>
          <w:rStyle w:val="FootnoteReference"/>
          <w:color w:val="282727" w:themeColor="text2"/>
        </w:rPr>
        <w:footnoteReference w:id="8"/>
      </w:r>
      <w:r w:rsidR="00F01D93">
        <w:rPr>
          <w:color w:val="282727" w:themeColor="text2"/>
        </w:rPr>
        <w:t xml:space="preserve"> </w:t>
      </w:r>
      <w:r w:rsidRPr="00F01D93" w:rsidR="008063FF">
        <w:rPr>
          <w:color w:val="282727" w:themeColor="text2"/>
        </w:rPr>
        <w:t>The risk of the</w:t>
      </w:r>
      <w:r w:rsidR="00EA1576">
        <w:rPr>
          <w:color w:val="282727" w:themeColor="text2"/>
        </w:rPr>
        <w:t xml:space="preserve"> disadvantage</w:t>
      </w:r>
      <w:r w:rsidRPr="00F01D93" w:rsidR="008063FF">
        <w:rPr>
          <w:color w:val="282727" w:themeColor="text2"/>
        </w:rPr>
        <w:t xml:space="preserve"> ‘tutoring gap’ </w:t>
      </w:r>
      <w:r w:rsidRPr="00F01D93" w:rsidR="00C30859">
        <w:rPr>
          <w:color w:val="282727" w:themeColor="text2"/>
        </w:rPr>
        <w:t xml:space="preserve">widening the attainment gap is real and must be urgently addressed. </w:t>
      </w:r>
    </w:p>
    <w:p w:rsidR="00B46EB6" w:rsidRPr="00F01D93" w:rsidP="003A0E33">
      <w:pPr>
        <w:pStyle w:val="ListParagraph"/>
        <w:spacing w:after="0" w:line="240" w:lineRule="auto"/>
        <w:ind w:left="360" w:hanging="357"/>
        <w:rPr>
          <w:color w:val="282727" w:themeColor="text2"/>
        </w:rPr>
      </w:pPr>
    </w:p>
    <w:p w:rsidR="00E472FF" w:rsidP="003A0E33">
      <w:pPr>
        <w:pStyle w:val="ListParagraph"/>
        <w:numPr>
          <w:ilvl w:val="1"/>
          <w:numId w:val="33"/>
        </w:numPr>
        <w:spacing w:after="0" w:line="240" w:lineRule="auto"/>
        <w:ind w:hanging="357"/>
        <w:rPr>
          <w:color w:val="282727" w:themeColor="text2"/>
        </w:rPr>
      </w:pPr>
      <w:r w:rsidRPr="008F77CB">
        <w:rPr>
          <w:color w:val="282727" w:themeColor="text2"/>
        </w:rPr>
        <w:t xml:space="preserve">Impetus has recently convened tutoring experts </w:t>
      </w:r>
      <w:r w:rsidRPr="008F77CB" w:rsidR="003D7DD3">
        <w:rPr>
          <w:color w:val="282727" w:themeColor="text2"/>
        </w:rPr>
        <w:t xml:space="preserve">through </w:t>
      </w:r>
      <w:r w:rsidRPr="008F77CB">
        <w:rPr>
          <w:color w:val="282727" w:themeColor="text2"/>
        </w:rPr>
        <w:t xml:space="preserve">a series of roundtables and </w:t>
      </w:r>
      <w:r w:rsidRPr="008F77CB" w:rsidR="003D7DD3">
        <w:rPr>
          <w:color w:val="282727" w:themeColor="text2"/>
        </w:rPr>
        <w:t>reviewed the latest</w:t>
      </w:r>
      <w:r w:rsidRPr="008F77CB">
        <w:rPr>
          <w:color w:val="282727" w:themeColor="text2"/>
        </w:rPr>
        <w:t xml:space="preserve"> evidence on the role tutoring can play in </w:t>
      </w:r>
      <w:r w:rsidRPr="008F77CB" w:rsidR="003D7DD3">
        <w:rPr>
          <w:color w:val="282727" w:themeColor="text2"/>
        </w:rPr>
        <w:t>improving</w:t>
      </w:r>
      <w:r w:rsidRPr="008F77CB">
        <w:rPr>
          <w:color w:val="282727" w:themeColor="text2"/>
        </w:rPr>
        <w:t xml:space="preserve"> outcomes for young people from disadvantaged backgrounds.</w:t>
      </w:r>
      <w:r w:rsidRPr="008F77CB" w:rsidR="005229B7">
        <w:rPr>
          <w:color w:val="282727" w:themeColor="text2"/>
        </w:rPr>
        <w:t xml:space="preserve"> </w:t>
      </w:r>
      <w:r w:rsidRPr="008F77CB" w:rsidR="008F77CB">
        <w:rPr>
          <w:color w:val="282727" w:themeColor="text2"/>
        </w:rPr>
        <w:t xml:space="preserve">We concluded </w:t>
      </w:r>
      <w:r w:rsidR="008F77CB">
        <w:rPr>
          <w:color w:val="282727" w:themeColor="text2"/>
        </w:rPr>
        <w:t>that h</w:t>
      </w:r>
      <w:r w:rsidRPr="008F77CB" w:rsidR="008F77CB">
        <w:rPr>
          <w:color w:val="282727" w:themeColor="text2"/>
        </w:rPr>
        <w:t>uman led</w:t>
      </w:r>
      <w:r w:rsidR="00110936">
        <w:rPr>
          <w:color w:val="282727" w:themeColor="text2"/>
        </w:rPr>
        <w:t>, small group</w:t>
      </w:r>
      <w:r w:rsidRPr="008F77CB" w:rsidR="008F77CB">
        <w:rPr>
          <w:color w:val="282727" w:themeColor="text2"/>
        </w:rPr>
        <w:t xml:space="preserve"> tutoring</w:t>
      </w:r>
      <w:r w:rsidR="00862E06">
        <w:rPr>
          <w:color w:val="282727" w:themeColor="text2"/>
        </w:rPr>
        <w:t xml:space="preserve"> </w:t>
      </w:r>
      <w:r w:rsidRPr="008F77CB" w:rsidR="008F77CB">
        <w:rPr>
          <w:color w:val="282727" w:themeColor="text2"/>
        </w:rPr>
        <w:t>remains essential to national and school-level efforts to raise attainment</w:t>
      </w:r>
      <w:r w:rsidR="0057473B">
        <w:rPr>
          <w:color w:val="282727" w:themeColor="text2"/>
        </w:rPr>
        <w:t xml:space="preserve"> for those from disadvantaged backgrounds </w:t>
      </w:r>
      <w:r w:rsidRPr="008F77CB" w:rsidR="0057473B">
        <w:rPr>
          <w:color w:val="282727" w:themeColor="text2"/>
        </w:rPr>
        <w:t>and</w:t>
      </w:r>
      <w:r w:rsidR="009143AF">
        <w:rPr>
          <w:color w:val="282727" w:themeColor="text2"/>
        </w:rPr>
        <w:t xml:space="preserve"> </w:t>
      </w:r>
      <w:r w:rsidRPr="008F77CB" w:rsidR="008F77CB">
        <w:rPr>
          <w:color w:val="282727" w:themeColor="text2"/>
        </w:rPr>
        <w:t>close the disadvantage gap</w:t>
      </w:r>
      <w:r w:rsidR="00FE2A71">
        <w:rPr>
          <w:color w:val="282727" w:themeColor="text2"/>
        </w:rPr>
        <w:t xml:space="preserve"> </w:t>
      </w:r>
      <w:r w:rsidR="0057473B">
        <w:rPr>
          <w:color w:val="282727" w:themeColor="text2"/>
        </w:rPr>
        <w:t xml:space="preserve">between this group and their more advantaged peers. </w:t>
      </w:r>
      <w:r w:rsidRPr="008546DB" w:rsidR="004E6967">
        <w:rPr>
          <w:color w:val="282727" w:themeColor="text2"/>
        </w:rPr>
        <w:t>We recommend a</w:t>
      </w:r>
      <w:r w:rsidRPr="008546DB" w:rsidR="0057473B">
        <w:rPr>
          <w:color w:val="282727" w:themeColor="text2"/>
        </w:rPr>
        <w:t>ny go</w:t>
      </w:r>
      <w:r w:rsidRPr="008546DB" w:rsidR="008E7674">
        <w:rPr>
          <w:color w:val="282727" w:themeColor="text2"/>
        </w:rPr>
        <w:t xml:space="preserve">vernment </w:t>
      </w:r>
      <w:r w:rsidRPr="008546DB" w:rsidR="005D5712">
        <w:rPr>
          <w:color w:val="282727" w:themeColor="text2"/>
        </w:rPr>
        <w:t>serious about meeting th</w:t>
      </w:r>
      <w:r w:rsidRPr="008546DB" w:rsidR="009143AF">
        <w:rPr>
          <w:color w:val="282727" w:themeColor="text2"/>
        </w:rPr>
        <w:t>ese</w:t>
      </w:r>
      <w:r w:rsidRPr="008546DB" w:rsidR="005D5712">
        <w:rPr>
          <w:color w:val="282727" w:themeColor="text2"/>
        </w:rPr>
        <w:t xml:space="preserve"> goal</w:t>
      </w:r>
      <w:r w:rsidRPr="008546DB" w:rsidR="009143AF">
        <w:rPr>
          <w:color w:val="282727" w:themeColor="text2"/>
        </w:rPr>
        <w:t xml:space="preserve">s </w:t>
      </w:r>
      <w:r w:rsidRPr="008546DB" w:rsidR="005D6AAD">
        <w:rPr>
          <w:color w:val="282727" w:themeColor="text2"/>
        </w:rPr>
        <w:t xml:space="preserve">must </w:t>
      </w:r>
      <w:r w:rsidRPr="008546DB" w:rsidR="009143AF">
        <w:rPr>
          <w:color w:val="282727" w:themeColor="text2"/>
        </w:rPr>
        <w:t xml:space="preserve">make a </w:t>
      </w:r>
      <w:r w:rsidRPr="008546DB" w:rsidR="009F476A">
        <w:rPr>
          <w:color w:val="282727" w:themeColor="text2"/>
        </w:rPr>
        <w:t xml:space="preserve">policy </w:t>
      </w:r>
      <w:r w:rsidRPr="008546DB" w:rsidR="002C48DD">
        <w:rPr>
          <w:color w:val="282727" w:themeColor="text2"/>
        </w:rPr>
        <w:t xml:space="preserve">commitment to </w:t>
      </w:r>
      <w:r w:rsidRPr="008546DB" w:rsidR="00EB6753">
        <w:rPr>
          <w:color w:val="282727" w:themeColor="text2"/>
        </w:rPr>
        <w:t>state funded tutoring targeted at disadvantaged pupils</w:t>
      </w:r>
      <w:r w:rsidRPr="008546DB" w:rsidR="002C48DD">
        <w:rPr>
          <w:color w:val="282727" w:themeColor="text2"/>
        </w:rPr>
        <w:t xml:space="preserve"> </w:t>
      </w:r>
      <w:r w:rsidRPr="008546DB" w:rsidR="009F476A">
        <w:rPr>
          <w:color w:val="282727" w:themeColor="text2"/>
        </w:rPr>
        <w:t xml:space="preserve">because it is </w:t>
      </w:r>
      <w:r w:rsidRPr="008546DB" w:rsidR="00784D0C">
        <w:rPr>
          <w:color w:val="282727" w:themeColor="text2"/>
        </w:rPr>
        <w:t>essential</w:t>
      </w:r>
      <w:r w:rsidRPr="008546DB" w:rsidR="000A4B24">
        <w:rPr>
          <w:color w:val="282727" w:themeColor="text2"/>
        </w:rPr>
        <w:t xml:space="preserve"> to supporting schools to deliver both.</w:t>
      </w:r>
      <w:r w:rsidR="000A4B24">
        <w:rPr>
          <w:color w:val="282727" w:themeColor="text2"/>
        </w:rPr>
        <w:t xml:space="preserve"> </w:t>
      </w:r>
    </w:p>
    <w:p w:rsidR="00E472FF" w:rsidRPr="00E472FF" w:rsidP="003A0E33">
      <w:pPr>
        <w:pStyle w:val="ListParagraph"/>
        <w:spacing w:after="0" w:line="240" w:lineRule="auto"/>
        <w:ind w:hanging="357"/>
        <w:rPr>
          <w:color w:val="282727" w:themeColor="text2"/>
        </w:rPr>
      </w:pPr>
    </w:p>
    <w:p w:rsidR="00715447" w:rsidRPr="00875ACD" w:rsidP="003A0E33">
      <w:pPr>
        <w:pStyle w:val="ListParagraph"/>
        <w:numPr>
          <w:ilvl w:val="1"/>
          <w:numId w:val="33"/>
        </w:numPr>
        <w:spacing w:after="0" w:line="240" w:lineRule="auto"/>
        <w:ind w:hanging="357"/>
        <w:rPr>
          <w:color w:val="282727" w:themeColor="text2"/>
        </w:rPr>
      </w:pPr>
      <w:r>
        <w:rPr>
          <w:color w:val="282727" w:themeColor="text2"/>
        </w:rPr>
        <w:t>On the</w:t>
      </w:r>
      <w:r w:rsidR="00805717">
        <w:rPr>
          <w:color w:val="282727" w:themeColor="text2"/>
        </w:rPr>
        <w:t xml:space="preserve"> specific </w:t>
      </w:r>
      <w:r>
        <w:rPr>
          <w:color w:val="282727" w:themeColor="text2"/>
        </w:rPr>
        <w:t>question of AI</w:t>
      </w:r>
      <w:r w:rsidR="009830E2">
        <w:rPr>
          <w:color w:val="282727" w:themeColor="text2"/>
        </w:rPr>
        <w:t>,</w:t>
      </w:r>
      <w:r w:rsidR="00805717">
        <w:rPr>
          <w:color w:val="282727" w:themeColor="text2"/>
        </w:rPr>
        <w:t xml:space="preserve"> </w:t>
      </w:r>
      <w:r w:rsidR="009830E2">
        <w:rPr>
          <w:color w:val="282727" w:themeColor="text2"/>
        </w:rPr>
        <w:t>t</w:t>
      </w:r>
      <w:r w:rsidR="00805717">
        <w:rPr>
          <w:color w:val="282727" w:themeColor="text2"/>
        </w:rPr>
        <w:t xml:space="preserve">here </w:t>
      </w:r>
      <w:r w:rsidR="00896157">
        <w:rPr>
          <w:color w:val="282727" w:themeColor="text2"/>
        </w:rPr>
        <w:t xml:space="preserve">is </w:t>
      </w:r>
      <w:r w:rsidRPr="00E472FF" w:rsidR="00FB5C3F">
        <w:rPr>
          <w:color w:val="282727" w:themeColor="text2"/>
        </w:rPr>
        <w:t xml:space="preserve">good evidence that AI </w:t>
      </w:r>
      <w:r w:rsidRPr="00E472FF" w:rsidR="00A8243B">
        <w:rPr>
          <w:color w:val="282727" w:themeColor="text2"/>
        </w:rPr>
        <w:t xml:space="preserve">can enhance the impact of human </w:t>
      </w:r>
      <w:r w:rsidRPr="00E472FF" w:rsidR="00A22827">
        <w:rPr>
          <w:color w:val="282727" w:themeColor="text2"/>
        </w:rPr>
        <w:t>tutor</w:t>
      </w:r>
      <w:r w:rsidR="00A22827">
        <w:rPr>
          <w:color w:val="282727" w:themeColor="text2"/>
        </w:rPr>
        <w:t>s</w:t>
      </w:r>
      <w:r>
        <w:rPr>
          <w:rStyle w:val="FootnoteReference"/>
          <w:color w:val="282727" w:themeColor="text2"/>
        </w:rPr>
        <w:footnoteReference w:id="9"/>
      </w:r>
      <w:r w:rsidR="00E457DD">
        <w:rPr>
          <w:color w:val="282727" w:themeColor="text2"/>
        </w:rPr>
        <w:t xml:space="preserve"> </w:t>
      </w:r>
      <w:r w:rsidR="00805717">
        <w:rPr>
          <w:color w:val="282727" w:themeColor="text2"/>
        </w:rPr>
        <w:t xml:space="preserve">and </w:t>
      </w:r>
      <w:r w:rsidR="00E457DD">
        <w:rPr>
          <w:color w:val="282727" w:themeColor="text2"/>
        </w:rPr>
        <w:t>we support</w:t>
      </w:r>
      <w:r w:rsidR="00875ACD">
        <w:rPr>
          <w:color w:val="282727" w:themeColor="text2"/>
        </w:rPr>
        <w:t xml:space="preserve"> this use of the new technology. </w:t>
      </w:r>
      <w:r w:rsidRPr="00875ACD" w:rsidR="006D2A18">
        <w:rPr>
          <w:color w:val="282727" w:themeColor="text2"/>
        </w:rPr>
        <w:t xml:space="preserve">However, </w:t>
      </w:r>
      <w:r w:rsidRPr="00875ACD" w:rsidR="00D8633A">
        <w:rPr>
          <w:color w:val="282727" w:themeColor="text2"/>
        </w:rPr>
        <w:t xml:space="preserve">the evidence base </w:t>
      </w:r>
      <w:r w:rsidRPr="00875ACD" w:rsidR="001F65B5">
        <w:rPr>
          <w:color w:val="282727" w:themeColor="text2"/>
        </w:rPr>
        <w:t>is</w:t>
      </w:r>
      <w:r w:rsidRPr="00875ACD" w:rsidR="00D8633A">
        <w:rPr>
          <w:color w:val="282727" w:themeColor="text2"/>
        </w:rPr>
        <w:t xml:space="preserve"> not yet strong enough to rely on </w:t>
      </w:r>
      <w:r w:rsidRPr="00875ACD" w:rsidR="00A8243B">
        <w:rPr>
          <w:color w:val="282727" w:themeColor="text2"/>
        </w:rPr>
        <w:t xml:space="preserve">AI tutoring tools </w:t>
      </w:r>
      <w:r w:rsidRPr="00875ACD" w:rsidR="00D8633A">
        <w:rPr>
          <w:color w:val="282727" w:themeColor="text2"/>
        </w:rPr>
        <w:t xml:space="preserve">as the main tutoring response for disadvantaged pupils. </w:t>
      </w:r>
      <w:r w:rsidRPr="00875ACD" w:rsidR="00B21CF8">
        <w:rPr>
          <w:color w:val="282727" w:themeColor="text2"/>
        </w:rPr>
        <w:t>There</w:t>
      </w:r>
      <w:r w:rsidRPr="00875ACD" w:rsidR="001F65B5">
        <w:rPr>
          <w:color w:val="282727" w:themeColor="text2"/>
        </w:rPr>
        <w:t xml:space="preserve"> is limited evidence</w:t>
      </w:r>
      <w:r w:rsidR="00875ACD">
        <w:rPr>
          <w:color w:val="282727" w:themeColor="text2"/>
        </w:rPr>
        <w:t xml:space="preserve"> </w:t>
      </w:r>
      <w:r w:rsidRPr="00875ACD" w:rsidR="001F65B5">
        <w:rPr>
          <w:color w:val="282727" w:themeColor="text2"/>
        </w:rPr>
        <w:t xml:space="preserve">on whether AI tutoring can work for young people who </w:t>
      </w:r>
      <w:r w:rsidR="00333D8F">
        <w:rPr>
          <w:color w:val="282727" w:themeColor="text2"/>
        </w:rPr>
        <w:t>come to learning from different starting points</w:t>
      </w:r>
      <w:r w:rsidR="00FD6E0A">
        <w:rPr>
          <w:color w:val="282727" w:themeColor="text2"/>
        </w:rPr>
        <w:t xml:space="preserve"> and who may need a trusted adult relationship with a tutor to build the </w:t>
      </w:r>
      <w:r w:rsidRPr="00875ACD" w:rsidR="001F65B5">
        <w:rPr>
          <w:color w:val="282727" w:themeColor="text2"/>
        </w:rPr>
        <w:t>motivation, confidence and persistence</w:t>
      </w:r>
      <w:r w:rsidR="00FD6E0A">
        <w:rPr>
          <w:color w:val="282727" w:themeColor="text2"/>
        </w:rPr>
        <w:t xml:space="preserve"> needed </w:t>
      </w:r>
      <w:r w:rsidR="003905E1">
        <w:rPr>
          <w:color w:val="282727" w:themeColor="text2"/>
        </w:rPr>
        <w:t xml:space="preserve">to improve outcomes. </w:t>
      </w:r>
    </w:p>
    <w:p w:rsidR="00B46EB6" w:rsidRPr="008F77CB" w:rsidP="003A0E33">
      <w:pPr>
        <w:pStyle w:val="ListParagraph"/>
        <w:spacing w:after="0" w:line="240" w:lineRule="auto"/>
        <w:ind w:left="360" w:hanging="357"/>
        <w:rPr>
          <w:color w:val="282727" w:themeColor="text2"/>
        </w:rPr>
      </w:pPr>
    </w:p>
    <w:p w:rsidR="00E33100" w:rsidP="003A0E33">
      <w:pPr>
        <w:pStyle w:val="ListParagraph"/>
        <w:numPr>
          <w:ilvl w:val="1"/>
          <w:numId w:val="33"/>
        </w:numPr>
        <w:spacing w:after="0" w:line="240" w:lineRule="auto"/>
        <w:ind w:left="357" w:hanging="357"/>
        <w:rPr>
          <w:color w:val="282727" w:themeColor="text2"/>
        </w:rPr>
      </w:pPr>
      <w:r>
        <w:rPr>
          <w:color w:val="282727" w:themeColor="text1"/>
        </w:rPr>
        <w:t>Evidence shows tutoring is already delivering for young people from disadvantaged backgrounds. The</w:t>
      </w:r>
      <w:r w:rsidR="0034504E">
        <w:rPr>
          <w:color w:val="282727" w:themeColor="text1"/>
        </w:rPr>
        <w:t xml:space="preserve"> Tutor Trust is an Impetus portfolio </w:t>
      </w:r>
      <w:r w:rsidR="00466220">
        <w:rPr>
          <w:color w:val="282727" w:themeColor="text1"/>
        </w:rPr>
        <w:t xml:space="preserve">partner </w:t>
      </w:r>
      <w:r w:rsidR="006C6634">
        <w:rPr>
          <w:color w:val="282727" w:themeColor="text1"/>
        </w:rPr>
        <w:t>wh</w:t>
      </w:r>
      <w:r w:rsidRPr="14AD30C9" w:rsidR="00CE577A">
        <w:rPr>
          <w:color w:val="282727" w:themeColor="text2"/>
        </w:rPr>
        <w:t>ich</w:t>
      </w:r>
      <w:r w:rsidR="006C6634">
        <w:rPr>
          <w:color w:val="282727" w:themeColor="text1"/>
        </w:rPr>
        <w:t xml:space="preserve"> transform</w:t>
      </w:r>
      <w:r w:rsidRPr="14AD30C9" w:rsidR="00CE577A">
        <w:rPr>
          <w:color w:val="282727" w:themeColor="text2"/>
        </w:rPr>
        <w:t>s</w:t>
      </w:r>
      <w:r w:rsidR="006C6634">
        <w:rPr>
          <w:color w:val="282727" w:themeColor="text1"/>
        </w:rPr>
        <w:t xml:space="preserve"> lives </w:t>
      </w:r>
      <w:r w:rsidR="00914D94">
        <w:rPr>
          <w:color w:val="282727" w:themeColor="text1"/>
        </w:rPr>
        <w:t xml:space="preserve">across </w:t>
      </w:r>
      <w:r w:rsidR="00CE5653">
        <w:rPr>
          <w:color w:val="282727" w:themeColor="text1"/>
        </w:rPr>
        <w:t>the North of England thr</w:t>
      </w:r>
      <w:r w:rsidR="006C6634">
        <w:rPr>
          <w:color w:val="282727" w:themeColor="text1"/>
        </w:rPr>
        <w:t>ough tutoring</w:t>
      </w:r>
      <w:r w:rsidR="009577DF">
        <w:rPr>
          <w:color w:val="282727" w:themeColor="text1"/>
        </w:rPr>
        <w:t xml:space="preserve"> with the aim of closing the attainment gap </w:t>
      </w:r>
      <w:r w:rsidR="00EF546B">
        <w:rPr>
          <w:color w:val="282727" w:themeColor="text1"/>
        </w:rPr>
        <w:t>between young people from disadvantaged backgrounds and their peers.</w:t>
      </w:r>
      <w:r w:rsidR="0007241F">
        <w:rPr>
          <w:color w:val="282727" w:themeColor="text1"/>
        </w:rPr>
        <w:t xml:space="preserve"> Its most recent Impact Report shows what can be achieved </w:t>
      </w:r>
      <w:r w:rsidR="00362686">
        <w:rPr>
          <w:color w:val="282727" w:themeColor="text1"/>
        </w:rPr>
        <w:t xml:space="preserve">with tutoring. </w:t>
      </w:r>
      <w:r w:rsidR="00DD380D">
        <w:rPr>
          <w:color w:val="282727" w:themeColor="text1"/>
        </w:rPr>
        <w:t xml:space="preserve">In 2024/2025 </w:t>
      </w:r>
      <w:r w:rsidR="00362686">
        <w:rPr>
          <w:color w:val="282727" w:themeColor="text1"/>
        </w:rPr>
        <w:t xml:space="preserve">The Tutor Trust tutored </w:t>
      </w:r>
      <w:r w:rsidR="00DD380D">
        <w:rPr>
          <w:color w:val="282727" w:themeColor="text1"/>
        </w:rPr>
        <w:t xml:space="preserve">over one thousand </w:t>
      </w:r>
      <w:r w:rsidR="00920CDB">
        <w:rPr>
          <w:color w:val="282727" w:themeColor="text1"/>
        </w:rPr>
        <w:t xml:space="preserve">Y11 </w:t>
      </w:r>
      <w:r w:rsidR="009658D3">
        <w:rPr>
          <w:color w:val="282727" w:themeColor="text1"/>
        </w:rPr>
        <w:t xml:space="preserve">pupils, and, on average, these </w:t>
      </w:r>
      <w:r w:rsidR="00F43E16">
        <w:rPr>
          <w:color w:val="282727" w:themeColor="text1"/>
        </w:rPr>
        <w:t xml:space="preserve">pupils achieved one whole grade of progress after </w:t>
      </w:r>
      <w:r w:rsidR="00D03EAA">
        <w:rPr>
          <w:color w:val="282727" w:themeColor="text1"/>
        </w:rPr>
        <w:t xml:space="preserve">10 hours of tuition. </w:t>
      </w:r>
      <w:r w:rsidR="009658D3">
        <w:rPr>
          <w:color w:val="282727" w:themeColor="text1"/>
        </w:rPr>
        <w:t>P</w:t>
      </w:r>
      <w:r w:rsidR="00D03EAA">
        <w:rPr>
          <w:color w:val="282727" w:themeColor="text1"/>
        </w:rPr>
        <w:t xml:space="preserve">ass rates </w:t>
      </w:r>
      <w:r w:rsidR="00821698">
        <w:rPr>
          <w:color w:val="282727" w:themeColor="text1"/>
        </w:rPr>
        <w:t xml:space="preserve">in </w:t>
      </w:r>
      <w:r w:rsidR="009250AD">
        <w:rPr>
          <w:color w:val="282727" w:themeColor="text1"/>
        </w:rPr>
        <w:t xml:space="preserve">GCSE </w:t>
      </w:r>
      <w:r w:rsidR="00821698">
        <w:rPr>
          <w:color w:val="282727" w:themeColor="text1"/>
        </w:rPr>
        <w:t>English, maths and science were higher fo</w:t>
      </w:r>
      <w:r w:rsidR="009250AD">
        <w:rPr>
          <w:color w:val="282727" w:themeColor="text1"/>
        </w:rPr>
        <w:t xml:space="preserve">r disadvantaged pupils receiving tutoring compared to their </w:t>
      </w:r>
      <w:r w:rsidR="008440D2">
        <w:rPr>
          <w:color w:val="282727" w:themeColor="text1"/>
        </w:rPr>
        <w:t xml:space="preserve">disadvantaged peers in </w:t>
      </w:r>
      <w:r w:rsidRPr="14AD30C9" w:rsidR="3C5C607C">
        <w:rPr>
          <w:color w:val="282727" w:themeColor="text2"/>
        </w:rPr>
        <w:t>l</w:t>
      </w:r>
      <w:r w:rsidRPr="14AD30C9" w:rsidR="008440D2">
        <w:rPr>
          <w:color w:val="282727" w:themeColor="text2"/>
        </w:rPr>
        <w:t xml:space="preserve">ocal </w:t>
      </w:r>
      <w:r w:rsidRPr="14AD30C9" w:rsidR="7CA0737F">
        <w:rPr>
          <w:color w:val="282727" w:themeColor="text2"/>
        </w:rPr>
        <w:t>a</w:t>
      </w:r>
      <w:r w:rsidRPr="14AD30C9" w:rsidR="008440D2">
        <w:rPr>
          <w:color w:val="282727" w:themeColor="text2"/>
        </w:rPr>
        <w:t xml:space="preserve">uthorities </w:t>
      </w:r>
      <w:r w:rsidRPr="14AD30C9" w:rsidR="007171C3">
        <w:rPr>
          <w:color w:val="282727" w:themeColor="text2"/>
        </w:rPr>
        <w:t xml:space="preserve">where The </w:t>
      </w:r>
      <w:r w:rsidRPr="14AD30C9" w:rsidR="007725C2">
        <w:rPr>
          <w:color w:val="282727" w:themeColor="text2"/>
        </w:rPr>
        <w:t xml:space="preserve">Tutor </w:t>
      </w:r>
      <w:r w:rsidRPr="14AD30C9" w:rsidR="007171C3">
        <w:rPr>
          <w:color w:val="282727" w:themeColor="text2"/>
        </w:rPr>
        <w:t xml:space="preserve">Trust operates – closing the </w:t>
      </w:r>
      <w:r w:rsidRPr="14AD30C9" w:rsidR="00FE6AA5">
        <w:rPr>
          <w:color w:val="282727" w:themeColor="text2"/>
        </w:rPr>
        <w:t xml:space="preserve">local </w:t>
      </w:r>
      <w:r w:rsidRPr="14AD30C9" w:rsidR="007171C3">
        <w:rPr>
          <w:color w:val="282727" w:themeColor="text2"/>
        </w:rPr>
        <w:t>attainment gap by 14</w:t>
      </w:r>
      <w:r w:rsidRPr="14AD30C9" w:rsidR="00977369">
        <w:rPr>
          <w:color w:val="282727" w:themeColor="text2"/>
        </w:rPr>
        <w:t xml:space="preserve"> percentage points in Maths</w:t>
      </w:r>
      <w:r w:rsidRPr="14AD30C9" w:rsidR="0096615F">
        <w:rPr>
          <w:color w:val="282727" w:themeColor="text2"/>
        </w:rPr>
        <w:t xml:space="preserve"> and </w:t>
      </w:r>
      <w:r w:rsidRPr="14AD30C9" w:rsidR="00977369">
        <w:rPr>
          <w:color w:val="282727" w:themeColor="text2"/>
        </w:rPr>
        <w:t>3 percentage points in English</w:t>
      </w:r>
      <w:r w:rsidRPr="14AD30C9" w:rsidR="0096615F">
        <w:rPr>
          <w:color w:val="282727" w:themeColor="text2"/>
        </w:rPr>
        <w:t>.</w:t>
      </w:r>
      <w:r>
        <w:rPr>
          <w:rStyle w:val="FootnoteReference"/>
          <w:color w:val="282727" w:themeColor="text2"/>
        </w:rPr>
        <w:footnoteReference w:id="10"/>
      </w:r>
      <w:r w:rsidRPr="14AD30C9" w:rsidR="00F42BA6">
        <w:rPr>
          <w:color w:val="282727" w:themeColor="text2"/>
        </w:rPr>
        <w:t xml:space="preserve"> </w:t>
      </w:r>
      <w:r w:rsidRPr="14AD30C9" w:rsidR="00E87AD0">
        <w:rPr>
          <w:color w:val="282727" w:themeColor="text2"/>
        </w:rPr>
        <w:t xml:space="preserve">Without a national, state-funded commitment, the </w:t>
      </w:r>
      <w:r w:rsidRPr="14AD30C9" w:rsidR="00E125B7">
        <w:rPr>
          <w:color w:val="282727" w:themeColor="text2"/>
        </w:rPr>
        <w:t>benefits of tutoring will continue to be determined by family income and</w:t>
      </w:r>
      <w:r w:rsidRPr="14AD30C9" w:rsidR="00374B0E">
        <w:rPr>
          <w:color w:val="282727" w:themeColor="text2"/>
        </w:rPr>
        <w:t>/or</w:t>
      </w:r>
      <w:r w:rsidRPr="14AD30C9" w:rsidR="00E125B7">
        <w:rPr>
          <w:color w:val="282727" w:themeColor="text2"/>
        </w:rPr>
        <w:t xml:space="preserve"> where a young person </w:t>
      </w:r>
      <w:r w:rsidRPr="14AD30C9" w:rsidR="00853B6B">
        <w:rPr>
          <w:color w:val="282727" w:themeColor="text2"/>
        </w:rPr>
        <w:t xml:space="preserve">happens to go </w:t>
      </w:r>
      <w:r w:rsidRPr="14AD30C9" w:rsidR="00E125B7">
        <w:rPr>
          <w:color w:val="282727" w:themeColor="text2"/>
        </w:rPr>
        <w:t>to school</w:t>
      </w:r>
      <w:r w:rsidRPr="14AD30C9" w:rsidR="00BF1CE4">
        <w:rPr>
          <w:color w:val="282727" w:themeColor="text2"/>
        </w:rPr>
        <w:t>.</w:t>
      </w:r>
    </w:p>
    <w:p w:rsidR="00943FD4" w:rsidRPr="00943FD4" w:rsidP="003A0E33">
      <w:pPr>
        <w:spacing w:after="0" w:line="240" w:lineRule="auto"/>
        <w:ind w:hanging="357"/>
        <w:rPr>
          <w:color w:val="282727" w:themeColor="text2"/>
        </w:rPr>
      </w:pPr>
    </w:p>
    <w:p w:rsidR="00943FD4" w:rsidRPr="00C612D4" w:rsidP="00C612D4">
      <w:pPr>
        <w:pStyle w:val="ListParagraph"/>
        <w:numPr>
          <w:ilvl w:val="0"/>
          <w:numId w:val="37"/>
        </w:numPr>
        <w:spacing w:after="0" w:line="240" w:lineRule="auto"/>
        <w:ind w:left="720" w:hanging="357"/>
        <w:rPr>
          <w:color w:val="282727" w:themeColor="text1"/>
        </w:rPr>
      </w:pPr>
      <w:r w:rsidRPr="00220670">
        <w:rPr>
          <w:b/>
          <w:bCs/>
          <w:color w:val="282727" w:themeColor="text1"/>
        </w:rPr>
        <w:t xml:space="preserve">Improving attendance </w:t>
      </w:r>
    </w:p>
    <w:p w:rsidR="003A065A" w:rsidRPr="003A0E33" w:rsidP="003A0E33">
      <w:pPr>
        <w:pStyle w:val="ListParagraph"/>
        <w:numPr>
          <w:ilvl w:val="1"/>
          <w:numId w:val="37"/>
        </w:numPr>
        <w:spacing w:after="0" w:line="240" w:lineRule="auto"/>
        <w:rPr>
          <w:color w:val="282727" w:themeColor="text2"/>
        </w:rPr>
      </w:pPr>
      <w:r w:rsidRPr="003A0E33">
        <w:rPr>
          <w:color w:val="282727" w:themeColor="text2"/>
        </w:rPr>
        <w:t>Impetus</w:t>
      </w:r>
      <w:r w:rsidRPr="003A0E33" w:rsidR="14623C06">
        <w:rPr>
          <w:color w:val="282727" w:themeColor="text2"/>
        </w:rPr>
        <w:t>,</w:t>
      </w:r>
      <w:r w:rsidRPr="003A0E33">
        <w:rPr>
          <w:color w:val="282727" w:themeColor="text2"/>
        </w:rPr>
        <w:t xml:space="preserve"> with Public First</w:t>
      </w:r>
      <w:r w:rsidRPr="003A0E33" w:rsidR="2B61FD8E">
        <w:rPr>
          <w:color w:val="282727" w:themeColor="text2"/>
        </w:rPr>
        <w:t>,</w:t>
      </w:r>
      <w:r w:rsidRPr="003A0E33">
        <w:rPr>
          <w:color w:val="282727" w:themeColor="text2"/>
        </w:rPr>
        <w:t xml:space="preserve"> have published two groundbreaking report</w:t>
      </w:r>
      <w:r w:rsidRPr="003A0E33" w:rsidR="002A0AF0">
        <w:rPr>
          <w:color w:val="282727" w:themeColor="text2"/>
        </w:rPr>
        <w:t>s</w:t>
      </w:r>
      <w:r w:rsidRPr="003A0E33">
        <w:rPr>
          <w:color w:val="282727" w:themeColor="text2"/>
        </w:rPr>
        <w:t xml:space="preserve"> on attendance. The first, published in 2</w:t>
      </w:r>
      <w:r w:rsidRPr="003A0E33" w:rsidR="00665C13">
        <w:rPr>
          <w:color w:val="282727" w:themeColor="text2"/>
        </w:rPr>
        <w:t>023</w:t>
      </w:r>
      <w:r w:rsidRPr="003A0E33" w:rsidR="5906D9E2">
        <w:rPr>
          <w:color w:val="282727" w:themeColor="text2"/>
        </w:rPr>
        <w:t>,</w:t>
      </w:r>
      <w:r w:rsidRPr="003A0E33" w:rsidR="00665C13">
        <w:rPr>
          <w:color w:val="282727" w:themeColor="text2"/>
        </w:rPr>
        <w:t xml:space="preserve"> explored </w:t>
      </w:r>
      <w:r w:rsidRPr="003A0E33" w:rsidR="00E74FA7">
        <w:rPr>
          <w:color w:val="282727" w:themeColor="text2"/>
        </w:rPr>
        <w:t>parents’</w:t>
      </w:r>
      <w:r w:rsidRPr="003A0E33" w:rsidR="00665C13">
        <w:rPr>
          <w:color w:val="282727" w:themeColor="text2"/>
        </w:rPr>
        <w:t xml:space="preserve"> perspectives</w:t>
      </w:r>
      <w:r>
        <w:rPr>
          <w:rStyle w:val="FootnoteReference"/>
          <w:color w:val="282727" w:themeColor="text2"/>
        </w:rPr>
        <w:footnoteReference w:id="11"/>
      </w:r>
      <w:r w:rsidRPr="003A0E33" w:rsidR="00665C13">
        <w:rPr>
          <w:color w:val="282727" w:themeColor="text2"/>
        </w:rPr>
        <w:t xml:space="preserve">, </w:t>
      </w:r>
      <w:r w:rsidRPr="003A0E33" w:rsidR="2E52EEC1">
        <w:rPr>
          <w:color w:val="282727" w:themeColor="text2"/>
        </w:rPr>
        <w:t xml:space="preserve">while </w:t>
      </w:r>
      <w:r w:rsidRPr="003A0E33" w:rsidR="00665C13">
        <w:rPr>
          <w:color w:val="282727" w:themeColor="text2"/>
        </w:rPr>
        <w:t>our second explored young people’s views</w:t>
      </w:r>
      <w:r>
        <w:rPr>
          <w:rStyle w:val="FootnoteReference"/>
          <w:color w:val="282727" w:themeColor="text2"/>
        </w:rPr>
        <w:footnoteReference w:id="12"/>
      </w:r>
      <w:r w:rsidRPr="003A0E33" w:rsidR="00665C13">
        <w:rPr>
          <w:color w:val="282727" w:themeColor="text2"/>
        </w:rPr>
        <w:t xml:space="preserve"> and our forthcoming </w:t>
      </w:r>
      <w:r w:rsidRPr="003A0E33" w:rsidR="00404811">
        <w:rPr>
          <w:color w:val="282727" w:themeColor="text2"/>
        </w:rPr>
        <w:t xml:space="preserve">report (due to be published in September this year) </w:t>
      </w:r>
      <w:r w:rsidRPr="003A0E33" w:rsidR="00BA0CC9">
        <w:rPr>
          <w:color w:val="282727" w:themeColor="text2"/>
        </w:rPr>
        <w:t>examines teachers</w:t>
      </w:r>
      <w:r w:rsidRPr="003A0E33" w:rsidR="194D95ED">
        <w:rPr>
          <w:color w:val="282727" w:themeColor="text2"/>
        </w:rPr>
        <w:t>’</w:t>
      </w:r>
      <w:r w:rsidRPr="003A0E33" w:rsidR="00BA0CC9">
        <w:rPr>
          <w:color w:val="282727" w:themeColor="text2"/>
        </w:rPr>
        <w:t xml:space="preserve"> views. </w:t>
      </w:r>
      <w:r w:rsidRPr="003A0E33" w:rsidR="5F7698F2">
        <w:rPr>
          <w:color w:val="282727" w:themeColor="text2"/>
        </w:rPr>
        <w:t xml:space="preserve">Together they provide the best 360 view to date of the attendance crisis and its causes. </w:t>
      </w:r>
      <w:r w:rsidRPr="003A0E33" w:rsidR="00460543">
        <w:rPr>
          <w:color w:val="282727" w:themeColor="text2"/>
        </w:rPr>
        <w:t xml:space="preserve">We are pleased that attendance is </w:t>
      </w:r>
      <w:r w:rsidRPr="003A0E33" w:rsidR="08A8D1DD">
        <w:rPr>
          <w:color w:val="282727" w:themeColor="text2"/>
        </w:rPr>
        <w:t xml:space="preserve">featured </w:t>
      </w:r>
      <w:r w:rsidRPr="003A0E33" w:rsidR="00460543">
        <w:rPr>
          <w:color w:val="282727" w:themeColor="text2"/>
        </w:rPr>
        <w:t xml:space="preserve">prominently in the </w:t>
      </w:r>
      <w:r w:rsidRPr="003A0E33" w:rsidR="71C46D3C">
        <w:rPr>
          <w:color w:val="282727" w:themeColor="text2"/>
        </w:rPr>
        <w:t>W</w:t>
      </w:r>
      <w:r w:rsidRPr="003A0E33" w:rsidR="00460543">
        <w:rPr>
          <w:color w:val="282727" w:themeColor="text2"/>
        </w:rPr>
        <w:t xml:space="preserve">hite </w:t>
      </w:r>
      <w:r w:rsidRPr="003A0E33" w:rsidR="0CE7385A">
        <w:rPr>
          <w:color w:val="282727" w:themeColor="text2"/>
        </w:rPr>
        <w:t>P</w:t>
      </w:r>
      <w:r w:rsidRPr="003A0E33" w:rsidR="00460543">
        <w:rPr>
          <w:color w:val="282727" w:themeColor="text2"/>
        </w:rPr>
        <w:t xml:space="preserve">aper, </w:t>
      </w:r>
      <w:r w:rsidRPr="003A0E33" w:rsidR="00816CC5">
        <w:rPr>
          <w:color w:val="282727" w:themeColor="text2"/>
        </w:rPr>
        <w:t xml:space="preserve">and we welcome the target set by government to increase attendance by 20 million more days </w:t>
      </w:r>
      <w:r w:rsidRPr="003A0E33" w:rsidR="00265192">
        <w:rPr>
          <w:color w:val="282727" w:themeColor="text2"/>
        </w:rPr>
        <w:t>–</w:t>
      </w:r>
      <w:r w:rsidRPr="003A0E33" w:rsidR="00816CC5">
        <w:rPr>
          <w:color w:val="282727" w:themeColor="text2"/>
        </w:rPr>
        <w:t xml:space="preserve"> </w:t>
      </w:r>
      <w:r w:rsidRPr="003A0E33" w:rsidR="00265192">
        <w:rPr>
          <w:color w:val="282727" w:themeColor="text2"/>
        </w:rPr>
        <w:t xml:space="preserve">taking it above 94% </w:t>
      </w:r>
      <w:r w:rsidRPr="003A0E33" w:rsidR="6295129F">
        <w:rPr>
          <w:color w:val="282727" w:themeColor="text2"/>
        </w:rPr>
        <w:t xml:space="preserve">– </w:t>
      </w:r>
      <w:r w:rsidRPr="003A0E33" w:rsidR="00265192">
        <w:rPr>
          <w:color w:val="282727" w:themeColor="text2"/>
        </w:rPr>
        <w:t>by 2028/2</w:t>
      </w:r>
      <w:r w:rsidRPr="003A0E33" w:rsidR="004C4C15">
        <w:rPr>
          <w:color w:val="282727" w:themeColor="text2"/>
        </w:rPr>
        <w:t>9</w:t>
      </w:r>
      <w:r w:rsidRPr="003A0E33" w:rsidR="00265192">
        <w:rPr>
          <w:color w:val="282727" w:themeColor="text2"/>
        </w:rPr>
        <w:t xml:space="preserve">. </w:t>
      </w:r>
      <w:r w:rsidRPr="003A0E33" w:rsidR="000073B3">
        <w:rPr>
          <w:color w:val="282727" w:themeColor="text2"/>
        </w:rPr>
        <w:t>As</w:t>
      </w:r>
      <w:r w:rsidRPr="003A0E33" w:rsidR="00AE0610">
        <w:rPr>
          <w:color w:val="282727" w:themeColor="text2"/>
        </w:rPr>
        <w:t xml:space="preserve"> an organisation with a strong commitment to evidence and impact, </w:t>
      </w:r>
      <w:r w:rsidRPr="003A0E33" w:rsidR="000073B3">
        <w:rPr>
          <w:color w:val="282727" w:themeColor="text2"/>
        </w:rPr>
        <w:t>we support</w:t>
      </w:r>
      <w:r w:rsidRPr="003A0E33" w:rsidR="00BF1CE4">
        <w:rPr>
          <w:color w:val="282727" w:themeColor="text2"/>
        </w:rPr>
        <w:t xml:space="preserve"> building evidence through </w:t>
      </w:r>
      <w:r w:rsidRPr="003A0E33" w:rsidR="000073B3">
        <w:rPr>
          <w:color w:val="282727" w:themeColor="text2"/>
        </w:rPr>
        <w:t xml:space="preserve">the network of Attendance and Behaviour Hubs to spread best practice across </w:t>
      </w:r>
      <w:r w:rsidRPr="003A0E33" w:rsidR="008D660F">
        <w:rPr>
          <w:color w:val="282727" w:themeColor="text2"/>
        </w:rPr>
        <w:t>schools,</w:t>
      </w:r>
      <w:r w:rsidRPr="003A0E33" w:rsidR="00AE0610">
        <w:rPr>
          <w:color w:val="282727" w:themeColor="text2"/>
        </w:rPr>
        <w:t xml:space="preserve"> and we previously called for schools to routinely collect pupil experience data so welcome the introduction </w:t>
      </w:r>
      <w:r w:rsidRPr="003A0E33" w:rsidR="00AF14BF">
        <w:rPr>
          <w:color w:val="282727" w:themeColor="text2"/>
        </w:rPr>
        <w:t>o</w:t>
      </w:r>
      <w:r w:rsidRPr="003A0E33" w:rsidR="00AE0610">
        <w:rPr>
          <w:color w:val="282727" w:themeColor="text2"/>
        </w:rPr>
        <w:t xml:space="preserve">f the Pupil Engagement Framework. </w:t>
      </w:r>
      <w:r w:rsidRPr="003A0E33" w:rsidR="008D660F">
        <w:rPr>
          <w:color w:val="282727" w:themeColor="text2"/>
        </w:rPr>
        <w:t xml:space="preserve">We </w:t>
      </w:r>
      <w:r w:rsidRPr="003A0E33" w:rsidR="00C5748D">
        <w:rPr>
          <w:color w:val="282727" w:themeColor="text2"/>
        </w:rPr>
        <w:t>approve of the support</w:t>
      </w:r>
      <w:r w:rsidRPr="003A0E33" w:rsidR="5269D242">
        <w:rPr>
          <w:color w:val="282727" w:themeColor="text2"/>
        </w:rPr>
        <w:t>-</w:t>
      </w:r>
      <w:r w:rsidRPr="003A0E33" w:rsidR="00C5748D">
        <w:rPr>
          <w:color w:val="282727" w:themeColor="text2"/>
        </w:rPr>
        <w:t>first focu</w:t>
      </w:r>
      <w:r w:rsidRPr="003A0E33" w:rsidR="00907750">
        <w:rPr>
          <w:color w:val="282727" w:themeColor="text2"/>
        </w:rPr>
        <w:t>sed refreshed a</w:t>
      </w:r>
      <w:r w:rsidRPr="003A0E33" w:rsidR="00C5748D">
        <w:rPr>
          <w:color w:val="282727" w:themeColor="text2"/>
        </w:rPr>
        <w:t>ttendance guidance</w:t>
      </w:r>
      <w:r w:rsidRPr="003A0E33" w:rsidR="00907750">
        <w:rPr>
          <w:color w:val="282727" w:themeColor="text2"/>
        </w:rPr>
        <w:t xml:space="preserve"> and the </w:t>
      </w:r>
      <w:r w:rsidRPr="003A0E33" w:rsidR="000C7B58">
        <w:rPr>
          <w:color w:val="282727" w:themeColor="text2"/>
        </w:rPr>
        <w:t>new guidance on communicating with parents and carers</w:t>
      </w:r>
      <w:r w:rsidRPr="003A0E33" w:rsidR="00C5748D">
        <w:rPr>
          <w:color w:val="282727" w:themeColor="text2"/>
        </w:rPr>
        <w:t xml:space="preserve">, </w:t>
      </w:r>
      <w:r w:rsidRPr="003A0E33" w:rsidR="00907750">
        <w:rPr>
          <w:color w:val="282727" w:themeColor="text2"/>
        </w:rPr>
        <w:t xml:space="preserve">as our research found parents wanted </w:t>
      </w:r>
      <w:r w:rsidRPr="003A0E33" w:rsidR="000C7B58">
        <w:rPr>
          <w:color w:val="282727" w:themeColor="text2"/>
        </w:rPr>
        <w:t>more support from schools on th</w:t>
      </w:r>
      <w:r w:rsidRPr="003A0E33" w:rsidR="00F874D2">
        <w:rPr>
          <w:color w:val="282727" w:themeColor="text2"/>
        </w:rPr>
        <w:t>ese</w:t>
      </w:r>
      <w:r w:rsidRPr="003A0E33" w:rsidR="000C7B58">
        <w:rPr>
          <w:color w:val="282727" w:themeColor="text2"/>
        </w:rPr>
        <w:t xml:space="preserve"> issues, better relationships with teachers, and more </w:t>
      </w:r>
      <w:r w:rsidRPr="003A0E33" w:rsidR="00907750">
        <w:rPr>
          <w:color w:val="282727" w:themeColor="text2"/>
        </w:rPr>
        <w:t xml:space="preserve">effective </w:t>
      </w:r>
      <w:r w:rsidRPr="003A0E33" w:rsidR="00AA2896">
        <w:rPr>
          <w:color w:val="282727" w:themeColor="text2"/>
        </w:rPr>
        <w:t>communication</w:t>
      </w:r>
      <w:r w:rsidRPr="003A0E33" w:rsidR="3EFCC511">
        <w:rPr>
          <w:color w:val="282727" w:themeColor="text2"/>
        </w:rPr>
        <w:t>.</w:t>
      </w:r>
      <w:r>
        <w:rPr>
          <w:rStyle w:val="FootnoteReference"/>
          <w:color w:val="282727" w:themeColor="text2"/>
        </w:rPr>
        <w:footnoteReference w:id="13"/>
      </w:r>
      <w:r w:rsidRPr="003A0E33" w:rsidR="3EFCC511">
        <w:rPr>
          <w:color w:val="282727" w:themeColor="text2"/>
        </w:rPr>
        <w:t xml:space="preserve"> </w:t>
      </w:r>
    </w:p>
    <w:p w:rsidR="003A0E33" w:rsidRPr="003A0E33" w:rsidP="003A0E33">
      <w:pPr>
        <w:pStyle w:val="ListParagraph"/>
        <w:spacing w:after="0" w:line="240" w:lineRule="auto"/>
        <w:ind w:left="403"/>
        <w:rPr>
          <w:color w:val="282727" w:themeColor="text1"/>
        </w:rPr>
      </w:pPr>
    </w:p>
    <w:p w:rsidR="00C654D6" w:rsidRPr="003A0E33" w:rsidP="003A0E33">
      <w:pPr>
        <w:pStyle w:val="ListParagraph"/>
        <w:numPr>
          <w:ilvl w:val="1"/>
          <w:numId w:val="37"/>
        </w:numPr>
        <w:spacing w:after="0" w:line="240" w:lineRule="auto"/>
        <w:rPr>
          <w:color w:val="282727" w:themeColor="text2"/>
        </w:rPr>
      </w:pPr>
      <w:r w:rsidRPr="003A0E33">
        <w:rPr>
          <w:color w:val="282727" w:themeColor="text2"/>
        </w:rPr>
        <w:t>We remain concerned that the White Paper treats attendance as a school-level issue of behaviour, monitoring and compliance, when our research suggests the problem is more fundamental - one of disengagement. Since the pandemic, going to school is no longer automatic; the decision is made day by day, shaped by whether school offers value, meets wider needs for connection, support and emotional health, and creates meaningful opportunities beyond the classroom. Measures focused mainly on guidance, data and behaviour are unlikely to succeed unless matched by a stronger focus on belonging, relationships and school's perceived relevance. Young people in our research saw school as largely transactional – attendance for grades. Even confident pupils endured rather than enjoyed school, while those expecting to fail found it pointless - a view reinforced by social media selling success without qualifications. We believe school has value, especially for disadvantaged pupils, and recommend government create the conditions to help schools make that value clearer to families and young people.</w:t>
      </w:r>
    </w:p>
    <w:p w:rsidR="003A0E33" w:rsidRPr="003A0E33" w:rsidP="003A0E33">
      <w:pPr>
        <w:pStyle w:val="ListParagraph"/>
        <w:spacing w:after="0" w:line="240" w:lineRule="auto"/>
        <w:ind w:left="403"/>
        <w:rPr>
          <w:color w:val="282727" w:themeColor="text2"/>
        </w:rPr>
      </w:pPr>
    </w:p>
    <w:p w:rsidR="006C5F63" w:rsidP="003A0E33">
      <w:pPr>
        <w:pStyle w:val="ListParagraph"/>
        <w:numPr>
          <w:ilvl w:val="1"/>
          <w:numId w:val="37"/>
        </w:numPr>
        <w:spacing w:after="0" w:line="240" w:lineRule="auto"/>
        <w:rPr>
          <w:color w:val="282727" w:themeColor="text2"/>
        </w:rPr>
      </w:pPr>
      <w:r>
        <w:rPr>
          <w:color w:val="282727" w:themeColor="text2"/>
        </w:rPr>
        <w:t>I</w:t>
      </w:r>
      <w:r w:rsidRPr="003A0E33" w:rsidR="000F0060">
        <w:rPr>
          <w:color w:val="282727" w:themeColor="text2"/>
        </w:rPr>
        <w:t xml:space="preserve">t </w:t>
      </w:r>
      <w:r w:rsidRPr="003A0E33" w:rsidR="0025746C">
        <w:rPr>
          <w:color w:val="282727" w:themeColor="text2"/>
        </w:rPr>
        <w:t xml:space="preserve">is positive </w:t>
      </w:r>
      <w:r w:rsidRPr="003A0E33" w:rsidR="00470759">
        <w:rPr>
          <w:color w:val="282727" w:themeColor="text2"/>
        </w:rPr>
        <w:t xml:space="preserve">relationships </w:t>
      </w:r>
      <w:r w:rsidRPr="003A0E33" w:rsidR="005A4BC6">
        <w:rPr>
          <w:color w:val="282727" w:themeColor="text2"/>
        </w:rPr>
        <w:t>that our research f</w:t>
      </w:r>
      <w:r w:rsidRPr="003A0E33" w:rsidR="0025746C">
        <w:rPr>
          <w:color w:val="282727" w:themeColor="text2"/>
        </w:rPr>
        <w:t>inds</w:t>
      </w:r>
      <w:r w:rsidRPr="003A0E33" w:rsidR="005A4BC6">
        <w:rPr>
          <w:color w:val="282727" w:themeColor="text2"/>
        </w:rPr>
        <w:t xml:space="preserve"> </w:t>
      </w:r>
      <w:r w:rsidRPr="003A0E33" w:rsidR="00092F37">
        <w:rPr>
          <w:color w:val="282727" w:themeColor="text2"/>
        </w:rPr>
        <w:t>drives</w:t>
      </w:r>
      <w:r w:rsidRPr="003A0E33" w:rsidR="005A4BC6">
        <w:rPr>
          <w:color w:val="282727" w:themeColor="text2"/>
        </w:rPr>
        <w:t xml:space="preserve"> </w:t>
      </w:r>
      <w:r w:rsidRPr="003A0E33" w:rsidR="00196092">
        <w:rPr>
          <w:color w:val="282727" w:themeColor="text2"/>
        </w:rPr>
        <w:t xml:space="preserve">improvements to </w:t>
      </w:r>
      <w:r w:rsidRPr="003A0E33" w:rsidR="005A4BC6">
        <w:rPr>
          <w:color w:val="282727" w:themeColor="text2"/>
        </w:rPr>
        <w:t>attendance</w:t>
      </w:r>
      <w:r w:rsidRPr="003A0E33" w:rsidR="00196092">
        <w:rPr>
          <w:color w:val="282727" w:themeColor="text2"/>
        </w:rPr>
        <w:t xml:space="preserve"> and positive choices on attendance</w:t>
      </w:r>
      <w:r w:rsidRPr="003A0E33" w:rsidR="005A4BC6">
        <w:rPr>
          <w:color w:val="282727" w:themeColor="text2"/>
        </w:rPr>
        <w:t>. This includ</w:t>
      </w:r>
      <w:r w:rsidRPr="003A0E33" w:rsidR="0025746C">
        <w:rPr>
          <w:color w:val="282727" w:themeColor="text2"/>
        </w:rPr>
        <w:t>es</w:t>
      </w:r>
      <w:r w:rsidRPr="003A0E33" w:rsidR="005A4BC6">
        <w:rPr>
          <w:color w:val="282727" w:themeColor="text2"/>
        </w:rPr>
        <w:t xml:space="preserve"> relationships between parents and schools, pupils and teachers and peer to peer. </w:t>
      </w:r>
      <w:r w:rsidRPr="003A0E33" w:rsidR="00E43891">
        <w:rPr>
          <w:color w:val="282727" w:themeColor="text2"/>
        </w:rPr>
        <w:t xml:space="preserve">Young people told us the main </w:t>
      </w:r>
      <w:r w:rsidRPr="003A0E33" w:rsidR="25B609E4">
        <w:rPr>
          <w:color w:val="282727" w:themeColor="text2"/>
        </w:rPr>
        <w:t>thing</w:t>
      </w:r>
      <w:r w:rsidRPr="003A0E33" w:rsidR="00E43891">
        <w:rPr>
          <w:color w:val="282727" w:themeColor="text2"/>
        </w:rPr>
        <w:t xml:space="preserve"> </w:t>
      </w:r>
      <w:r w:rsidRPr="003A0E33" w:rsidR="1AFE3E1A">
        <w:rPr>
          <w:color w:val="282727" w:themeColor="text2"/>
        </w:rPr>
        <w:t>getting them</w:t>
      </w:r>
      <w:r w:rsidRPr="003A0E33" w:rsidR="00E43891">
        <w:rPr>
          <w:color w:val="282727" w:themeColor="text2"/>
        </w:rPr>
        <w:t xml:space="preserve"> into school was friendship</w:t>
      </w:r>
      <w:r w:rsidRPr="003A0E33" w:rsidR="56F33F72">
        <w:rPr>
          <w:color w:val="282727" w:themeColor="text2"/>
        </w:rPr>
        <w:t>. W</w:t>
      </w:r>
      <w:r w:rsidRPr="003A0E33" w:rsidR="00E43891">
        <w:rPr>
          <w:color w:val="282727" w:themeColor="text2"/>
        </w:rPr>
        <w:t xml:space="preserve">hilst there was a commitment to an enrichment guarantee in the </w:t>
      </w:r>
      <w:r w:rsidRPr="003A0E33" w:rsidR="00613B8E">
        <w:rPr>
          <w:color w:val="282727" w:themeColor="text2"/>
        </w:rPr>
        <w:t>W</w:t>
      </w:r>
      <w:r w:rsidRPr="003A0E33" w:rsidR="00E43891">
        <w:rPr>
          <w:color w:val="282727" w:themeColor="text2"/>
        </w:rPr>
        <w:t xml:space="preserve">hite </w:t>
      </w:r>
      <w:r w:rsidRPr="003A0E33" w:rsidR="00613B8E">
        <w:rPr>
          <w:color w:val="282727" w:themeColor="text2"/>
        </w:rPr>
        <w:t>P</w:t>
      </w:r>
      <w:r w:rsidRPr="003A0E33" w:rsidR="00E43891">
        <w:rPr>
          <w:color w:val="282727" w:themeColor="text2"/>
        </w:rPr>
        <w:t>aper</w:t>
      </w:r>
      <w:r w:rsidRPr="003A0E33" w:rsidR="0EF86C50">
        <w:rPr>
          <w:color w:val="282727" w:themeColor="text2"/>
        </w:rPr>
        <w:t xml:space="preserve">, </w:t>
      </w:r>
      <w:r w:rsidRPr="003A0E33" w:rsidR="00E43891">
        <w:rPr>
          <w:color w:val="282727" w:themeColor="text2"/>
        </w:rPr>
        <w:t>nothing was said about prioritising other forms of social time – like break and lunchtimes – that have been squeezed out of the school day over the past decade or more. There was also no</w:t>
      </w:r>
      <w:r w:rsidRPr="003A0E33" w:rsidR="000F0060">
        <w:rPr>
          <w:color w:val="282727" w:themeColor="text2"/>
        </w:rPr>
        <w:t xml:space="preserve">thing in the </w:t>
      </w:r>
      <w:r w:rsidRPr="003A0E33" w:rsidR="003054E1">
        <w:rPr>
          <w:color w:val="282727" w:themeColor="text2"/>
        </w:rPr>
        <w:t>W</w:t>
      </w:r>
      <w:r w:rsidRPr="003A0E33" w:rsidR="000F0060">
        <w:rPr>
          <w:color w:val="282727" w:themeColor="text2"/>
        </w:rPr>
        <w:t xml:space="preserve">hite </w:t>
      </w:r>
      <w:r w:rsidRPr="003A0E33" w:rsidR="003054E1">
        <w:rPr>
          <w:color w:val="282727" w:themeColor="text2"/>
        </w:rPr>
        <w:t>P</w:t>
      </w:r>
      <w:r w:rsidRPr="003A0E33" w:rsidR="000F0060">
        <w:rPr>
          <w:color w:val="282727" w:themeColor="text2"/>
        </w:rPr>
        <w:t xml:space="preserve">aper that recognises </w:t>
      </w:r>
      <w:r w:rsidRPr="003A0E33" w:rsidR="00E43891">
        <w:rPr>
          <w:color w:val="282727" w:themeColor="text2"/>
        </w:rPr>
        <w:t>that school behaviour policies that restrict interaction between pupils by, for example, enforcing silent corridors, can treat healthy interaction as a school discipline issue.</w:t>
      </w:r>
      <w:r w:rsidRPr="003A0E33" w:rsidR="00004E15">
        <w:rPr>
          <w:color w:val="282727" w:themeColor="text2"/>
        </w:rPr>
        <w:t xml:space="preserve"> We </w:t>
      </w:r>
      <w:r w:rsidRPr="003A0E33" w:rsidR="00C553CD">
        <w:rPr>
          <w:color w:val="282727" w:themeColor="text2"/>
        </w:rPr>
        <w:t xml:space="preserve">recommend </w:t>
      </w:r>
      <w:r w:rsidRPr="003A0E33" w:rsidR="007F53C6">
        <w:rPr>
          <w:color w:val="282727" w:themeColor="text2"/>
        </w:rPr>
        <w:t xml:space="preserve">government support </w:t>
      </w:r>
      <w:r w:rsidRPr="003A0E33" w:rsidR="000E381B">
        <w:rPr>
          <w:color w:val="282727" w:themeColor="text2"/>
        </w:rPr>
        <w:t xml:space="preserve">schools to </w:t>
      </w:r>
      <w:r w:rsidRPr="003A0E33" w:rsidR="00757294">
        <w:rPr>
          <w:color w:val="282727" w:themeColor="text2"/>
        </w:rPr>
        <w:t xml:space="preserve">take </w:t>
      </w:r>
      <w:r w:rsidRPr="003A0E33" w:rsidR="008F59FA">
        <w:rPr>
          <w:color w:val="282727" w:themeColor="text2"/>
        </w:rPr>
        <w:t xml:space="preserve">social life </w:t>
      </w:r>
      <w:r w:rsidRPr="003A0E33" w:rsidR="00567689">
        <w:rPr>
          <w:color w:val="282727" w:themeColor="text2"/>
        </w:rPr>
        <w:t>and social</w:t>
      </w:r>
      <w:r w:rsidRPr="003A0E33" w:rsidR="00757294">
        <w:rPr>
          <w:color w:val="282727" w:themeColor="text2"/>
        </w:rPr>
        <w:t xml:space="preserve"> time </w:t>
      </w:r>
      <w:r w:rsidRPr="003A0E33" w:rsidR="00FA633E">
        <w:rPr>
          <w:color w:val="282727" w:themeColor="text2"/>
        </w:rPr>
        <w:t xml:space="preserve">in schools </w:t>
      </w:r>
      <w:r w:rsidRPr="003A0E33" w:rsidR="00DF5B96">
        <w:rPr>
          <w:color w:val="282727" w:themeColor="text2"/>
        </w:rPr>
        <w:t>seriously</w:t>
      </w:r>
      <w:r w:rsidRPr="003A0E33" w:rsidR="00C671C5">
        <w:rPr>
          <w:color w:val="282727" w:themeColor="text2"/>
        </w:rPr>
        <w:t xml:space="preserve"> because friendship and belonging are not </w:t>
      </w:r>
      <w:r w:rsidRPr="003A0E33" w:rsidR="00A845AE">
        <w:rPr>
          <w:color w:val="282727" w:themeColor="text2"/>
        </w:rPr>
        <w:t>side effects of education; they are the conditions for it and must be carefully fostered</w:t>
      </w:r>
      <w:r w:rsidRPr="003A0E33" w:rsidR="007F53C6">
        <w:rPr>
          <w:color w:val="282727" w:themeColor="text2"/>
        </w:rPr>
        <w:t xml:space="preserve">. </w:t>
      </w:r>
    </w:p>
    <w:p w:rsidR="00841577" w:rsidRPr="00432C0E" w:rsidP="00432C0E">
      <w:pPr>
        <w:spacing w:after="0" w:line="240" w:lineRule="auto"/>
        <w:rPr>
          <w:color w:val="282727" w:themeColor="text1"/>
        </w:rPr>
      </w:pPr>
    </w:p>
    <w:p w:rsidR="00E56370" w:rsidP="003A0E33">
      <w:pPr>
        <w:pStyle w:val="ListParagraph"/>
        <w:numPr>
          <w:ilvl w:val="1"/>
          <w:numId w:val="37"/>
        </w:numPr>
        <w:spacing w:after="0" w:line="240" w:lineRule="auto"/>
        <w:rPr>
          <w:color w:val="282727" w:themeColor="text2"/>
        </w:rPr>
      </w:pPr>
      <w:r w:rsidRPr="003A0E33">
        <w:rPr>
          <w:color w:val="282727" w:themeColor="text2"/>
        </w:rPr>
        <w:t>Across the research, staff distinguished between occasional, short-term absence, and absence that is habitual, cumulative and increasingly difficult to recover from. The pupils that schools were most worried about were not those missing the odd day, or even a planned week, but those whose absence was driven by a wider loss of engagement with school, learning, routines, friendships and trusted adults.</w:t>
      </w:r>
      <w:r w:rsidRPr="003A0E33" w:rsidR="000D2E33">
        <w:rPr>
          <w:color w:val="282727" w:themeColor="text2"/>
        </w:rPr>
        <w:t xml:space="preserve"> Staff were clear that </w:t>
      </w:r>
      <w:r w:rsidRPr="003A0E33" w:rsidR="005C0B3E">
        <w:rPr>
          <w:color w:val="282727" w:themeColor="text2"/>
        </w:rPr>
        <w:t xml:space="preserve">schools find the </w:t>
      </w:r>
      <w:r w:rsidRPr="003A0E33" w:rsidR="00BE2065">
        <w:rPr>
          <w:color w:val="282727" w:themeColor="text2"/>
        </w:rPr>
        <w:t xml:space="preserve">latter much harder to recover and </w:t>
      </w:r>
      <w:r w:rsidRPr="003A0E33" w:rsidR="00EB52BC">
        <w:rPr>
          <w:color w:val="282727" w:themeColor="text2"/>
        </w:rPr>
        <w:t>is a pattern more common to y</w:t>
      </w:r>
      <w:r w:rsidRPr="003A0E33" w:rsidR="004022FE">
        <w:rPr>
          <w:color w:val="282727" w:themeColor="text2"/>
        </w:rPr>
        <w:t xml:space="preserve">oung people from </w:t>
      </w:r>
      <w:r w:rsidRPr="003A0E33" w:rsidR="00B52C08">
        <w:rPr>
          <w:color w:val="282727" w:themeColor="text2"/>
        </w:rPr>
        <w:t xml:space="preserve">disadvantaged backgrounds. It is our view, that the White Paper </w:t>
      </w:r>
      <w:r w:rsidRPr="003A0E33" w:rsidR="006F443A">
        <w:rPr>
          <w:color w:val="282727" w:themeColor="text2"/>
        </w:rPr>
        <w:t xml:space="preserve">should have included a specific focus on </w:t>
      </w:r>
      <w:r w:rsidRPr="003A0E33" w:rsidR="001E4B2C">
        <w:rPr>
          <w:color w:val="282727" w:themeColor="text2"/>
        </w:rPr>
        <w:t>how better data could be used to identify those groups most at risk</w:t>
      </w:r>
      <w:r w:rsidRPr="003A0E33" w:rsidR="009F419D">
        <w:rPr>
          <w:color w:val="282727" w:themeColor="text2"/>
        </w:rPr>
        <w:t xml:space="preserve"> of the most harmful forms of absence and given a clearer steer on what </w:t>
      </w:r>
      <w:r w:rsidRPr="003A0E33" w:rsidR="00167C7B">
        <w:rPr>
          <w:color w:val="282727" w:themeColor="text2"/>
        </w:rPr>
        <w:t xml:space="preserve">types of interventions are promising for this group. We recommend </w:t>
      </w:r>
      <w:r w:rsidRPr="003A0E33" w:rsidR="00D06D6F">
        <w:rPr>
          <w:color w:val="282727" w:themeColor="text2"/>
        </w:rPr>
        <w:t>the Department for Education publishes changes across clearly defined attendance bands, reports these separately for disadvantaged pupils, and combines this with existing similar-schools analysis to identify schools making exceptional progress in comparable circumstances and understand the practices driving their success.</w:t>
      </w:r>
    </w:p>
    <w:p w:rsidR="00432C0E" w:rsidP="00432C0E">
      <w:pPr>
        <w:spacing w:after="0" w:line="240" w:lineRule="auto"/>
        <w:rPr>
          <w:color w:val="282727" w:themeColor="text2"/>
        </w:rPr>
      </w:pPr>
    </w:p>
    <w:p w:rsidR="00432C0E" w:rsidRPr="00432C0E" w:rsidP="00432C0E">
      <w:pPr>
        <w:pStyle w:val="ListParagraph"/>
        <w:numPr>
          <w:ilvl w:val="1"/>
          <w:numId w:val="37"/>
        </w:numPr>
        <w:spacing w:after="0" w:line="240" w:lineRule="auto"/>
        <w:rPr>
          <w:color w:val="282727" w:themeColor="text1"/>
        </w:rPr>
      </w:pPr>
      <w:r w:rsidRPr="00841577">
        <w:rPr>
          <w:color w:val="282727" w:themeColor="text2"/>
        </w:rPr>
        <w:t>All of this is particularly important for young people from disadvantaged backgrounds, who are twice as likely to be persistently absent than their more advantaged peers.</w:t>
      </w:r>
      <w:r>
        <w:rPr>
          <w:rStyle w:val="FootnoteReference"/>
          <w:color w:val="282727" w:themeColor="text2"/>
        </w:rPr>
        <w:footnoteReference w:id="14"/>
      </w:r>
      <w:r w:rsidRPr="00841577">
        <w:rPr>
          <w:color w:val="282727" w:themeColor="text2"/>
        </w:rPr>
        <w:t xml:space="preserve"> </w:t>
      </w:r>
      <w:r w:rsidRPr="005817A1" w:rsidR="005817A1">
        <w:rPr>
          <w:color w:val="282727" w:themeColor="text2"/>
        </w:rPr>
        <w:t xml:space="preserve">Staff working in schools serving disadvantaged communities described attendance as being influenced by poverty, unmet SEND needs, mental health, intergenerational educational experiences, lack of routine at home, and the decline of wider support services. For many school staff, absence was seen as both a symptom and a driver of disadvantage: once attendance begins to slip, it becomes harder for pupils to maintain friendships, keep up academically, engage positively in lessons, rebuild routines and feel that school is a place where they belong. Breaking this spiral of disengagement requires all staff to ensure school is inclusive for all children. While the White Paper adopts a definition of inclusion, </w:t>
      </w:r>
      <w:r w:rsidR="00BB45A5">
        <w:rPr>
          <w:color w:val="282727" w:themeColor="text2"/>
        </w:rPr>
        <w:t xml:space="preserve">it does not set expectations of how whole school inclusion </w:t>
      </w:r>
      <w:r w:rsidR="000D72A5">
        <w:rPr>
          <w:color w:val="282727" w:themeColor="text2"/>
        </w:rPr>
        <w:t>is</w:t>
      </w:r>
      <w:r w:rsidR="00BB45A5">
        <w:rPr>
          <w:color w:val="282727" w:themeColor="text2"/>
        </w:rPr>
        <w:t xml:space="preserve"> measured </w:t>
      </w:r>
      <w:r w:rsidRPr="005817A1" w:rsidR="005817A1">
        <w:rPr>
          <w:color w:val="282727" w:themeColor="text2"/>
        </w:rPr>
        <w:t xml:space="preserve">– something </w:t>
      </w:r>
      <w:r w:rsidR="000D72A5">
        <w:rPr>
          <w:color w:val="282727" w:themeColor="text2"/>
        </w:rPr>
        <w:t>that is vital to</w:t>
      </w:r>
      <w:r w:rsidRPr="005817A1" w:rsidR="005817A1">
        <w:rPr>
          <w:color w:val="282727" w:themeColor="text2"/>
        </w:rPr>
        <w:t xml:space="preserve"> ensure that the needs of all children at risk of losing learning through absence and exclusion are identified and met at the earliest opportunity.</w:t>
      </w:r>
    </w:p>
    <w:p w:rsidR="003A0E33" w:rsidRPr="003A0E33" w:rsidP="003A0E33">
      <w:pPr>
        <w:pStyle w:val="ListParagraph"/>
        <w:spacing w:after="0" w:line="240" w:lineRule="auto"/>
        <w:ind w:left="403"/>
        <w:rPr>
          <w:color w:val="282727" w:themeColor="text1"/>
        </w:rPr>
      </w:pPr>
    </w:p>
    <w:p w:rsidR="002A0AF0" w:rsidRPr="003A0E33" w:rsidP="003A0E33">
      <w:pPr>
        <w:pStyle w:val="ListParagraph"/>
        <w:numPr>
          <w:ilvl w:val="1"/>
          <w:numId w:val="37"/>
        </w:numPr>
        <w:spacing w:after="0" w:line="240" w:lineRule="auto"/>
        <w:rPr>
          <w:color w:val="282727" w:themeColor="text2"/>
        </w:rPr>
      </w:pPr>
      <w:r w:rsidRPr="003A0E33">
        <w:rPr>
          <w:color w:val="282727" w:themeColor="text2"/>
        </w:rPr>
        <w:t>Finally, t</w:t>
      </w:r>
      <w:r w:rsidRPr="003A0E33" w:rsidR="009120E5">
        <w:rPr>
          <w:color w:val="282727" w:themeColor="text2"/>
        </w:rPr>
        <w:t xml:space="preserve">he </w:t>
      </w:r>
      <w:r w:rsidRPr="003A0E33" w:rsidR="224F9FA9">
        <w:rPr>
          <w:color w:val="282727" w:themeColor="text2"/>
        </w:rPr>
        <w:t>W</w:t>
      </w:r>
      <w:r w:rsidRPr="003A0E33" w:rsidR="009120E5">
        <w:rPr>
          <w:color w:val="282727" w:themeColor="text2"/>
        </w:rPr>
        <w:t xml:space="preserve">hite </w:t>
      </w:r>
      <w:r w:rsidRPr="003A0E33" w:rsidR="6CA2311E">
        <w:rPr>
          <w:color w:val="282727" w:themeColor="text2"/>
        </w:rPr>
        <w:t>P</w:t>
      </w:r>
      <w:r w:rsidRPr="003A0E33" w:rsidR="009120E5">
        <w:rPr>
          <w:color w:val="282727" w:themeColor="text2"/>
        </w:rPr>
        <w:t>aper</w:t>
      </w:r>
      <w:r w:rsidRPr="003A0E33" w:rsidR="425F5BBF">
        <w:rPr>
          <w:color w:val="282727" w:themeColor="text2"/>
        </w:rPr>
        <w:t>'</w:t>
      </w:r>
      <w:r w:rsidRPr="003A0E33" w:rsidR="00363924">
        <w:rPr>
          <w:color w:val="282727" w:themeColor="text2"/>
        </w:rPr>
        <w:t>s attendance proposal leaves the fines regime untouched</w:t>
      </w:r>
      <w:r w:rsidRPr="003A0E33" w:rsidR="00C553CD">
        <w:rPr>
          <w:color w:val="282727" w:themeColor="text2"/>
        </w:rPr>
        <w:t>.</w:t>
      </w:r>
      <w:r w:rsidRPr="003A0E33" w:rsidR="5933E80B">
        <w:rPr>
          <w:color w:val="282727" w:themeColor="text2"/>
        </w:rPr>
        <w:t xml:space="preserve"> O</w:t>
      </w:r>
      <w:r w:rsidRPr="003A0E33" w:rsidR="00CB3772">
        <w:rPr>
          <w:color w:val="282727" w:themeColor="text2"/>
        </w:rPr>
        <w:t xml:space="preserve">ur </w:t>
      </w:r>
      <w:r w:rsidRPr="003A0E33" w:rsidR="0058683C">
        <w:rPr>
          <w:color w:val="282727" w:themeColor="text2"/>
        </w:rPr>
        <w:t>research</w:t>
      </w:r>
      <w:r w:rsidRPr="003A0E33" w:rsidR="00CB3772">
        <w:rPr>
          <w:color w:val="282727" w:themeColor="text2"/>
        </w:rPr>
        <w:t xml:space="preserve"> show</w:t>
      </w:r>
      <w:r w:rsidRPr="003A0E33" w:rsidR="31976074">
        <w:rPr>
          <w:color w:val="282727" w:themeColor="text2"/>
        </w:rPr>
        <w:t>s</w:t>
      </w:r>
      <w:r w:rsidRPr="003A0E33" w:rsidR="00CB3772">
        <w:rPr>
          <w:color w:val="282727" w:themeColor="text2"/>
        </w:rPr>
        <w:t xml:space="preserve"> they </w:t>
      </w:r>
      <w:r w:rsidRPr="003A0E33" w:rsidR="70B68EB8">
        <w:rPr>
          <w:color w:val="282727" w:themeColor="text2"/>
        </w:rPr>
        <w:t>a</w:t>
      </w:r>
      <w:r w:rsidRPr="003A0E33" w:rsidR="00CB3772">
        <w:rPr>
          <w:color w:val="282727" w:themeColor="text2"/>
        </w:rPr>
        <w:t>re considered not</w:t>
      </w:r>
      <w:r w:rsidRPr="003A0E33" w:rsidR="0058683C">
        <w:rPr>
          <w:color w:val="282727" w:themeColor="text2"/>
        </w:rPr>
        <w:t xml:space="preserve"> just to be ineffective</w:t>
      </w:r>
      <w:r w:rsidRPr="003A0E33" w:rsidR="00CB3772">
        <w:rPr>
          <w:color w:val="282727" w:themeColor="text2"/>
        </w:rPr>
        <w:t xml:space="preserve">, but in some circumstances actively harmed </w:t>
      </w:r>
      <w:r w:rsidRPr="003A0E33" w:rsidR="0058683C">
        <w:rPr>
          <w:color w:val="282727" w:themeColor="text2"/>
        </w:rPr>
        <w:t xml:space="preserve">the relationships </w:t>
      </w:r>
      <w:r w:rsidRPr="003A0E33" w:rsidR="18E09558">
        <w:rPr>
          <w:color w:val="282727" w:themeColor="text2"/>
        </w:rPr>
        <w:t xml:space="preserve">with parents </w:t>
      </w:r>
      <w:r w:rsidRPr="003A0E33" w:rsidR="0058683C">
        <w:rPr>
          <w:color w:val="282727" w:themeColor="text2"/>
        </w:rPr>
        <w:t>that are so cr</w:t>
      </w:r>
      <w:r w:rsidRPr="003A0E33" w:rsidR="00363924">
        <w:rPr>
          <w:color w:val="282727" w:themeColor="text2"/>
        </w:rPr>
        <w:t xml:space="preserve">itical to attendance. </w:t>
      </w:r>
      <w:r w:rsidRPr="003A0E33" w:rsidR="00CB3772">
        <w:rPr>
          <w:color w:val="282727" w:themeColor="text2"/>
        </w:rPr>
        <w:t xml:space="preserve">Even teachers, who felt that fines </w:t>
      </w:r>
      <w:r w:rsidRPr="003A0E33" w:rsidR="00195922">
        <w:rPr>
          <w:color w:val="282727" w:themeColor="text2"/>
        </w:rPr>
        <w:t xml:space="preserve">were useful insomuch as they provided a back stop when other efforts had failed, </w:t>
      </w:r>
      <w:r w:rsidRPr="003A0E33" w:rsidR="56D4D449">
        <w:rPr>
          <w:color w:val="282727" w:themeColor="text2"/>
        </w:rPr>
        <w:t>think they can</w:t>
      </w:r>
      <w:r w:rsidRPr="003A0E33" w:rsidR="00195922">
        <w:rPr>
          <w:color w:val="282727" w:themeColor="text2"/>
        </w:rPr>
        <w:t xml:space="preserve"> damage relationships between schools</w:t>
      </w:r>
      <w:r w:rsidRPr="003A0E33" w:rsidR="009C2E50">
        <w:rPr>
          <w:color w:val="282727" w:themeColor="text2"/>
        </w:rPr>
        <w:t xml:space="preserve">, parents and pupils. </w:t>
      </w:r>
      <w:r w:rsidRPr="003A0E33" w:rsidR="001A382D">
        <w:rPr>
          <w:color w:val="282727" w:themeColor="text2"/>
        </w:rPr>
        <w:t>We recommend that go</w:t>
      </w:r>
      <w:r w:rsidRPr="003A0E33" w:rsidR="009C2E50">
        <w:rPr>
          <w:color w:val="282727" w:themeColor="text2"/>
        </w:rPr>
        <w:t xml:space="preserve">vernment </w:t>
      </w:r>
      <w:r w:rsidRPr="003A0E33" w:rsidR="006F3961">
        <w:rPr>
          <w:color w:val="282727" w:themeColor="text2"/>
        </w:rPr>
        <w:t>undertake evaluation to understand whether fines are helping or harming</w:t>
      </w:r>
      <w:r w:rsidRPr="003A0E33" w:rsidR="7F67DD2C">
        <w:rPr>
          <w:color w:val="282727" w:themeColor="text2"/>
        </w:rPr>
        <w:t>,</w:t>
      </w:r>
      <w:r w:rsidRPr="003A0E33" w:rsidR="006F3961">
        <w:rPr>
          <w:color w:val="282727" w:themeColor="text2"/>
        </w:rPr>
        <w:t xml:space="preserve"> and consider abolition </w:t>
      </w:r>
      <w:r w:rsidRPr="003A0E33" w:rsidR="00E85321">
        <w:rPr>
          <w:color w:val="282727" w:themeColor="text2"/>
        </w:rPr>
        <w:t xml:space="preserve">if evaluation shows they are ineffective. </w:t>
      </w:r>
    </w:p>
    <w:p w:rsidR="003A0E33" w:rsidRPr="003A0E33" w:rsidP="003A0E33">
      <w:pPr>
        <w:spacing w:after="0" w:line="240" w:lineRule="auto"/>
        <w:rPr>
          <w:color w:val="282727" w:themeColor="text1"/>
        </w:rPr>
      </w:pPr>
    </w:p>
    <w:p w:rsidR="002A0AF0" w:rsidP="003A0E33">
      <w:pPr>
        <w:spacing w:after="0" w:line="240" w:lineRule="auto"/>
        <w:ind w:left="360" w:hanging="357"/>
        <w:rPr>
          <w:b/>
          <w:bCs/>
          <w:color w:val="282727" w:themeColor="text2"/>
        </w:rPr>
      </w:pPr>
      <w:r w:rsidRPr="00DB4F23">
        <w:rPr>
          <w:b/>
          <w:bCs/>
          <w:color w:val="282727" w:themeColor="text2"/>
        </w:rPr>
        <w:t>3. Enrichment, belonging and behaviour</w:t>
      </w:r>
    </w:p>
    <w:p w:rsidR="00EE7732" w:rsidP="00EE7732">
      <w:pPr>
        <w:spacing w:after="0" w:line="240" w:lineRule="auto"/>
        <w:ind w:left="360" w:hanging="357"/>
        <w:rPr>
          <w:color w:val="282727" w:themeColor="text2"/>
        </w:rPr>
      </w:pPr>
      <w:r>
        <w:rPr>
          <w:color w:val="282727" w:themeColor="text2"/>
        </w:rPr>
        <w:t>3.1</w:t>
      </w:r>
      <w:r w:rsidRPr="51EE06F6" w:rsidR="006A7218">
        <w:rPr>
          <w:color w:val="282727" w:themeColor="text2"/>
        </w:rPr>
        <w:t xml:space="preserve">The </w:t>
      </w:r>
      <w:r w:rsidRPr="51EE06F6" w:rsidR="0A13AD0A">
        <w:rPr>
          <w:color w:val="282727" w:themeColor="text2"/>
        </w:rPr>
        <w:t>W</w:t>
      </w:r>
      <w:r w:rsidRPr="51EE06F6" w:rsidR="006A7218">
        <w:rPr>
          <w:color w:val="282727" w:themeColor="text2"/>
        </w:rPr>
        <w:t xml:space="preserve">hite </w:t>
      </w:r>
      <w:r w:rsidRPr="51EE06F6" w:rsidR="1C9E1B04">
        <w:rPr>
          <w:color w:val="282727" w:themeColor="text2"/>
        </w:rPr>
        <w:t>P</w:t>
      </w:r>
      <w:r w:rsidRPr="51EE06F6" w:rsidR="006A7218">
        <w:rPr>
          <w:color w:val="282727" w:themeColor="text2"/>
        </w:rPr>
        <w:t xml:space="preserve">aper </w:t>
      </w:r>
      <w:r w:rsidRPr="51EE06F6" w:rsidR="7BE7FE99">
        <w:rPr>
          <w:color w:val="282727" w:themeColor="text2"/>
        </w:rPr>
        <w:t>proposes</w:t>
      </w:r>
      <w:r w:rsidRPr="51EE06F6" w:rsidR="006A7218">
        <w:rPr>
          <w:color w:val="282727" w:themeColor="text2"/>
        </w:rPr>
        <w:t xml:space="preserve"> greater flexibility for schools to keep suspended pupils on-site in supervised settings</w:t>
      </w:r>
      <w:r w:rsidRPr="51EE06F6" w:rsidR="5EEF721A">
        <w:rPr>
          <w:color w:val="282727" w:themeColor="text2"/>
        </w:rPr>
        <w:t>,</w:t>
      </w:r>
      <w:r w:rsidRPr="51EE06F6" w:rsidR="006A7218">
        <w:rPr>
          <w:color w:val="282727" w:themeColor="text2"/>
        </w:rPr>
        <w:t xml:space="preserve"> rather than sending them home.</w:t>
      </w:r>
      <w:r w:rsidR="009E1EB3">
        <w:rPr>
          <w:color w:val="282727" w:themeColor="text2"/>
        </w:rPr>
        <w:t xml:space="preserve"> </w:t>
      </w:r>
      <w:r w:rsidR="00F95CD1">
        <w:rPr>
          <w:color w:val="282727" w:themeColor="text2"/>
        </w:rPr>
        <w:t>S</w:t>
      </w:r>
      <w:r w:rsidRPr="51EE06F6" w:rsidR="006A7218">
        <w:rPr>
          <w:color w:val="282727" w:themeColor="text2"/>
        </w:rPr>
        <w:t xml:space="preserve">chools should </w:t>
      </w:r>
      <w:r w:rsidRPr="51EE06F6" w:rsidR="00592EF6">
        <w:rPr>
          <w:color w:val="282727" w:themeColor="text2"/>
        </w:rPr>
        <w:t xml:space="preserve">have the right to </w:t>
      </w:r>
      <w:r w:rsidRPr="51EE06F6" w:rsidR="006A7218">
        <w:rPr>
          <w:color w:val="282727" w:themeColor="text2"/>
        </w:rPr>
        <w:t xml:space="preserve">suspend and exclude </w:t>
      </w:r>
      <w:r w:rsidRPr="51EE06F6" w:rsidR="00166E0C">
        <w:rPr>
          <w:color w:val="282727" w:themeColor="text2"/>
        </w:rPr>
        <w:t>pupils,</w:t>
      </w:r>
      <w:r w:rsidR="00F95CD1">
        <w:rPr>
          <w:color w:val="282727" w:themeColor="text2"/>
        </w:rPr>
        <w:t xml:space="preserve"> but </w:t>
      </w:r>
      <w:r w:rsidRPr="51EE06F6" w:rsidR="006A7218">
        <w:rPr>
          <w:color w:val="282727" w:themeColor="text2"/>
        </w:rPr>
        <w:t xml:space="preserve">the </w:t>
      </w:r>
      <w:r w:rsidRPr="51EE06F6" w:rsidR="5232A500">
        <w:rPr>
          <w:color w:val="282727" w:themeColor="text2"/>
        </w:rPr>
        <w:t>W</w:t>
      </w:r>
      <w:r w:rsidRPr="51EE06F6" w:rsidR="006A7218">
        <w:rPr>
          <w:color w:val="282727" w:themeColor="text2"/>
        </w:rPr>
        <w:t>hite</w:t>
      </w:r>
      <w:r w:rsidRPr="51EE06F6" w:rsidR="5239CB6A">
        <w:rPr>
          <w:color w:val="282727" w:themeColor="text2"/>
        </w:rPr>
        <w:t xml:space="preserve"> </w:t>
      </w:r>
      <w:r w:rsidRPr="51EE06F6" w:rsidR="5529CF74">
        <w:rPr>
          <w:color w:val="282727" w:themeColor="text2"/>
        </w:rPr>
        <w:t>P</w:t>
      </w:r>
      <w:r w:rsidRPr="51EE06F6" w:rsidR="006A7218">
        <w:rPr>
          <w:color w:val="282727" w:themeColor="text2"/>
        </w:rPr>
        <w:t xml:space="preserve">aper doesn’t seriously address whether suspensions work. Our research </w:t>
      </w:r>
      <w:r w:rsidRPr="51EE06F6" w:rsidR="00592EF6">
        <w:rPr>
          <w:color w:val="282727" w:themeColor="text2"/>
        </w:rPr>
        <w:t>with</w:t>
      </w:r>
      <w:r w:rsidRPr="51EE06F6" w:rsidR="006A7218">
        <w:rPr>
          <w:color w:val="282727" w:themeColor="text2"/>
        </w:rPr>
        <w:t xml:space="preserve"> EPI </w:t>
      </w:r>
      <w:r w:rsidR="00C44E90">
        <w:rPr>
          <w:color w:val="282727" w:themeColor="text2"/>
        </w:rPr>
        <w:t>casts doubt on this with</w:t>
      </w:r>
      <w:r w:rsidRPr="51EE06F6" w:rsidR="006A7218">
        <w:rPr>
          <w:color w:val="282727" w:themeColor="text2"/>
        </w:rPr>
        <w:t xml:space="preserve"> young people who were suspended </w:t>
      </w:r>
      <w:r w:rsidRPr="51EE06F6" w:rsidR="49D8CC0A">
        <w:rPr>
          <w:color w:val="282727" w:themeColor="text2"/>
        </w:rPr>
        <w:t>less</w:t>
      </w:r>
      <w:r w:rsidRPr="51EE06F6" w:rsidR="006A7218">
        <w:rPr>
          <w:color w:val="282727" w:themeColor="text2"/>
        </w:rPr>
        <w:t xml:space="preserve"> likely than their non-suspended counterparts </w:t>
      </w:r>
      <w:r w:rsidRPr="51EE06F6" w:rsidR="00952EDA">
        <w:rPr>
          <w:color w:val="282727" w:themeColor="text2"/>
        </w:rPr>
        <w:t>to pass key GCSEs</w:t>
      </w:r>
      <w:r>
        <w:rPr>
          <w:rStyle w:val="FootnoteReference"/>
          <w:color w:val="282727" w:themeColor="text2"/>
        </w:rPr>
        <w:footnoteReference w:id="15"/>
      </w:r>
      <w:r w:rsidRPr="51EE06F6" w:rsidR="00952EDA">
        <w:rPr>
          <w:color w:val="282727" w:themeColor="text2"/>
        </w:rPr>
        <w:t xml:space="preserve">, </w:t>
      </w:r>
      <w:r w:rsidRPr="25A2B23B" w:rsidR="3B101846">
        <w:rPr>
          <w:color w:val="282727" w:themeColor="text2"/>
        </w:rPr>
        <w:t xml:space="preserve">less likely </w:t>
      </w:r>
      <w:r w:rsidRPr="124DE95C" w:rsidR="3B101846">
        <w:rPr>
          <w:color w:val="282727" w:themeColor="text2"/>
        </w:rPr>
        <w:t xml:space="preserve">to </w:t>
      </w:r>
      <w:r w:rsidRPr="124DE95C" w:rsidR="4A753650">
        <w:rPr>
          <w:color w:val="282727" w:themeColor="text2"/>
        </w:rPr>
        <w:t>attend</w:t>
      </w:r>
      <w:r w:rsidRPr="51EE06F6" w:rsidR="00952EDA">
        <w:rPr>
          <w:color w:val="282727" w:themeColor="text2"/>
        </w:rPr>
        <w:t xml:space="preserve"> university and more likely to be NEET and claim </w:t>
      </w:r>
      <w:r w:rsidRPr="51EE06F6" w:rsidR="00C5253F">
        <w:rPr>
          <w:color w:val="282727" w:themeColor="text2"/>
        </w:rPr>
        <w:t>health</w:t>
      </w:r>
      <w:r w:rsidRPr="51EE06F6" w:rsidR="70450562">
        <w:rPr>
          <w:color w:val="282727" w:themeColor="text2"/>
        </w:rPr>
        <w:t>-r</w:t>
      </w:r>
      <w:r w:rsidRPr="51EE06F6" w:rsidR="00C5253F">
        <w:rPr>
          <w:color w:val="282727" w:themeColor="text2"/>
        </w:rPr>
        <w:t>elated benefits as young adults.</w:t>
      </w:r>
      <w:r>
        <w:rPr>
          <w:rStyle w:val="FootnoteReference"/>
          <w:color w:val="282727" w:themeColor="text2"/>
        </w:rPr>
        <w:footnoteReference w:id="16"/>
      </w:r>
      <w:r w:rsidRPr="51EE06F6" w:rsidR="00C5253F">
        <w:rPr>
          <w:color w:val="282727" w:themeColor="text2"/>
        </w:rPr>
        <w:t xml:space="preserve"> The more times they were suspended the higher the risk</w:t>
      </w:r>
      <w:r w:rsidRPr="51EE06F6" w:rsidR="443C0B3D">
        <w:rPr>
          <w:color w:val="282727" w:themeColor="text2"/>
        </w:rPr>
        <w:t>,</w:t>
      </w:r>
      <w:r w:rsidRPr="51EE06F6" w:rsidR="00C5253F">
        <w:rPr>
          <w:color w:val="282727" w:themeColor="text2"/>
        </w:rPr>
        <w:t xml:space="preserve"> and pupils who were suspended ten or more times had greater risk of poor life outcomes than those who were permanently excluded.</w:t>
      </w:r>
      <w:r>
        <w:rPr>
          <w:rStyle w:val="FootnoteReference"/>
          <w:color w:val="282727" w:themeColor="text2"/>
        </w:rPr>
        <w:footnoteReference w:id="17"/>
      </w:r>
      <w:r w:rsidRPr="51EE06F6" w:rsidR="00C5253F">
        <w:rPr>
          <w:color w:val="282727" w:themeColor="text2"/>
        </w:rPr>
        <w:t xml:space="preserve"> </w:t>
      </w:r>
    </w:p>
    <w:p w:rsidR="00EE7732" w:rsidP="00EE7732">
      <w:pPr>
        <w:spacing w:after="0" w:line="240" w:lineRule="auto"/>
        <w:ind w:left="360" w:hanging="357"/>
        <w:rPr>
          <w:color w:val="282727" w:themeColor="text2"/>
        </w:rPr>
      </w:pPr>
    </w:p>
    <w:p w:rsidR="00592EF6" w:rsidP="00EE7732">
      <w:pPr>
        <w:spacing w:after="0" w:line="240" w:lineRule="auto"/>
        <w:ind w:left="360" w:hanging="357"/>
        <w:rPr>
          <w:color w:val="282727" w:themeColor="text2"/>
        </w:rPr>
      </w:pPr>
      <w:r>
        <w:rPr>
          <w:color w:val="282727" w:themeColor="text2"/>
        </w:rPr>
        <w:t>3.2</w:t>
      </w:r>
      <w:r w:rsidRPr="51EE06F6" w:rsidR="0F820537">
        <w:rPr>
          <w:color w:val="282727" w:themeColor="text2"/>
        </w:rPr>
        <w:t>The</w:t>
      </w:r>
      <w:r w:rsidR="001A0ED2">
        <w:rPr>
          <w:color w:val="282727" w:themeColor="text2"/>
        </w:rPr>
        <w:t xml:space="preserve"> </w:t>
      </w:r>
      <w:r w:rsidRPr="51EE06F6" w:rsidR="0F820537">
        <w:rPr>
          <w:color w:val="282727" w:themeColor="text2"/>
        </w:rPr>
        <w:t>negative</w:t>
      </w:r>
      <w:r w:rsidR="001A0ED2">
        <w:rPr>
          <w:color w:val="282727" w:themeColor="text2"/>
        </w:rPr>
        <w:t xml:space="preserve"> </w:t>
      </w:r>
      <w:r w:rsidR="00EF5967">
        <w:rPr>
          <w:color w:val="282727" w:themeColor="text2"/>
        </w:rPr>
        <w:t>relationship between</w:t>
      </w:r>
      <w:r w:rsidRPr="51EE06F6" w:rsidR="482D655E">
        <w:rPr>
          <w:color w:val="282727" w:themeColor="text2"/>
        </w:rPr>
        <w:t xml:space="preserve"> suspension </w:t>
      </w:r>
      <w:r w:rsidR="00EF5967">
        <w:rPr>
          <w:color w:val="282727" w:themeColor="text2"/>
        </w:rPr>
        <w:t>and</w:t>
      </w:r>
      <w:r w:rsidRPr="51EE06F6" w:rsidR="482D655E">
        <w:rPr>
          <w:color w:val="282727" w:themeColor="text2"/>
        </w:rPr>
        <w:t xml:space="preserve"> pupil outcomes</w:t>
      </w:r>
      <w:r w:rsidRPr="51EE06F6" w:rsidR="0F820537">
        <w:rPr>
          <w:color w:val="282727" w:themeColor="text2"/>
        </w:rPr>
        <w:t xml:space="preserve"> s</w:t>
      </w:r>
      <w:r w:rsidRPr="51EE06F6">
        <w:rPr>
          <w:color w:val="282727" w:themeColor="text2"/>
        </w:rPr>
        <w:t>uggests s</w:t>
      </w:r>
      <w:r w:rsidRPr="51EE06F6" w:rsidR="00C5253F">
        <w:rPr>
          <w:color w:val="282727" w:themeColor="text2"/>
        </w:rPr>
        <w:t xml:space="preserve">uspension is not being used as a critical moment for intervention </w:t>
      </w:r>
      <w:r w:rsidR="003F0D50">
        <w:rPr>
          <w:color w:val="282727" w:themeColor="text2"/>
        </w:rPr>
        <w:t>and this must change</w:t>
      </w:r>
      <w:r w:rsidR="00EB70DB">
        <w:rPr>
          <w:color w:val="282727" w:themeColor="text2"/>
        </w:rPr>
        <w:t>.</w:t>
      </w:r>
      <w:r w:rsidR="00807AD0">
        <w:rPr>
          <w:color w:val="282727" w:themeColor="text2"/>
        </w:rPr>
        <w:t xml:space="preserve"> </w:t>
      </w:r>
      <w:r w:rsidR="00206438">
        <w:rPr>
          <w:color w:val="282727" w:themeColor="text2"/>
        </w:rPr>
        <w:t>W</w:t>
      </w:r>
      <w:r w:rsidR="009B0248">
        <w:rPr>
          <w:color w:val="282727" w:themeColor="text2"/>
        </w:rPr>
        <w:t xml:space="preserve">e recommend </w:t>
      </w:r>
      <w:r w:rsidRPr="1F2C0944" w:rsidR="4113E2A8">
        <w:rPr>
          <w:color w:val="282727" w:themeColor="text2"/>
        </w:rPr>
        <w:t xml:space="preserve">schools be required </w:t>
      </w:r>
      <w:r w:rsidRPr="51EE06F6">
        <w:rPr>
          <w:color w:val="282727" w:themeColor="text2"/>
        </w:rPr>
        <w:t xml:space="preserve">to collect </w:t>
      </w:r>
      <w:r w:rsidR="00F23650">
        <w:rPr>
          <w:color w:val="282727" w:themeColor="text2"/>
        </w:rPr>
        <w:t xml:space="preserve">and report </w:t>
      </w:r>
      <w:r w:rsidRPr="51EE06F6">
        <w:rPr>
          <w:color w:val="282727" w:themeColor="text2"/>
        </w:rPr>
        <w:t xml:space="preserve">data on </w:t>
      </w:r>
      <w:r w:rsidRPr="51EE06F6" w:rsidR="00013DFE">
        <w:rPr>
          <w:color w:val="282727" w:themeColor="text2"/>
        </w:rPr>
        <w:t xml:space="preserve">earlier forms of lost </w:t>
      </w:r>
      <w:r w:rsidRPr="51EE06F6" w:rsidR="00AD735D">
        <w:rPr>
          <w:color w:val="282727" w:themeColor="text2"/>
        </w:rPr>
        <w:t>learning</w:t>
      </w:r>
      <w:r w:rsidR="00AD735D">
        <w:rPr>
          <w:color w:val="282727" w:themeColor="text2"/>
        </w:rPr>
        <w:t xml:space="preserve"> –</w:t>
      </w:r>
      <w:r w:rsidRPr="14AD30C9" w:rsidR="00F44343">
        <w:rPr>
          <w:color w:val="282727" w:themeColor="text2"/>
        </w:rPr>
        <w:t xml:space="preserve"> </w:t>
      </w:r>
      <w:r w:rsidRPr="51EE06F6" w:rsidR="00C3393E">
        <w:rPr>
          <w:color w:val="282727" w:themeColor="text2"/>
        </w:rPr>
        <w:t xml:space="preserve">such as internal truancy or </w:t>
      </w:r>
      <w:r w:rsidRPr="51EE06F6" w:rsidR="00984403">
        <w:rPr>
          <w:color w:val="282727" w:themeColor="text2"/>
        </w:rPr>
        <w:t>being sent to an inclusion or isolation room</w:t>
      </w:r>
      <w:r w:rsidRPr="51EE06F6" w:rsidR="00013DFE">
        <w:rPr>
          <w:color w:val="282727" w:themeColor="text2"/>
        </w:rPr>
        <w:t xml:space="preserve"> </w:t>
      </w:r>
      <w:r w:rsidRPr="51EE06F6" w:rsidR="363CDF58">
        <w:rPr>
          <w:color w:val="282727" w:themeColor="text2"/>
        </w:rPr>
        <w:t xml:space="preserve">– </w:t>
      </w:r>
      <w:r w:rsidRPr="51EE06F6" w:rsidR="00013DFE">
        <w:rPr>
          <w:color w:val="282727" w:themeColor="text2"/>
        </w:rPr>
        <w:t>so</w:t>
      </w:r>
      <w:r w:rsidR="00F23650">
        <w:rPr>
          <w:color w:val="282727" w:themeColor="text2"/>
        </w:rPr>
        <w:t xml:space="preserve"> we have more accurate data on the true scale of lost learning</w:t>
      </w:r>
      <w:r w:rsidRPr="51EE06F6" w:rsidR="00984403">
        <w:rPr>
          <w:color w:val="282727" w:themeColor="text2"/>
        </w:rPr>
        <w:t xml:space="preserve">. Such data will </w:t>
      </w:r>
      <w:r w:rsidR="00F13088">
        <w:rPr>
          <w:color w:val="282727" w:themeColor="text2"/>
        </w:rPr>
        <w:t xml:space="preserve">also </w:t>
      </w:r>
      <w:r w:rsidRPr="51EE06F6" w:rsidR="00984403">
        <w:rPr>
          <w:color w:val="282727" w:themeColor="text2"/>
        </w:rPr>
        <w:t xml:space="preserve">enable schools to have a benchmark for how inclusive they are, identify the populations at highest risk and develop </w:t>
      </w:r>
      <w:r w:rsidR="008C3299">
        <w:rPr>
          <w:color w:val="282727" w:themeColor="text2"/>
        </w:rPr>
        <w:t>a</w:t>
      </w:r>
      <w:r w:rsidR="001A0ED2">
        <w:rPr>
          <w:color w:val="282727" w:themeColor="text2"/>
        </w:rPr>
        <w:t xml:space="preserve"> preventative and</w:t>
      </w:r>
      <w:r w:rsidR="008C3299">
        <w:rPr>
          <w:color w:val="282727" w:themeColor="text2"/>
        </w:rPr>
        <w:t xml:space="preserve"> </w:t>
      </w:r>
      <w:r w:rsidRPr="51EE06F6" w:rsidR="008C3299">
        <w:rPr>
          <w:color w:val="282727" w:themeColor="text2"/>
        </w:rPr>
        <w:t>evidence</w:t>
      </w:r>
      <w:r w:rsidR="008C3299">
        <w:rPr>
          <w:color w:val="282727" w:themeColor="text2"/>
        </w:rPr>
        <w:t xml:space="preserve"> led</w:t>
      </w:r>
      <w:r w:rsidRPr="51EE06F6" w:rsidR="00984403">
        <w:rPr>
          <w:color w:val="282727" w:themeColor="text2"/>
        </w:rPr>
        <w:t xml:space="preserve"> strategic approach </w:t>
      </w:r>
      <w:r w:rsidR="00D63C2F">
        <w:rPr>
          <w:color w:val="282727" w:themeColor="text2"/>
        </w:rPr>
        <w:t>to</w:t>
      </w:r>
      <w:r w:rsidR="00AA4455">
        <w:rPr>
          <w:color w:val="282727" w:themeColor="text2"/>
        </w:rPr>
        <w:t xml:space="preserve"> reducing lost learning</w:t>
      </w:r>
      <w:r w:rsidR="001B1A51">
        <w:rPr>
          <w:color w:val="282727" w:themeColor="text2"/>
        </w:rPr>
        <w:t xml:space="preserve"> through suspension</w:t>
      </w:r>
      <w:r w:rsidR="00AA4455">
        <w:rPr>
          <w:color w:val="282727" w:themeColor="text2"/>
        </w:rPr>
        <w:t>.</w:t>
      </w:r>
      <w:r>
        <w:rPr>
          <w:rStyle w:val="FootnoteReference"/>
          <w:color w:val="282727" w:themeColor="text2"/>
        </w:rPr>
        <w:footnoteReference w:id="18"/>
      </w:r>
    </w:p>
    <w:p w:rsidR="001D6460" w:rsidP="00EE7732">
      <w:pPr>
        <w:spacing w:after="0" w:line="240" w:lineRule="auto"/>
        <w:ind w:left="360" w:hanging="357"/>
        <w:rPr>
          <w:color w:val="282727" w:themeColor="text2"/>
        </w:rPr>
      </w:pPr>
    </w:p>
    <w:p w:rsidR="00592EF6" w:rsidRPr="00CA7648" w:rsidP="00EE7732">
      <w:pPr>
        <w:spacing w:after="0" w:line="240" w:lineRule="auto"/>
        <w:ind w:left="360" w:hanging="357"/>
        <w:rPr>
          <w:color w:val="282727" w:themeColor="text2"/>
        </w:rPr>
      </w:pPr>
      <w:r>
        <w:rPr>
          <w:color w:val="282727" w:themeColor="text2"/>
        </w:rPr>
        <w:t xml:space="preserve">3.3 </w:t>
      </w:r>
      <w:r w:rsidRPr="51EE06F6" w:rsidR="3C3CCCF1">
        <w:rPr>
          <w:color w:val="282727" w:themeColor="text2"/>
        </w:rPr>
        <w:t>We are c</w:t>
      </w:r>
      <w:r w:rsidRPr="51EE06F6" w:rsidR="00984403">
        <w:rPr>
          <w:color w:val="282727" w:themeColor="text2"/>
        </w:rPr>
        <w:t>o</w:t>
      </w:r>
      <w:r w:rsidRPr="51EE06F6" w:rsidR="00613953">
        <w:rPr>
          <w:color w:val="282727" w:themeColor="text2"/>
        </w:rPr>
        <w:t>ncerned that ongoing high rates of suspension that schools have to accommodate on premises will result in more use of inclusion rooms that act as holding spaces for students</w:t>
      </w:r>
      <w:r w:rsidRPr="51EE06F6" w:rsidR="68767154">
        <w:rPr>
          <w:color w:val="282727" w:themeColor="text2"/>
        </w:rPr>
        <w:t>,</w:t>
      </w:r>
      <w:r w:rsidRPr="51EE06F6" w:rsidR="00613953">
        <w:rPr>
          <w:color w:val="282727" w:themeColor="text2"/>
        </w:rPr>
        <w:t xml:space="preserve"> </w:t>
      </w:r>
      <w:r w:rsidRPr="51EE06F6" w:rsidR="00861D9E">
        <w:rPr>
          <w:color w:val="282727" w:themeColor="text2"/>
        </w:rPr>
        <w:t xml:space="preserve">or </w:t>
      </w:r>
      <w:r w:rsidRPr="51EE06F6" w:rsidR="60248274">
        <w:rPr>
          <w:color w:val="282727" w:themeColor="text2"/>
        </w:rPr>
        <w:t>that</w:t>
      </w:r>
      <w:r w:rsidRPr="51EE06F6" w:rsidR="00861D9E">
        <w:rPr>
          <w:color w:val="282727" w:themeColor="text2"/>
        </w:rPr>
        <w:t xml:space="preserve"> new </w:t>
      </w:r>
      <w:r w:rsidR="0096651A">
        <w:rPr>
          <w:color w:val="282727" w:themeColor="text2"/>
        </w:rPr>
        <w:t>I</w:t>
      </w:r>
      <w:r w:rsidRPr="51EE06F6" w:rsidR="00861D9E">
        <w:rPr>
          <w:color w:val="282727" w:themeColor="text2"/>
        </w:rPr>
        <w:t xml:space="preserve">nclusion </w:t>
      </w:r>
      <w:r w:rsidR="0096651A">
        <w:rPr>
          <w:color w:val="282727" w:themeColor="text2"/>
        </w:rPr>
        <w:t>B</w:t>
      </w:r>
      <w:r w:rsidRPr="51EE06F6" w:rsidR="00861D9E">
        <w:rPr>
          <w:color w:val="282727" w:themeColor="text2"/>
        </w:rPr>
        <w:t>ase</w:t>
      </w:r>
      <w:r w:rsidR="00BF4E37">
        <w:rPr>
          <w:color w:val="282727" w:themeColor="text2"/>
        </w:rPr>
        <w:t xml:space="preserve"> (IB)</w:t>
      </w:r>
      <w:r w:rsidRPr="51EE06F6" w:rsidR="00861D9E">
        <w:rPr>
          <w:color w:val="282727" w:themeColor="text2"/>
        </w:rPr>
        <w:t xml:space="preserve"> provision will be overwhelmed with suspended students – undermining their ability to work for the students in them. </w:t>
      </w:r>
      <w:r w:rsidR="00A76475">
        <w:rPr>
          <w:color w:val="282727" w:themeColor="text2"/>
        </w:rPr>
        <w:t xml:space="preserve">Impetus has supported the design and delivery of </w:t>
      </w:r>
      <w:r w:rsidR="006F4765">
        <w:rPr>
          <w:color w:val="282727" w:themeColor="text2"/>
        </w:rPr>
        <w:t xml:space="preserve">effective </w:t>
      </w:r>
      <w:r w:rsidR="00BF4E37">
        <w:rPr>
          <w:color w:val="282727" w:themeColor="text2"/>
        </w:rPr>
        <w:t xml:space="preserve">IBs </w:t>
      </w:r>
      <w:r w:rsidR="00957BB3">
        <w:rPr>
          <w:color w:val="282727" w:themeColor="text2"/>
        </w:rPr>
        <w:t>at Co-op Academies Trust</w:t>
      </w:r>
      <w:r>
        <w:rPr>
          <w:rStyle w:val="FootnoteReference"/>
          <w:color w:val="282727" w:themeColor="text2"/>
        </w:rPr>
        <w:footnoteReference w:id="19"/>
      </w:r>
      <w:r w:rsidR="00957BB3">
        <w:rPr>
          <w:color w:val="282727" w:themeColor="text2"/>
        </w:rPr>
        <w:t xml:space="preserve"> and The Two Counties Trust.</w:t>
      </w:r>
      <w:r>
        <w:rPr>
          <w:rStyle w:val="FootnoteReference"/>
          <w:color w:val="282727" w:themeColor="text2"/>
        </w:rPr>
        <w:footnoteReference w:id="20"/>
      </w:r>
      <w:r w:rsidR="00957BB3">
        <w:rPr>
          <w:color w:val="282727" w:themeColor="text2"/>
        </w:rPr>
        <w:t xml:space="preserve"> </w:t>
      </w:r>
      <w:r w:rsidR="00377381">
        <w:rPr>
          <w:color w:val="282727" w:themeColor="text2"/>
        </w:rPr>
        <w:t xml:space="preserve">A Theory of Change that establishes who the provision is for and not for, </w:t>
      </w:r>
      <w:r w:rsidR="00BD36C3">
        <w:rPr>
          <w:color w:val="282727" w:themeColor="text2"/>
        </w:rPr>
        <w:t>deliberately designed and time</w:t>
      </w:r>
      <w:r w:rsidRPr="14AD30C9" w:rsidR="001F4429">
        <w:rPr>
          <w:color w:val="282727" w:themeColor="text2"/>
        </w:rPr>
        <w:t>d</w:t>
      </w:r>
      <w:r w:rsidR="00BD36C3">
        <w:rPr>
          <w:color w:val="282727" w:themeColor="text2"/>
        </w:rPr>
        <w:t xml:space="preserve"> interventions with </w:t>
      </w:r>
      <w:r w:rsidR="00CA7648">
        <w:rPr>
          <w:color w:val="282727" w:themeColor="text2"/>
        </w:rPr>
        <w:t>reintegration to mainstream classrooms and r</w:t>
      </w:r>
      <w:r w:rsidR="00765F8E">
        <w:rPr>
          <w:color w:val="282727" w:themeColor="text2"/>
        </w:rPr>
        <w:t>obust referral and onboarding procedures are key features of effective IB provision</w:t>
      </w:r>
      <w:r w:rsidR="00CA7648">
        <w:rPr>
          <w:color w:val="282727" w:themeColor="text2"/>
        </w:rPr>
        <w:t xml:space="preserve">. If developed and delivered in this way, IBs can reduce </w:t>
      </w:r>
      <w:r w:rsidR="00AE3BAC">
        <w:rPr>
          <w:color w:val="282727" w:themeColor="text2"/>
        </w:rPr>
        <w:t>exclusions</w:t>
      </w:r>
      <w:r w:rsidR="00224925">
        <w:rPr>
          <w:color w:val="282727" w:themeColor="text2"/>
        </w:rPr>
        <w:t xml:space="preserve"> – for example, </w:t>
      </w:r>
      <w:r w:rsidR="00B31668">
        <w:rPr>
          <w:color w:val="282727" w:themeColor="text2"/>
        </w:rPr>
        <w:t xml:space="preserve">in 2024/25 </w:t>
      </w:r>
      <w:r w:rsidR="000E63F0">
        <w:rPr>
          <w:color w:val="282727" w:themeColor="text2"/>
        </w:rPr>
        <w:t xml:space="preserve">there was a </w:t>
      </w:r>
      <w:r w:rsidR="00C51152">
        <w:rPr>
          <w:color w:val="282727" w:themeColor="text2"/>
        </w:rPr>
        <w:t xml:space="preserve">73% reduction in exclusions in </w:t>
      </w:r>
      <w:r w:rsidR="00467F91">
        <w:rPr>
          <w:color w:val="282727" w:themeColor="text2"/>
        </w:rPr>
        <w:t xml:space="preserve">the 10 </w:t>
      </w:r>
      <w:r w:rsidR="00E07C3A">
        <w:rPr>
          <w:color w:val="282727" w:themeColor="text2"/>
        </w:rPr>
        <w:t>Co-op Academie</w:t>
      </w:r>
      <w:r w:rsidR="00467F91">
        <w:rPr>
          <w:color w:val="282727" w:themeColor="text2"/>
        </w:rPr>
        <w:t xml:space="preserve">s Trust schools with an IB. </w:t>
      </w:r>
    </w:p>
    <w:p w:rsidR="002B05B2" w:rsidP="00943FD4">
      <w:pPr>
        <w:ind w:left="360"/>
        <w:rPr>
          <w:color w:val="282727" w:themeColor="text1"/>
        </w:rPr>
      </w:pPr>
    </w:p>
    <w:p w:rsidR="00593978" w:rsidP="00593978">
      <w:pPr>
        <w:rPr>
          <w:color w:val="282727" w:themeColor="text1"/>
        </w:rPr>
      </w:pPr>
    </w:p>
    <w:p w:rsidR="00BD22CA" w:rsidP="00242DF5"/>
    <w:sectPr>
      <w:headerReference w:type="default" r:id="rId9"/>
      <w:foot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3D01" w:rsidRPr="00E0463C" w:rsidP="001C7F98">
    <w:pPr>
      <w:pStyle w:val="Footer"/>
      <w:spacing w:after="80"/>
      <w:rPr>
        <w:noProof/>
        <w:sz w:val="16"/>
        <w:szCs w:val="16"/>
      </w:rPr>
    </w:pPr>
    <w:r w:rsidRPr="001C7F98">
      <w:rPr>
        <w:noProof/>
        <w:sz w:val="16"/>
        <w:szCs w:val="16"/>
      </w:rPr>
      <w:fldChar w:fldCharType="begin"/>
    </w:r>
    <w:r w:rsidRPr="001C7F98">
      <w:rPr>
        <w:noProof/>
        <w:sz w:val="16"/>
        <w:szCs w:val="16"/>
      </w:rPr>
      <w:instrText xml:space="preserve"> PAGE   \* MERGEFORMAT </w:instrText>
    </w:r>
    <w:r w:rsidRPr="001C7F98">
      <w:rPr>
        <w:noProof/>
        <w:sz w:val="16"/>
        <w:szCs w:val="16"/>
      </w:rPr>
      <w:fldChar w:fldCharType="separate"/>
    </w:r>
    <w:r w:rsidRPr="001C7F98">
      <w:rPr>
        <w:noProof/>
        <w:sz w:val="16"/>
        <w:szCs w:val="16"/>
      </w:rPr>
      <w:t>1</w:t>
    </w:r>
    <w:r w:rsidRPr="001C7F98">
      <w:rPr>
        <w:noProof/>
        <w:sz w:val="16"/>
        <w:szCs w:val="16"/>
      </w:rPr>
      <w:fldChar w:fldCharType="end"/>
    </w:r>
    <w:r>
      <w:rPr>
        <w:noProof/>
        <w:sz w:val="16"/>
        <w:szCs w:val="16"/>
      </w:rPr>
      <w:tab/>
    </w:r>
    <w:r w:rsidRPr="00E0463C">
      <w:rPr>
        <w:sz w:val="16"/>
        <w:szCs w:val="16"/>
      </w:rPr>
      <w:t xml:space="preserve">info@impetus.org.uk   </w:t>
    </w:r>
    <w:r w:rsidRPr="00293FAC">
      <w:rPr>
        <w:color w:val="FF591F"/>
        <w:sz w:val="16"/>
        <w:szCs w:val="16"/>
      </w:rPr>
      <w:t>|</w:t>
    </w:r>
    <w:r w:rsidRPr="00E0463C">
      <w:rPr>
        <w:sz w:val="16"/>
        <w:szCs w:val="16"/>
      </w:rPr>
      <w:t xml:space="preserve">   impetus.org.uk   </w:t>
    </w:r>
    <w:r w:rsidRPr="00293FAC">
      <w:rPr>
        <w:color w:val="FF591F"/>
        <w:sz w:val="16"/>
        <w:szCs w:val="16"/>
      </w:rPr>
      <w:t xml:space="preserve">| </w:t>
    </w:r>
    <w:r w:rsidRPr="00E0463C">
      <w:rPr>
        <w:sz w:val="16"/>
        <w:szCs w:val="16"/>
      </w:rPr>
      <w:t xml:space="preserve">  @Impetus</w:t>
    </w:r>
    <w:r w:rsidR="00361C1E">
      <w:rPr>
        <w:sz w:val="16"/>
        <w:szCs w:val="16"/>
      </w:rPr>
      <w:t>UK</w:t>
    </w:r>
  </w:p>
  <w:p w:rsidR="00813D01" w:rsidRPr="00E0463C" w:rsidP="00813D01">
    <w:pPr>
      <w:pStyle w:val="Footer"/>
      <w:spacing w:after="80"/>
      <w:jc w:val="center"/>
      <w:rPr>
        <w:sz w:val="16"/>
        <w:szCs w:val="16"/>
      </w:rPr>
    </w:pPr>
    <w:r w:rsidRPr="00E0463C">
      <w:rPr>
        <w:sz w:val="16"/>
        <w:szCs w:val="16"/>
      </w:rPr>
      <w:t>1</w:t>
    </w:r>
    <w:r w:rsidRPr="00E0463C">
      <w:rPr>
        <w:sz w:val="16"/>
        <w:szCs w:val="16"/>
        <w:vertAlign w:val="superscript"/>
      </w:rPr>
      <w:t>st</w:t>
    </w:r>
    <w:r w:rsidRPr="00E0463C">
      <w:rPr>
        <w:sz w:val="16"/>
        <w:szCs w:val="16"/>
      </w:rPr>
      <w:t xml:space="preserve"> Floor, Golden Cross House, 8 Duncannon St, London</w:t>
    </w:r>
    <w:r w:rsidR="00B079C0">
      <w:rPr>
        <w:sz w:val="16"/>
        <w:szCs w:val="16"/>
      </w:rPr>
      <w:t>,</w:t>
    </w:r>
    <w:r w:rsidRPr="00E0463C">
      <w:rPr>
        <w:sz w:val="16"/>
        <w:szCs w:val="16"/>
      </w:rPr>
      <w:t xml:space="preserve"> WC2N 4JF</w:t>
    </w:r>
  </w:p>
  <w:p w:rsidR="00E82EA0" w:rsidRPr="00813D01" w:rsidP="00813D01">
    <w:pPr>
      <w:pStyle w:val="Footer"/>
      <w:jc w:val="center"/>
      <w:rPr>
        <w:sz w:val="12"/>
        <w:szCs w:val="12"/>
      </w:rPr>
    </w:pPr>
    <w:r w:rsidRPr="00293FAC">
      <w:rPr>
        <w:rFonts w:cstheme="minorHAnsi"/>
        <w:color w:val="FF591F"/>
        <w:sz w:val="12"/>
        <w:szCs w:val="12"/>
      </w:rPr>
      <w:t>©</w:t>
    </w:r>
    <w:r w:rsidRPr="00293FAC">
      <w:rPr>
        <w:color w:val="FF591F"/>
        <w:sz w:val="12"/>
        <w:szCs w:val="12"/>
      </w:rPr>
      <w:t xml:space="preserve"> Impetus – The Private Equity Foundation | Company number 8460619 | Charity number 1152262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314CE" w:rsidP="00B3257D">
      <w:r>
        <w:separator/>
      </w:r>
    </w:p>
  </w:footnote>
  <w:footnote w:type="continuationSeparator" w:id="1">
    <w:p w:rsidR="00B314CE" w:rsidP="00B3257D">
      <w:r>
        <w:continuationSeparator/>
      </w:r>
    </w:p>
  </w:footnote>
  <w:footnote w:id="2">
    <w:p w:rsidR="001915F4">
      <w:pPr>
        <w:pStyle w:val="FootnoteText"/>
      </w:pPr>
      <w:r>
        <w:rPr>
          <w:rStyle w:val="FootnoteReference"/>
        </w:rPr>
        <w:footnoteRef/>
      </w:r>
      <w:r>
        <w:t xml:space="preserve"> </w:t>
      </w:r>
      <w:r>
        <w:fldChar w:fldCharType="begin"/>
      </w:r>
      <w:r>
        <w:instrText xml:space="preserve"> HYPERLINK "https://www.impetus.org.uk/" </w:instrText>
      </w:r>
      <w:r>
        <w:fldChar w:fldCharType="separate"/>
      </w:r>
      <w:r w:rsidR="00AF14BF">
        <w:t xml:space="preserve">Impetus (no date) Impetus. Available at: </w:t>
      </w:r>
      <w:r w:rsidRPr="00B7715B">
        <w:rPr>
          <w:rStyle w:val="Hyperlink"/>
        </w:rPr>
        <w:t>https://www.impetus.org.uk/</w:t>
      </w:r>
      <w:r>
        <w:fldChar w:fldCharType="end"/>
      </w:r>
      <w:r>
        <w:t xml:space="preserve"> </w:t>
      </w:r>
    </w:p>
  </w:footnote>
  <w:footnote w:id="3">
    <w:p w:rsidR="003C5F11">
      <w:pPr>
        <w:pStyle w:val="FootnoteText"/>
      </w:pPr>
      <w:r>
        <w:rPr>
          <w:rStyle w:val="FootnoteReference"/>
        </w:rPr>
        <w:footnoteRef/>
      </w:r>
      <w:r>
        <w:t xml:space="preserve"> </w:t>
      </w:r>
      <w:r>
        <w:fldChar w:fldCharType="begin"/>
      </w:r>
      <w:r>
        <w:instrText xml:space="preserve"> HYPERLINK "https://explore-education-statistics.service.gov.uk/find-statistics/level-2-and-3-attainment-by-young-people-aged-19/2024-25" \l "54a5-english-and-maths-attainment-by-pupil-characteristics" </w:instrText>
      </w:r>
      <w:r>
        <w:fldChar w:fldCharType="separate"/>
      </w:r>
      <w:r w:rsidRPr="00A91DC4">
        <w:rPr>
          <w:rStyle w:val="Hyperlink"/>
        </w:rPr>
        <w:t>https://explore-education-statistics.service.gov.uk/find-statistics/level-2-and-3-attainment-by-young-people-aged-19/2024-25#54a5-english-and-maths-attainment-by-pupil-characteristics</w:t>
      </w:r>
      <w:r>
        <w:fldChar w:fldCharType="end"/>
      </w:r>
      <w:r>
        <w:t xml:space="preserve"> </w:t>
      </w:r>
    </w:p>
  </w:footnote>
  <w:footnote w:id="4">
    <w:p w:rsidR="00733135">
      <w:pPr>
        <w:pStyle w:val="FootnoteText"/>
      </w:pPr>
      <w:r>
        <w:rPr>
          <w:rStyle w:val="FootnoteReference"/>
        </w:rPr>
        <w:footnoteRef/>
      </w:r>
      <w:r>
        <w:t xml:space="preserve"> </w:t>
      </w:r>
      <w:r>
        <w:fldChar w:fldCharType="begin"/>
      </w:r>
      <w:r>
        <w:instrText xml:space="preserve"> HYPERLINK "https://impetus-org.files.svdcdn.com/production/assets/publications/Research-Briefing-9-The-impact-of-English-and-maths.pdf?dm=1752143506" </w:instrText>
      </w:r>
      <w:r>
        <w:fldChar w:fldCharType="separate"/>
      </w:r>
      <w:r w:rsidR="00AF14BF">
        <w:t xml:space="preserve">Impetus (2020) Research Briefing 9: The impact of English and maths. London: Impetus. Available at: </w:t>
      </w:r>
      <w:r w:rsidRPr="00B7715B">
        <w:rPr>
          <w:rStyle w:val="Hyperlink"/>
        </w:rPr>
        <w:t>https://impetus-org.files.svdcdn.com/production/assets/publications/Research-Briefing-9-The-impact-of-English-and-maths.pdf?dm=1752143506</w:t>
      </w:r>
      <w:r>
        <w:fldChar w:fldCharType="end"/>
      </w:r>
      <w:r>
        <w:t xml:space="preserve"> </w:t>
      </w:r>
    </w:p>
  </w:footnote>
  <w:footnote w:id="5">
    <w:p w:rsidR="006147C5">
      <w:pPr>
        <w:pStyle w:val="FootnoteText"/>
      </w:pPr>
      <w:r>
        <w:rPr>
          <w:rStyle w:val="FootnoteReference"/>
        </w:rPr>
        <w:footnoteRef/>
      </w:r>
      <w:r>
        <w:t xml:space="preserve"> </w:t>
      </w:r>
      <w:r w:rsidRPr="006147C5">
        <w:t xml:space="preserve">Education Policy Institute (2026) Annual Report 2026. Available at: </w:t>
      </w:r>
      <w:r>
        <w:fldChar w:fldCharType="begin"/>
      </w:r>
      <w:r>
        <w:instrText xml:space="preserve"> HYPERLINK "https://epi.org.uk/annual-report-2026/" </w:instrText>
      </w:r>
      <w:r>
        <w:fldChar w:fldCharType="separate"/>
      </w:r>
      <w:r w:rsidRPr="00A91DC4">
        <w:rPr>
          <w:rStyle w:val="Hyperlink"/>
        </w:rPr>
        <w:t>https://epi.org.uk/annual-report-2026/</w:t>
      </w:r>
      <w:r>
        <w:fldChar w:fldCharType="end"/>
      </w:r>
      <w:r>
        <w:t xml:space="preserve"> </w:t>
      </w:r>
    </w:p>
  </w:footnote>
  <w:footnote w:id="6">
    <w:p w:rsidR="00A964D5">
      <w:pPr>
        <w:pStyle w:val="FootnoteText"/>
      </w:pPr>
      <w:r>
        <w:rPr>
          <w:rStyle w:val="FootnoteReference"/>
        </w:rPr>
        <w:footnoteRef/>
      </w:r>
      <w:r>
        <w:t xml:space="preserve"> </w:t>
      </w:r>
      <w:r>
        <w:fldChar w:fldCharType="begin"/>
      </w:r>
      <w:r>
        <w:instrText xml:space="preserve"> HYPERLINK "https://educationendowmentfoundation.org.uk/education-evidence/teaching-learning-toolkit/small-group-tuition" </w:instrText>
      </w:r>
      <w:r>
        <w:fldChar w:fldCharType="separate"/>
      </w:r>
      <w:r w:rsidR="00AF14BF">
        <w:t xml:space="preserve">Education Endowment Foundation (2021) Small group tuition, Teaching and Learning Toolkit. London: Education Endowment Foundation. Available at: </w:t>
      </w:r>
      <w:r w:rsidRPr="00B7715B">
        <w:rPr>
          <w:rStyle w:val="Hyperlink"/>
        </w:rPr>
        <w:t>https://educationendowmentfoundation.org.uk/education-evidence/teaching-learning-toolkit/small-group-tuition</w:t>
      </w:r>
      <w:r>
        <w:fldChar w:fldCharType="end"/>
      </w:r>
      <w:r>
        <w:t xml:space="preserve"> </w:t>
      </w:r>
    </w:p>
  </w:footnote>
  <w:footnote w:id="7">
    <w:p w:rsidR="006E2001">
      <w:pPr>
        <w:pStyle w:val="FootnoteText"/>
      </w:pPr>
      <w:r>
        <w:rPr>
          <w:rStyle w:val="FootnoteReference"/>
        </w:rPr>
        <w:footnoteRef/>
      </w:r>
      <w:r>
        <w:t xml:space="preserve"> </w:t>
      </w:r>
      <w:r>
        <w:fldChar w:fldCharType="begin"/>
      </w:r>
      <w:r>
        <w:instrText xml:space="preserve"> HYPERLINK "https://www.suttontrust.com/our-research/private-tutoring-2026/" </w:instrText>
      </w:r>
      <w:r>
        <w:fldChar w:fldCharType="separate"/>
      </w:r>
      <w:r w:rsidR="00AF14BF">
        <w:t xml:space="preserve">The Sutton Trust (2026) Private Tutoring 2026. London: The Sutton Trust. Available at: </w:t>
      </w:r>
      <w:r w:rsidRPr="00B7715B" w:rsidR="00A964D5">
        <w:rPr>
          <w:rStyle w:val="Hyperlink"/>
        </w:rPr>
        <w:t>https://www.suttontrust.com/our-research/private-tutoring-2026/</w:t>
      </w:r>
      <w:r>
        <w:fldChar w:fldCharType="end"/>
      </w:r>
      <w:r w:rsidR="00A964D5">
        <w:t xml:space="preserve"> </w:t>
      </w:r>
    </w:p>
  </w:footnote>
  <w:footnote w:id="8">
    <w:p w:rsidR="00F01D93">
      <w:pPr>
        <w:pStyle w:val="FootnoteText"/>
      </w:pPr>
      <w:r>
        <w:rPr>
          <w:rStyle w:val="FootnoteReference"/>
        </w:rPr>
        <w:footnoteRef/>
      </w:r>
      <w:r>
        <w:t xml:space="preserve"> </w:t>
      </w:r>
      <w:r>
        <w:fldChar w:fldCharType="begin"/>
      </w:r>
      <w:r>
        <w:instrText xml:space="preserve"> HYPERLINK "https://ifs.org.uk/sites/default/files/2023-12/IFS-Annual-report-on-education-spending-in-England-2023-new.pdf" </w:instrText>
      </w:r>
      <w:r>
        <w:fldChar w:fldCharType="separate"/>
      </w:r>
      <w:r w:rsidR="00AF14BF">
        <w:t xml:space="preserve">Drayton, E., Farquharson, C., Ogden, K., Sibieta, L., Tahir, I. and Waltmann, B. (2023) Annual report on education spending in England: 2023, IFS Report R290. London: Institute for Fiscal Studies. Available at: </w:t>
      </w:r>
      <w:r w:rsidRPr="00B7715B">
        <w:rPr>
          <w:rStyle w:val="Hyperlink"/>
        </w:rPr>
        <w:t>https://ifs.org.uk/sites/default/files/2023-12/IFS-Annual-report-on-education-spending-in-England-2023-new.pdf</w:t>
      </w:r>
      <w:r>
        <w:fldChar w:fldCharType="end"/>
      </w:r>
      <w:r>
        <w:t xml:space="preserve"> </w:t>
      </w:r>
    </w:p>
  </w:footnote>
  <w:footnote w:id="9">
    <w:p w:rsidR="005A39EC">
      <w:pPr>
        <w:pStyle w:val="FootnoteText"/>
      </w:pPr>
      <w:r>
        <w:rPr>
          <w:rStyle w:val="FootnoteReference"/>
        </w:rPr>
        <w:footnoteRef/>
      </w:r>
      <w:r>
        <w:t xml:space="preserve"> Gurung, et al. (2025). Human tutoring improves the impact of AI tutor use on learning outcomes. In: Cristea, A.I., Walker, E., Lu, Y., Santos, O.C., </w:t>
      </w:r>
      <w:r>
        <w:t>Isotani</w:t>
      </w:r>
      <w:r>
        <w:t xml:space="preserve">, S. (eds) Artificial Intelligence in Education. AIED 2025. Lecture Notes in Computer Science, vol 15880. Springer, Cham. </w:t>
      </w:r>
    </w:p>
  </w:footnote>
  <w:footnote w:id="10">
    <w:p w:rsidR="0096615F">
      <w:pPr>
        <w:pStyle w:val="FootnoteText"/>
      </w:pPr>
      <w:r>
        <w:rPr>
          <w:rStyle w:val="FootnoteReference"/>
        </w:rPr>
        <w:footnoteRef/>
      </w:r>
      <w:r>
        <w:t xml:space="preserve"> </w:t>
      </w:r>
      <w:r>
        <w:fldChar w:fldCharType="begin"/>
      </w:r>
      <w:r>
        <w:instrText xml:space="preserve"> HYPERLINK "https://www.thetutortrust.org/impact/our-2025-impact-report" </w:instrText>
      </w:r>
      <w:r>
        <w:fldChar w:fldCharType="separate"/>
      </w:r>
      <w:r w:rsidR="00AF14BF">
        <w:t xml:space="preserve">The Tutor Trust (2025) Our 2025 Impact Report. Manchester: The Tutor Trust. Available at: </w:t>
      </w:r>
      <w:r w:rsidRPr="00B7715B">
        <w:rPr>
          <w:rStyle w:val="Hyperlink"/>
        </w:rPr>
        <w:t>https://www.thetutortrust.org/impact/our-2025-impact-report</w:t>
      </w:r>
      <w:r>
        <w:fldChar w:fldCharType="end"/>
      </w:r>
      <w:r>
        <w:t xml:space="preserve"> </w:t>
      </w:r>
    </w:p>
  </w:footnote>
  <w:footnote w:id="11">
    <w:p w:rsidR="00D52CF1">
      <w:pPr>
        <w:pStyle w:val="FootnoteText"/>
      </w:pPr>
      <w:r>
        <w:rPr>
          <w:rStyle w:val="FootnoteReference"/>
        </w:rPr>
        <w:footnoteRef/>
      </w:r>
      <w:r>
        <w:t xml:space="preserve"> </w:t>
      </w:r>
      <w:r>
        <w:fldChar w:fldCharType="begin"/>
      </w:r>
      <w:r>
        <w:instrText xml:space="preserve"> HYPERLINK "https://impetus-org.files.svdcdn.com/production/assets/publications/Listening-to-and-learning-from-parents-in-the-attendance-crisis.pdf" </w:instrText>
      </w:r>
      <w:r>
        <w:fldChar w:fldCharType="separate"/>
      </w:r>
      <w:r w:rsidRPr="008D4AFA" w:rsidR="006173BD">
        <w:t xml:space="preserve">Burtonshaw, S. and Dorrell, E. (2023) Listening to, and learning from, parents in the attendance crisis. London: Impetus, in partnership with Public First. Available at: </w:t>
      </w:r>
      <w:r w:rsidRPr="00B7715B">
        <w:rPr>
          <w:rStyle w:val="Hyperlink"/>
        </w:rPr>
        <w:t>https://impetus-org.files.svdcdn.com/production/assets/publications/Listening-to-and-learning-from-parents-in-the-attendance-crisis.pdf</w:t>
      </w:r>
      <w:r>
        <w:fldChar w:fldCharType="end"/>
      </w:r>
      <w:r>
        <w:t xml:space="preserve"> </w:t>
      </w:r>
    </w:p>
  </w:footnote>
  <w:footnote w:id="12">
    <w:p w:rsidR="004B4881">
      <w:pPr>
        <w:pStyle w:val="FootnoteText"/>
      </w:pPr>
      <w:r>
        <w:rPr>
          <w:rStyle w:val="FootnoteReference"/>
        </w:rPr>
        <w:footnoteRef/>
      </w:r>
      <w:r>
        <w:t xml:space="preserve"> </w:t>
      </w:r>
      <w:r>
        <w:fldChar w:fldCharType="begin"/>
      </w:r>
      <w:r>
        <w:instrText xml:space="preserve"> HYPERLINK "https://impetus-org.files.svdcdn.com/production/assets/publications/Report/listening-learning-young-people-attendance-crisis.pdf?dm=1763151286" </w:instrText>
      </w:r>
      <w:r>
        <w:fldChar w:fldCharType="separate"/>
      </w:r>
      <w:r w:rsidRPr="008D4AFA" w:rsidR="006173BD">
        <w:t xml:space="preserve">Carr, K., Whitehead, P. and Burtonshaw, S. (2025) Listening to, and learning from, young people in the attendance crisis. London: Impetus, in partnership with Public First. Available at: </w:t>
      </w:r>
      <w:r w:rsidRPr="00B7715B">
        <w:rPr>
          <w:rStyle w:val="Hyperlink"/>
        </w:rPr>
        <w:t>https://impetus-org.files.svdcdn.com/production/assets/publications/Report/listening-learning-young-people-attendance-crisis.pdf?dm=1763151286</w:t>
      </w:r>
      <w:r>
        <w:fldChar w:fldCharType="end"/>
      </w:r>
      <w:r>
        <w:t xml:space="preserve"> </w:t>
      </w:r>
    </w:p>
  </w:footnote>
  <w:footnote w:id="13">
    <w:p w:rsidR="003508DF">
      <w:pPr>
        <w:pStyle w:val="FootnoteText"/>
      </w:pPr>
      <w:r>
        <w:rPr>
          <w:rStyle w:val="FootnoteReference"/>
        </w:rPr>
        <w:footnoteRef/>
      </w:r>
      <w:r>
        <w:t xml:space="preserve"> </w:t>
      </w:r>
      <w:r>
        <w:fldChar w:fldCharType="begin"/>
      </w:r>
      <w:r>
        <w:instrText xml:space="preserve"> HYPERLINK "https://impetus-org.files.svdcdn.com/production/assets/publications/Listening-to-and-learning-from-parents-in-the-attendance-crisis.pdf" </w:instrText>
      </w:r>
      <w:r>
        <w:fldChar w:fldCharType="separate"/>
      </w:r>
      <w:r w:rsidRPr="008D4AFA">
        <w:t xml:space="preserve">Burtonshaw, S. and Dorrell, E. (2023) Listening to, and learning from, parents in the attendance crisis. London: Impetus, in partnership with Public First. Available at: </w:t>
      </w:r>
      <w:r w:rsidRPr="00B7715B">
        <w:rPr>
          <w:rStyle w:val="Hyperlink"/>
        </w:rPr>
        <w:t>https://impetus-org.files.svdcdn.com/production/assets/publications/Listening-to-and-learning-from-parents-in-the-attendance-crisis.pdf</w:t>
      </w:r>
      <w:r>
        <w:fldChar w:fldCharType="end"/>
      </w:r>
    </w:p>
  </w:footnote>
  <w:footnote w:id="14">
    <w:p w:rsidR="00432C0E" w:rsidP="00432C0E">
      <w:pPr>
        <w:pStyle w:val="FootnoteText"/>
      </w:pPr>
      <w:r>
        <w:rPr>
          <w:rStyle w:val="FootnoteReference"/>
        </w:rPr>
        <w:footnoteRef/>
      </w:r>
      <w:r>
        <w:t xml:space="preserve"> </w:t>
      </w:r>
      <w:r>
        <w:fldChar w:fldCharType="begin"/>
      </w:r>
      <w:r>
        <w:instrText xml:space="preserve"> HYPERLINK "https://www.gov.uk/government/statistics/pupil-absence-in-schools-in-england-2024-to-2025" </w:instrText>
      </w:r>
      <w:r>
        <w:fldChar w:fldCharType="separate"/>
      </w:r>
      <w:r w:rsidRPr="008D4AFA">
        <w:t xml:space="preserve">Department for Education (2026) Pupil absence in schools in England: 2024 to 2025. London: Department for Education. Available at: </w:t>
      </w:r>
      <w:r w:rsidRPr="00D21F5B">
        <w:rPr>
          <w:rStyle w:val="Hyperlink"/>
        </w:rPr>
        <w:t>https://www.gov.uk/government/statistics/pupil-absence-in-schools-in-england-2024-to-2025</w:t>
      </w:r>
      <w:r>
        <w:fldChar w:fldCharType="end"/>
      </w:r>
      <w:r>
        <w:t xml:space="preserve"> </w:t>
      </w:r>
    </w:p>
  </w:footnote>
  <w:footnote w:id="15">
    <w:p w:rsidR="00166E0C" w:rsidP="00AD735D">
      <w:pPr>
        <w:pStyle w:val="FootnoteText"/>
      </w:pPr>
      <w:r>
        <w:rPr>
          <w:rStyle w:val="FootnoteReference"/>
        </w:rPr>
        <w:footnoteRef/>
      </w:r>
      <w:r>
        <w:t xml:space="preserve"> </w:t>
      </w:r>
      <w:r w:rsidRPr="00AD735D" w:rsidR="00AD735D">
        <w:t xml:space="preserve">Joseph, A. and Crenna-Jennings, W. (2024) Outcomes for young people who experience multiple suspensions. Education Policy Institute. Available at: </w:t>
      </w:r>
      <w:r>
        <w:fldChar w:fldCharType="begin"/>
      </w:r>
      <w:r>
        <w:instrText xml:space="preserve"> HYPERLINK "https://epi.org.uk/wp-content/uploads/2024/03/EPI_Suspensions_Report_FINAL.pdf" </w:instrText>
      </w:r>
      <w:r>
        <w:fldChar w:fldCharType="separate"/>
      </w:r>
      <w:r w:rsidRPr="00A91DC4" w:rsidR="00AD735D">
        <w:rPr>
          <w:rStyle w:val="Hyperlink"/>
        </w:rPr>
        <w:t>https://epi.org.uk/wp-content/uploads/2024/03/EPI_Suspensions_Report_FINAL.pdf</w:t>
      </w:r>
      <w:r>
        <w:fldChar w:fldCharType="end"/>
      </w:r>
      <w:r w:rsidR="00AD735D">
        <w:t xml:space="preserve"> </w:t>
      </w:r>
    </w:p>
  </w:footnote>
  <w:footnote w:id="16">
    <w:p w:rsidR="008262B1">
      <w:pPr>
        <w:pStyle w:val="FootnoteText"/>
      </w:pPr>
      <w:r>
        <w:rPr>
          <w:rStyle w:val="FootnoteReference"/>
        </w:rPr>
        <w:footnoteRef/>
      </w:r>
      <w:r>
        <w:t xml:space="preserve"> </w:t>
      </w:r>
      <w:r w:rsidRPr="008262B1">
        <w:t xml:space="preserve">Joseph, A. and Crenna-Jennings, W. (2024) Early adult outcomes for suspended and excluded pupils. Education Policy Institute. Available at: </w:t>
      </w:r>
      <w:r>
        <w:fldChar w:fldCharType="begin"/>
      </w:r>
      <w:r>
        <w:instrText xml:space="preserve"> HYPERLINK "https://epi.org.uk/wp-content/uploads/2024/08/Early-adult-outcomes-for-suspended-pupils-FINAL.pdf" </w:instrText>
      </w:r>
      <w:r>
        <w:fldChar w:fldCharType="separate"/>
      </w:r>
      <w:r w:rsidRPr="00A91DC4">
        <w:rPr>
          <w:rStyle w:val="Hyperlink"/>
        </w:rPr>
        <w:t>https://epi.org.uk/wp-content/uploads/2024/08/Early-adult-outcomes-for-suspended-pupils-FINAL.pdf</w:t>
      </w:r>
      <w:r>
        <w:fldChar w:fldCharType="end"/>
      </w:r>
      <w:r>
        <w:t xml:space="preserve"> </w:t>
      </w:r>
    </w:p>
  </w:footnote>
  <w:footnote w:id="17">
    <w:p w:rsidR="00EC0851">
      <w:pPr>
        <w:pStyle w:val="FootnoteText"/>
      </w:pPr>
      <w:r>
        <w:rPr>
          <w:rStyle w:val="FootnoteReference"/>
        </w:rPr>
        <w:footnoteRef/>
      </w:r>
      <w:r>
        <w:t xml:space="preserve"> </w:t>
      </w:r>
      <w:r>
        <w:fldChar w:fldCharType="begin"/>
      </w:r>
      <w:r>
        <w:instrText xml:space="preserve"> HYPERLINK "https://www.impetus.org.uk/news-and-views/suspension-employment-gap" </w:instrText>
      </w:r>
      <w:r>
        <w:fldChar w:fldCharType="separate"/>
      </w:r>
      <w:r w:rsidRPr="008D4AFA" w:rsidR="006173BD">
        <w:t xml:space="preserve">Impetus (2024) Young people suspended during secondary school are twice as likely to be out of education, employment or training by age 24. London: Impetus. Available at: </w:t>
      </w:r>
      <w:r w:rsidRPr="00D21F5B">
        <w:rPr>
          <w:rStyle w:val="Hyperlink"/>
        </w:rPr>
        <w:t>https://www.impetus.org.uk/news-and-views/suspension-employment-gap</w:t>
      </w:r>
      <w:r>
        <w:fldChar w:fldCharType="end"/>
      </w:r>
      <w:r>
        <w:t xml:space="preserve"> </w:t>
      </w:r>
    </w:p>
  </w:footnote>
  <w:footnote w:id="18">
    <w:p w:rsidR="00D10ADB" w:rsidP="00D10ADB">
      <w:pPr>
        <w:pStyle w:val="FootnoteText"/>
      </w:pPr>
      <w:r>
        <w:rPr>
          <w:rStyle w:val="FootnoteReference"/>
        </w:rPr>
        <w:footnoteRef/>
      </w:r>
      <w:r>
        <w:t xml:space="preserve"> </w:t>
      </w:r>
      <w:r>
        <w:fldChar w:fldCharType="begin"/>
      </w:r>
      <w:r>
        <w:instrText xml:space="preserve"> HYPERLINK "https://ippr-org.files.svdcdn.com/production/Downloads/Who_is_losing_learning_solutions_March25.pdf?dm=1778241501" </w:instrText>
      </w:r>
      <w:r>
        <w:fldChar w:fldCharType="separate"/>
      </w:r>
      <w:r w:rsidRPr="008D4AFA" w:rsidR="006173BD">
        <w:t xml:space="preserve">Harris, E., O’Brien, C., Gill, K., Menzies, L., Poku-Amanfo, E., Rooney, K. and Graham, J. (2025) Who is losing learning? Finding solutions to the school engagement crisis. London: Institute for Public Policy Research and The Difference. Available at: </w:t>
      </w:r>
      <w:r w:rsidRPr="00D21F5B">
        <w:rPr>
          <w:rStyle w:val="Hyperlink"/>
        </w:rPr>
        <w:t>https://ippr-org.files.svdcdn.com/production/Downloads/Who_is_losing_learning_solutions_March25.pdf?dm=1778241501</w:t>
      </w:r>
      <w:r>
        <w:fldChar w:fldCharType="end"/>
      </w:r>
      <w:r>
        <w:t xml:space="preserve"> </w:t>
      </w:r>
    </w:p>
  </w:footnote>
  <w:footnote w:id="19">
    <w:p w:rsidR="006E6829">
      <w:pPr>
        <w:pStyle w:val="FootnoteText"/>
      </w:pPr>
      <w:r>
        <w:rPr>
          <w:rStyle w:val="FootnoteReference"/>
        </w:rPr>
        <w:footnoteRef/>
      </w:r>
      <w:r>
        <w:t xml:space="preserve"> </w:t>
      </w:r>
      <w:r>
        <w:fldChar w:fldCharType="begin"/>
      </w:r>
      <w:r>
        <w:instrText xml:space="preserve"> HYPERLINK "https://www.impetus.org.uk/portfolio-partners/co-op-academies-trust?gad_source=1&amp;gad_campaignid=22340154385&amp;gclid=EAIaIQobChMIkPrH9vn3lQMVEqVQBh2XfjhcEAAYASAAEgKUF_D_BwE" </w:instrText>
      </w:r>
      <w:r>
        <w:fldChar w:fldCharType="separate"/>
      </w:r>
      <w:r w:rsidRPr="008D4AFA" w:rsidR="006173BD">
        <w:t>Impetus (no date) Co-op Academies Trust. London: Impetus. Available at:</w:t>
      </w:r>
      <w:r w:rsidRPr="009D3E11" w:rsidR="006173BD">
        <w:rPr>
          <w:color w:val="FF591F" w:themeColor="hyperlink"/>
          <w:u w:val="single"/>
        </w:rPr>
        <w:t xml:space="preserve"> </w:t>
      </w:r>
      <w:r w:rsidRPr="00D21F5B">
        <w:rPr>
          <w:rStyle w:val="Hyperlink"/>
        </w:rPr>
        <w:t>https://www.impetus.org.uk/portfolio-partners/co-op-academies-trust?gad_source=1&amp;gad_campaignid=22340154385&amp;gclid=EAIaIQobChMIkPrH9vn3lQMVEqVQBh2XfjhcEAAYASAAEgKUF_D_BwE</w:t>
      </w:r>
      <w:r>
        <w:fldChar w:fldCharType="end"/>
      </w:r>
      <w:r>
        <w:t xml:space="preserve"> </w:t>
      </w:r>
    </w:p>
  </w:footnote>
  <w:footnote w:id="20">
    <w:p w:rsidR="00641B7B">
      <w:pPr>
        <w:pStyle w:val="FootnoteText"/>
      </w:pPr>
      <w:r>
        <w:rPr>
          <w:rStyle w:val="FootnoteReference"/>
        </w:rPr>
        <w:footnoteRef/>
      </w:r>
      <w:r>
        <w:t xml:space="preserve"> </w:t>
      </w:r>
      <w:r>
        <w:fldChar w:fldCharType="begin"/>
      </w:r>
      <w:r>
        <w:instrText xml:space="preserve"> HYPERLINK "https://www.impetus.org.uk/portfolio-partners/two-counties-trust?gad_source=1&amp;gad_campaignid=22340154385&amp;gclid=EAIaIQobChMImJHwifr3lQMVbppQBh1WniN4EAAYASAAEgLPDPD_BwE" </w:instrText>
      </w:r>
      <w:r>
        <w:fldChar w:fldCharType="separate"/>
      </w:r>
      <w:r w:rsidRPr="008D4AFA" w:rsidR="006173BD">
        <w:t xml:space="preserve">Impetus (no date) The Two Counties Trust. London: Impetus. Available at: </w:t>
      </w:r>
      <w:r w:rsidRPr="00D21F5B">
        <w:rPr>
          <w:rStyle w:val="Hyperlink"/>
        </w:rPr>
        <w:t>https://www.impetus.org.uk/portfolio-partners/two-counties-trust?gad_source=1&amp;gad_campaignid=22340154385&amp;gclid=EAIaIQobChMImJHwifr3lQMVbppQBh1WniN4EAAYASAAEgLPDPD_BwE</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EA0" w:rsidP="00B3257D">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D2919"/>
    <w:multiLevelType w:val="hybridMultilevel"/>
    <w:tmpl w:val="ADD2C8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DC32C1"/>
    <w:multiLevelType w:val="multilevel"/>
    <w:tmpl w:val="A76C5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27E29"/>
    <w:multiLevelType w:val="multilevel"/>
    <w:tmpl w:val="8F28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D35193"/>
    <w:multiLevelType w:val="multilevel"/>
    <w:tmpl w:val="799825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9C06E7"/>
    <w:multiLevelType w:val="hybridMultilevel"/>
    <w:tmpl w:val="0EF673EE"/>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E032A73"/>
    <w:multiLevelType w:val="hybridMultilevel"/>
    <w:tmpl w:val="C950BD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150515D"/>
    <w:multiLevelType w:val="hybridMultilevel"/>
    <w:tmpl w:val="64F469FE"/>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11633EEF"/>
    <w:multiLevelType w:val="hybridMultilevel"/>
    <w:tmpl w:val="96E0B0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2BF59EC"/>
    <w:multiLevelType w:val="hybridMultilevel"/>
    <w:tmpl w:val="93A469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4390FE0"/>
    <w:multiLevelType w:val="hybridMultilevel"/>
    <w:tmpl w:val="6C5A416A"/>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0">
    <w:nsid w:val="143A1C39"/>
    <w:multiLevelType w:val="hybridMultilevel"/>
    <w:tmpl w:val="DF98739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9493096"/>
    <w:multiLevelType w:val="hybridMultilevel"/>
    <w:tmpl w:val="74E0570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19D07150"/>
    <w:multiLevelType w:val="hybridMultilevel"/>
    <w:tmpl w:val="A170B5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AD75550"/>
    <w:multiLevelType w:val="hybridMultilevel"/>
    <w:tmpl w:val="E6807C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CAD4F29"/>
    <w:multiLevelType w:val="multilevel"/>
    <w:tmpl w:val="378094E0"/>
    <w:lvl w:ilvl="0">
      <w:start w:val="1"/>
      <w:numFmt w:val="decimal"/>
      <w:lvlText w:val="%1."/>
      <w:lvlJc w:val="left"/>
      <w:pPr>
        <w:ind w:left="360" w:hanging="360"/>
      </w:pPr>
      <w:rPr>
        <w:rFonts w:asciiTheme="minorHAnsi" w:eastAsiaTheme="minorHAnsi" w:hAnsiTheme="minorHAnsi" w:cstheme="minorBid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nsid w:val="1F6D4EB1"/>
    <w:multiLevelType w:val="multilevel"/>
    <w:tmpl w:val="476A0DEE"/>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6">
    <w:nsid w:val="28FA48EB"/>
    <w:multiLevelType w:val="hybridMultilevel"/>
    <w:tmpl w:val="4F024E86"/>
    <w:lvl w:ilvl="0">
      <w:start w:val="1"/>
      <w:numFmt w:val="bullet"/>
      <w:lvlText w:val=""/>
      <w:lvlJc w:val="left"/>
      <w:pPr>
        <w:ind w:left="720" w:hanging="360"/>
      </w:pPr>
      <w:rPr>
        <w:rFonts w:ascii="Symbol" w:hAnsi="Symbol" w:hint="default"/>
        <w:color w:val="FF591F" w:themeColor="accent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95C76B8"/>
    <w:multiLevelType w:val="hybridMultilevel"/>
    <w:tmpl w:val="61A4400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4863115"/>
    <w:multiLevelType w:val="hybridMultilevel"/>
    <w:tmpl w:val="9760E1F4"/>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6477F37"/>
    <w:multiLevelType w:val="hybridMultilevel"/>
    <w:tmpl w:val="741CEF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color w:val="FF591F" w:themeColor="accent1"/>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6EC3E16"/>
    <w:multiLevelType w:val="hybridMultilevel"/>
    <w:tmpl w:val="5DAE64E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9396FA1"/>
    <w:multiLevelType w:val="hybridMultilevel"/>
    <w:tmpl w:val="ED06B9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0BA617A"/>
    <w:multiLevelType w:val="multilevel"/>
    <w:tmpl w:val="7EAC0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nsid w:val="4562724F"/>
    <w:multiLevelType w:val="multilevel"/>
    <w:tmpl w:val="2114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A415D3"/>
    <w:multiLevelType w:val="multilevel"/>
    <w:tmpl w:val="D7D49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nsid w:val="4FF65DB9"/>
    <w:multiLevelType w:val="hybridMultilevel"/>
    <w:tmpl w:val="C206E88A"/>
    <w:lvl w:ilvl="0">
      <w:start w:val="1"/>
      <w:numFmt w:val="decimal"/>
      <w:lvlText w:val="%1."/>
      <w:lvlJc w:val="left"/>
      <w:pPr>
        <w:ind w:left="720" w:hanging="360"/>
      </w:pPr>
      <w:rPr>
        <w:rFonts w:ascii="Segoe UI" w:hAnsi="Segoe UI" w:cs="Segoe U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FF81874"/>
    <w:multiLevelType w:val="hybridMultilevel"/>
    <w:tmpl w:val="994090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30E7A56"/>
    <w:multiLevelType w:val="multilevel"/>
    <w:tmpl w:val="2EE8E1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54714BE0"/>
    <w:multiLevelType w:val="hybridMultilevel"/>
    <w:tmpl w:val="4AF281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6E13C1E"/>
    <w:multiLevelType w:val="multilevel"/>
    <w:tmpl w:val="18A4C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363297D"/>
    <w:multiLevelType w:val="hybridMultilevel"/>
    <w:tmpl w:val="C69857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3C65EE8"/>
    <w:multiLevelType w:val="multilevel"/>
    <w:tmpl w:val="957AD6A2"/>
    <w:lvl w:ilvl="0">
      <w:start w:val="2"/>
      <w:numFmt w:val="decimal"/>
      <w:lvlText w:val="%1."/>
      <w:lvlJc w:val="left"/>
      <w:pPr>
        <w:ind w:left="354" w:hanging="360"/>
      </w:pPr>
      <w:rPr>
        <w:rFonts w:hint="default"/>
        <w:b/>
      </w:rPr>
    </w:lvl>
    <w:lvl w:ilvl="1">
      <w:start w:val="1"/>
      <w:numFmt w:val="decimal"/>
      <w:isLgl/>
      <w:lvlText w:val="%1.%2"/>
      <w:lvlJc w:val="left"/>
      <w:pPr>
        <w:ind w:left="397"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3" w:hanging="1080"/>
      </w:pPr>
      <w:rPr>
        <w:rFonts w:hint="default"/>
      </w:rPr>
    </w:lvl>
    <w:lvl w:ilvl="4">
      <w:start w:val="1"/>
      <w:numFmt w:val="decimal"/>
      <w:isLgl/>
      <w:lvlText w:val="%1.%2.%3.%4.%5"/>
      <w:lvlJc w:val="left"/>
      <w:pPr>
        <w:ind w:left="1086" w:hanging="1080"/>
      </w:pPr>
      <w:rPr>
        <w:rFonts w:hint="default"/>
      </w:rPr>
    </w:lvl>
    <w:lvl w:ilvl="5">
      <w:start w:val="1"/>
      <w:numFmt w:val="decimal"/>
      <w:isLgl/>
      <w:lvlText w:val="%1.%2.%3.%4.%5.%6"/>
      <w:lvlJc w:val="left"/>
      <w:pPr>
        <w:ind w:left="1449" w:hanging="1440"/>
      </w:pPr>
      <w:rPr>
        <w:rFonts w:hint="default"/>
      </w:rPr>
    </w:lvl>
    <w:lvl w:ilvl="6">
      <w:start w:val="1"/>
      <w:numFmt w:val="decimal"/>
      <w:isLgl/>
      <w:lvlText w:val="%1.%2.%3.%4.%5.%6.%7"/>
      <w:lvlJc w:val="left"/>
      <w:pPr>
        <w:ind w:left="1452" w:hanging="1440"/>
      </w:pPr>
      <w:rPr>
        <w:rFonts w:hint="default"/>
      </w:rPr>
    </w:lvl>
    <w:lvl w:ilvl="7">
      <w:start w:val="1"/>
      <w:numFmt w:val="decimal"/>
      <w:isLgl/>
      <w:lvlText w:val="%1.%2.%3.%4.%5.%6.%7.%8"/>
      <w:lvlJc w:val="left"/>
      <w:pPr>
        <w:ind w:left="1815" w:hanging="1800"/>
      </w:pPr>
      <w:rPr>
        <w:rFonts w:hint="default"/>
      </w:rPr>
    </w:lvl>
    <w:lvl w:ilvl="8">
      <w:start w:val="1"/>
      <w:numFmt w:val="decimal"/>
      <w:isLgl/>
      <w:lvlText w:val="%1.%2.%3.%4.%5.%6.%7.%8.%9"/>
      <w:lvlJc w:val="left"/>
      <w:pPr>
        <w:ind w:left="1818" w:hanging="1800"/>
      </w:pPr>
      <w:rPr>
        <w:rFonts w:hint="default"/>
      </w:rPr>
    </w:lvl>
  </w:abstractNum>
  <w:abstractNum w:abstractNumId="32">
    <w:nsid w:val="714B0FB1"/>
    <w:multiLevelType w:val="hybridMultilevel"/>
    <w:tmpl w:val="BE58D3AA"/>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60457A2"/>
    <w:multiLevelType w:val="multilevel"/>
    <w:tmpl w:val="3B349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nsid w:val="76225157"/>
    <w:multiLevelType w:val="hybridMultilevel"/>
    <w:tmpl w:val="96E0B0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C562F9C"/>
    <w:multiLevelType w:val="hybridMultilevel"/>
    <w:tmpl w:val="7E82CD6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CFD4F62"/>
    <w:multiLevelType w:val="hybridMultilevel"/>
    <w:tmpl w:val="57DE7172"/>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16"/>
  </w:num>
  <w:num w:numId="4">
    <w:abstractNumId w:val="13"/>
  </w:num>
  <w:num w:numId="5">
    <w:abstractNumId w:val="35"/>
  </w:num>
  <w:num w:numId="6">
    <w:abstractNumId w:val="22"/>
  </w:num>
  <w:num w:numId="7">
    <w:abstractNumId w:val="33"/>
  </w:num>
  <w:num w:numId="8">
    <w:abstractNumId w:val="0"/>
  </w:num>
  <w:num w:numId="9">
    <w:abstractNumId w:val="17"/>
  </w:num>
  <w:num w:numId="10">
    <w:abstractNumId w:val="34"/>
  </w:num>
  <w:num w:numId="11">
    <w:abstractNumId w:val="24"/>
  </w:num>
  <w:num w:numId="12">
    <w:abstractNumId w:val="7"/>
  </w:num>
  <w:num w:numId="13">
    <w:abstractNumId w:val="12"/>
  </w:num>
  <w:num w:numId="14">
    <w:abstractNumId w:val="26"/>
  </w:num>
  <w:num w:numId="15">
    <w:abstractNumId w:val="18"/>
  </w:num>
  <w:num w:numId="16">
    <w:abstractNumId w:val="11"/>
  </w:num>
  <w:num w:numId="17">
    <w:abstractNumId w:val="28"/>
  </w:num>
  <w:num w:numId="18">
    <w:abstractNumId w:val="36"/>
  </w:num>
  <w:num w:numId="19">
    <w:abstractNumId w:val="10"/>
  </w:num>
  <w:num w:numId="20">
    <w:abstractNumId w:val="6"/>
  </w:num>
  <w:num w:numId="21">
    <w:abstractNumId w:val="5"/>
  </w:num>
  <w:num w:numId="22">
    <w:abstractNumId w:val="20"/>
  </w:num>
  <w:num w:numId="23">
    <w:abstractNumId w:val="29"/>
  </w:num>
  <w:num w:numId="24">
    <w:abstractNumId w:val="1"/>
  </w:num>
  <w:num w:numId="25">
    <w:abstractNumId w:val="3"/>
  </w:num>
  <w:num w:numId="26">
    <w:abstractNumId w:val="25"/>
  </w:num>
  <w:num w:numId="27">
    <w:abstractNumId w:val="9"/>
  </w:num>
  <w:num w:numId="28">
    <w:abstractNumId w:val="21"/>
  </w:num>
  <w:num w:numId="29">
    <w:abstractNumId w:val="30"/>
  </w:num>
  <w:num w:numId="30">
    <w:abstractNumId w:val="14"/>
  </w:num>
  <w:num w:numId="31">
    <w:abstractNumId w:val="23"/>
  </w:num>
  <w:num w:numId="32">
    <w:abstractNumId w:val="2"/>
  </w:num>
  <w:num w:numId="33">
    <w:abstractNumId w:val="27"/>
  </w:num>
  <w:num w:numId="34">
    <w:abstractNumId w:val="15"/>
  </w:num>
  <w:num w:numId="35">
    <w:abstractNumId w:val="4"/>
  </w:num>
  <w:num w:numId="36">
    <w:abstractNumId w:val="32"/>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257D"/>
    <w:rPr>
      <w:sz w:val="24"/>
    </w:rPr>
  </w:style>
  <w:style w:type="paragraph" w:styleId="Heading1">
    <w:name w:val="heading 1"/>
    <w:basedOn w:val="Normal"/>
    <w:next w:val="Normal"/>
    <w:link w:val="Heading1Char"/>
    <w:uiPriority w:val="9"/>
    <w:qFormat/>
    <w:rsid w:val="00052CE3"/>
    <w:pPr>
      <w:keepNext/>
      <w:keepLines/>
      <w:spacing w:before="120" w:after="0" w:line="240" w:lineRule="auto"/>
      <w:outlineLvl w:val="0"/>
    </w:pPr>
    <w:rPr>
      <w:rFonts w:asciiTheme="majorHAnsi" w:eastAsiaTheme="majorEastAsia" w:hAnsiTheme="majorHAnsi" w:cstheme="majorBidi"/>
      <w:color w:val="282727" w:themeColor="text1"/>
      <w:sz w:val="40"/>
      <w:szCs w:val="32"/>
    </w:rPr>
  </w:style>
  <w:style w:type="paragraph" w:styleId="Heading2">
    <w:name w:val="heading 2"/>
    <w:aliases w:val="Subheading 1"/>
    <w:basedOn w:val="Normal"/>
    <w:next w:val="Normal"/>
    <w:link w:val="Heading2Char"/>
    <w:uiPriority w:val="9"/>
    <w:unhideWhenUsed/>
    <w:qFormat/>
    <w:rsid w:val="00052CE3"/>
    <w:pPr>
      <w:outlineLvl w:val="1"/>
    </w:pPr>
    <w:rPr>
      <w:color w:val="FF591F" w:themeColor="accent1"/>
      <w:sz w:val="32"/>
    </w:rPr>
  </w:style>
  <w:style w:type="paragraph" w:styleId="Heading3">
    <w:name w:val="heading 3"/>
    <w:basedOn w:val="Normal"/>
    <w:next w:val="Normal"/>
    <w:link w:val="Heading3Char"/>
    <w:autoRedefine/>
    <w:uiPriority w:val="9"/>
    <w:unhideWhenUsed/>
    <w:qFormat/>
    <w:rsid w:val="00873A58"/>
    <w:pPr>
      <w:keepNext/>
      <w:keepLines/>
      <w:spacing w:before="40" w:after="0"/>
      <w:outlineLvl w:val="2"/>
    </w:pPr>
    <w:rPr>
      <w:rFonts w:asciiTheme="majorHAnsi" w:eastAsiaTheme="majorEastAsia" w:hAnsiTheme="majorHAnsi" w:cstheme="majorBidi"/>
      <w:color w:val="8E240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9E4"/>
  </w:style>
  <w:style w:type="paragraph" w:styleId="Footer">
    <w:name w:val="footer"/>
    <w:basedOn w:val="Normal"/>
    <w:link w:val="FooterChar"/>
    <w:uiPriority w:val="99"/>
    <w:unhideWhenUsed/>
    <w:rsid w:val="00B26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9E4"/>
  </w:style>
  <w:style w:type="paragraph" w:customStyle="1" w:styleId="ImpetusTitle">
    <w:name w:val="Impetus Title"/>
    <w:basedOn w:val="Normal"/>
    <w:link w:val="ImpetusTitleChar"/>
    <w:rsid w:val="00B269E4"/>
  </w:style>
  <w:style w:type="character" w:customStyle="1" w:styleId="Heading1Char">
    <w:name w:val="Heading 1 Char"/>
    <w:basedOn w:val="DefaultParagraphFont"/>
    <w:link w:val="Heading1"/>
    <w:uiPriority w:val="9"/>
    <w:rsid w:val="00052CE3"/>
    <w:rPr>
      <w:rFonts w:asciiTheme="majorHAnsi" w:eastAsiaTheme="majorEastAsia" w:hAnsiTheme="majorHAnsi" w:cstheme="majorBidi"/>
      <w:color w:val="282727" w:themeColor="text1"/>
      <w:sz w:val="40"/>
      <w:szCs w:val="32"/>
    </w:rPr>
  </w:style>
  <w:style w:type="character" w:customStyle="1" w:styleId="ImpetusTitleChar">
    <w:name w:val="Impetus Title Char"/>
    <w:basedOn w:val="DefaultParagraphFont"/>
    <w:link w:val="ImpetusTitle"/>
    <w:rsid w:val="00B269E4"/>
  </w:style>
  <w:style w:type="paragraph" w:styleId="Title">
    <w:name w:val="Title"/>
    <w:basedOn w:val="Normal"/>
    <w:next w:val="Normal"/>
    <w:link w:val="TitleChar"/>
    <w:uiPriority w:val="10"/>
    <w:rsid w:val="00B269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9E4"/>
    <w:rPr>
      <w:rFonts w:asciiTheme="majorHAnsi" w:eastAsiaTheme="majorEastAsia" w:hAnsiTheme="majorHAnsi" w:cstheme="majorBidi"/>
      <w:spacing w:val="-10"/>
      <w:kern w:val="28"/>
      <w:sz w:val="56"/>
      <w:szCs w:val="56"/>
    </w:rPr>
  </w:style>
  <w:style w:type="paragraph" w:styleId="Subtitle">
    <w:name w:val="Subtitle"/>
    <w:aliases w:val="Subheading 2"/>
    <w:basedOn w:val="Normal"/>
    <w:next w:val="Normal"/>
    <w:link w:val="SubtitleChar"/>
    <w:uiPriority w:val="11"/>
    <w:qFormat/>
    <w:rsid w:val="00B269E4"/>
    <w:pPr>
      <w:numPr>
        <w:ilvl w:val="1"/>
      </w:numPr>
    </w:pPr>
    <w:rPr>
      <w:rFonts w:eastAsiaTheme="minorEastAsia" w:cstheme="minorHAnsi"/>
      <w:b/>
      <w:spacing w:val="15"/>
    </w:rPr>
  </w:style>
  <w:style w:type="character" w:customStyle="1" w:styleId="SubtitleChar">
    <w:name w:val="Subtitle Char"/>
    <w:aliases w:val="Subheading 2 Char"/>
    <w:basedOn w:val="DefaultParagraphFont"/>
    <w:link w:val="Subtitle"/>
    <w:uiPriority w:val="11"/>
    <w:rsid w:val="00B269E4"/>
    <w:rPr>
      <w:rFonts w:eastAsiaTheme="minorEastAsia" w:cstheme="minorHAnsi"/>
      <w:b/>
      <w:spacing w:val="15"/>
    </w:rPr>
  </w:style>
  <w:style w:type="character" w:styleId="SubtleEmphasis">
    <w:name w:val="Subtle Emphasis"/>
    <w:uiPriority w:val="19"/>
    <w:qFormat/>
    <w:rsid w:val="00052CE3"/>
  </w:style>
  <w:style w:type="character" w:customStyle="1" w:styleId="Heading2Char">
    <w:name w:val="Heading 2 Char"/>
    <w:aliases w:val="Subheading 1 Char"/>
    <w:basedOn w:val="DefaultParagraphFont"/>
    <w:link w:val="Heading2"/>
    <w:uiPriority w:val="9"/>
    <w:rsid w:val="00052CE3"/>
    <w:rPr>
      <w:color w:val="FF591F" w:themeColor="accent1"/>
      <w:sz w:val="32"/>
    </w:rPr>
  </w:style>
  <w:style w:type="table" w:styleId="TableGrid">
    <w:name w:val="Table Grid"/>
    <w:basedOn w:val="TableNormal"/>
    <w:uiPriority w:val="39"/>
    <w:rsid w:val="0005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
    <w:name w:val="Grid Table 4 Accent 1"/>
    <w:basedOn w:val="TableNormal"/>
    <w:uiPriority w:val="49"/>
    <w:rsid w:val="00052CE3"/>
    <w:pPr>
      <w:spacing w:after="0" w:line="240" w:lineRule="auto"/>
    </w:pPr>
    <w:tblPr>
      <w:tblStyleRowBandSize w:val="1"/>
      <w:tblStyleColBandSize w:val="1"/>
      <w:tblBorders>
        <w:top w:val="single" w:sz="4" w:space="0" w:color="FF9B78" w:themeColor="accent1" w:themeTint="99"/>
        <w:left w:val="single" w:sz="4" w:space="0" w:color="FF9B78" w:themeColor="accent1" w:themeTint="99"/>
        <w:bottom w:val="single" w:sz="4" w:space="0" w:color="FF9B78" w:themeColor="accent1" w:themeTint="99"/>
        <w:right w:val="single" w:sz="4" w:space="0" w:color="FF9B78" w:themeColor="accent1" w:themeTint="99"/>
        <w:insideH w:val="single" w:sz="4" w:space="0" w:color="FF9B78" w:themeColor="accent1" w:themeTint="99"/>
        <w:insideV w:val="single" w:sz="4" w:space="0" w:color="FF9B78" w:themeColor="accent1" w:themeTint="99"/>
      </w:tblBorders>
    </w:tblPr>
    <w:tblStylePr w:type="firstRow">
      <w:rPr>
        <w:b/>
        <w:bCs/>
        <w:color w:val="FFFFFF" w:themeColor="background1"/>
      </w:rPr>
      <w:tblPr/>
      <w:tcPr>
        <w:tcBorders>
          <w:top w:val="single" w:sz="4" w:space="0" w:color="FF591F" w:themeColor="accent1"/>
          <w:left w:val="single" w:sz="4" w:space="0" w:color="FF591F" w:themeColor="accent1"/>
          <w:bottom w:val="single" w:sz="4" w:space="0" w:color="FF591F" w:themeColor="accent1"/>
          <w:right w:val="single" w:sz="4" w:space="0" w:color="FF591F" w:themeColor="accent1"/>
          <w:insideH w:val="nil"/>
          <w:insideV w:val="nil"/>
        </w:tcBorders>
        <w:shd w:val="clear" w:color="auto" w:fill="FF591F" w:themeFill="accent1"/>
      </w:tcPr>
    </w:tblStylePr>
    <w:tblStylePr w:type="lastRow">
      <w:rPr>
        <w:b/>
        <w:bCs/>
      </w:rPr>
      <w:tblPr/>
      <w:tcPr>
        <w:tcBorders>
          <w:top w:val="double" w:sz="4" w:space="0" w:color="FF591F" w:themeColor="accent1"/>
        </w:tcBorders>
      </w:tcPr>
    </w:tblStylePr>
    <w:tblStylePr w:type="firstCol">
      <w:rPr>
        <w:b/>
        <w:bCs/>
      </w:rPr>
    </w:tblStylePr>
    <w:tblStylePr w:type="lastCol">
      <w:rPr>
        <w:b/>
        <w:bCs/>
      </w:rPr>
    </w:tblStylePr>
    <w:tblStylePr w:type="band1Vert">
      <w:tblPr/>
      <w:tcPr>
        <w:shd w:val="clear" w:color="auto" w:fill="FFDDD2" w:themeFill="accent1" w:themeFillTint="33"/>
      </w:tcPr>
    </w:tblStylePr>
    <w:tblStylePr w:type="band1Horz">
      <w:tblPr/>
      <w:tcPr>
        <w:shd w:val="clear" w:color="auto" w:fill="FFDDD2" w:themeFill="accent1" w:themeFillTint="33"/>
      </w:tcPr>
    </w:tblStylePr>
  </w:style>
  <w:style w:type="paragraph" w:styleId="ListParagraph">
    <w:name w:val="List Paragraph"/>
    <w:basedOn w:val="Normal"/>
    <w:uiPriority w:val="34"/>
    <w:qFormat/>
    <w:rsid w:val="006111C4"/>
    <w:pPr>
      <w:ind w:left="720"/>
      <w:contextualSpacing/>
    </w:pPr>
  </w:style>
  <w:style w:type="character" w:customStyle="1" w:styleId="Heading3Char">
    <w:name w:val="Heading 3 Char"/>
    <w:basedOn w:val="DefaultParagraphFont"/>
    <w:link w:val="Heading3"/>
    <w:uiPriority w:val="9"/>
    <w:rsid w:val="00873A58"/>
    <w:rPr>
      <w:rFonts w:asciiTheme="majorHAnsi" w:eastAsiaTheme="majorEastAsia" w:hAnsiTheme="majorHAnsi" w:cstheme="majorBidi"/>
      <w:color w:val="8E2400" w:themeColor="accent1" w:themeShade="7F"/>
      <w:sz w:val="24"/>
      <w:szCs w:val="24"/>
    </w:rPr>
  </w:style>
  <w:style w:type="paragraph" w:styleId="BalloonText">
    <w:name w:val="Balloon Text"/>
    <w:basedOn w:val="Normal"/>
    <w:link w:val="BalloonTextChar"/>
    <w:uiPriority w:val="99"/>
    <w:semiHidden/>
    <w:unhideWhenUsed/>
    <w:rsid w:val="00D67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661"/>
    <w:rPr>
      <w:rFonts w:ascii="Segoe UI" w:hAnsi="Segoe UI" w:cs="Segoe UI"/>
      <w:sz w:val="18"/>
      <w:szCs w:val="18"/>
    </w:rPr>
  </w:style>
  <w:style w:type="character" w:styleId="Hyperlink">
    <w:name w:val="Hyperlink"/>
    <w:basedOn w:val="DefaultParagraphFont"/>
    <w:uiPriority w:val="99"/>
    <w:unhideWhenUsed/>
    <w:rsid w:val="00412517"/>
    <w:rPr>
      <w:color w:val="FF591F" w:themeColor="hyperlink"/>
      <w:u w:val="single"/>
    </w:rPr>
  </w:style>
  <w:style w:type="character" w:customStyle="1" w:styleId="UnresolvedMention">
    <w:name w:val="Unresolved Mention"/>
    <w:basedOn w:val="DefaultParagraphFont"/>
    <w:uiPriority w:val="99"/>
    <w:semiHidden/>
    <w:unhideWhenUsed/>
    <w:rsid w:val="00412517"/>
    <w:rPr>
      <w:color w:val="605E5C"/>
      <w:shd w:val="clear" w:color="auto" w:fill="E1DFDD"/>
    </w:rPr>
  </w:style>
  <w:style w:type="table" w:customStyle="1" w:styleId="GridTable2Accent6">
    <w:name w:val="Grid Table 2 Accent 6"/>
    <w:basedOn w:val="TableNormal"/>
    <w:uiPriority w:val="47"/>
    <w:rsid w:val="0065031A"/>
    <w:pPr>
      <w:spacing w:after="0" w:line="240" w:lineRule="auto"/>
    </w:pPr>
    <w:tblPr>
      <w:tblStyleRowBandSize w:val="1"/>
      <w:tblStyleColBandSize w:val="1"/>
      <w:tblBorders>
        <w:top w:val="single" w:sz="2" w:space="0" w:color="FFD666" w:themeColor="accent6" w:themeTint="99"/>
        <w:bottom w:val="single" w:sz="2" w:space="0" w:color="FFD666" w:themeColor="accent6" w:themeTint="99"/>
        <w:insideH w:val="single" w:sz="2" w:space="0" w:color="FFD666" w:themeColor="accent6" w:themeTint="99"/>
        <w:insideV w:val="single" w:sz="2" w:space="0" w:color="FFD666" w:themeColor="accent6" w:themeTint="99"/>
      </w:tblBorders>
    </w:tblPr>
    <w:tblStylePr w:type="firstRow">
      <w:rPr>
        <w:b/>
        <w:bCs/>
      </w:rPr>
      <w:tblPr/>
      <w:tcPr>
        <w:tcBorders>
          <w:top w:val="nil"/>
          <w:bottom w:val="single" w:sz="12" w:space="0" w:color="FFD666" w:themeColor="accent6" w:themeTint="99"/>
          <w:insideH w:val="nil"/>
          <w:insideV w:val="nil"/>
        </w:tcBorders>
        <w:shd w:val="clear" w:color="auto" w:fill="FFFFFF" w:themeFill="background1"/>
      </w:tcPr>
    </w:tblStylePr>
    <w:tblStylePr w:type="lastRow">
      <w:rPr>
        <w:b/>
        <w:bCs/>
      </w:rPr>
      <w:tblPr/>
      <w:tcPr>
        <w:tcBorders>
          <w:top w:val="double" w:sz="2" w:space="0" w:color="FFD6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1CC" w:themeFill="accent6" w:themeFillTint="33"/>
      </w:tcPr>
    </w:tblStylePr>
    <w:tblStylePr w:type="band1Horz">
      <w:tblPr/>
      <w:tcPr>
        <w:shd w:val="clear" w:color="auto" w:fill="FFF1CC" w:themeFill="accent6" w:themeFillTint="33"/>
      </w:tcPr>
    </w:tblStylePr>
  </w:style>
  <w:style w:type="table" w:customStyle="1" w:styleId="PlainTable2">
    <w:name w:val="Plain Table 2"/>
    <w:basedOn w:val="TableNormal"/>
    <w:uiPriority w:val="42"/>
    <w:rsid w:val="0065031A"/>
    <w:pPr>
      <w:spacing w:after="0" w:line="240" w:lineRule="auto"/>
    </w:pPr>
    <w:tblPr>
      <w:tblStyleRowBandSize w:val="1"/>
      <w:tblStyleColBandSize w:val="1"/>
      <w:tblBorders>
        <w:top w:val="single" w:sz="4" w:space="0" w:color="949191" w:themeColor="text1" w:themeTint="80"/>
        <w:bottom w:val="single" w:sz="4" w:space="0" w:color="949191" w:themeColor="text1" w:themeTint="80"/>
      </w:tblBorders>
    </w:tblPr>
    <w:tblStylePr w:type="firstRow">
      <w:rPr>
        <w:b/>
        <w:bCs/>
      </w:rPr>
      <w:tblPr/>
      <w:tcPr>
        <w:tcBorders>
          <w:bottom w:val="single" w:sz="4" w:space="0" w:color="949191" w:themeColor="text1" w:themeTint="80"/>
        </w:tcBorders>
      </w:tcPr>
    </w:tblStylePr>
    <w:tblStylePr w:type="lastRow">
      <w:rPr>
        <w:b/>
        <w:bCs/>
      </w:rPr>
      <w:tblPr/>
      <w:tcPr>
        <w:tcBorders>
          <w:top w:val="single" w:sz="4" w:space="0" w:color="949191" w:themeColor="text1" w:themeTint="80"/>
        </w:tcBorders>
      </w:tcPr>
    </w:tblStylePr>
    <w:tblStylePr w:type="firstCol">
      <w:rPr>
        <w:b/>
        <w:bCs/>
      </w:rPr>
    </w:tblStylePr>
    <w:tblStylePr w:type="lastCol">
      <w:rPr>
        <w:b/>
        <w:bCs/>
      </w:rPr>
    </w:tblStylePr>
    <w:tblStylePr w:type="band1Vert">
      <w:tblPr/>
      <w:tcPr>
        <w:tcBorders>
          <w:left w:val="single" w:sz="4" w:space="0" w:color="949191" w:themeColor="text1" w:themeTint="80"/>
          <w:right w:val="single" w:sz="4" w:space="0" w:color="949191" w:themeColor="text1" w:themeTint="80"/>
        </w:tcBorders>
      </w:tcPr>
    </w:tblStylePr>
    <w:tblStylePr w:type="band2Vert">
      <w:tblPr/>
      <w:tcPr>
        <w:tcBorders>
          <w:left w:val="single" w:sz="4" w:space="0" w:color="949191" w:themeColor="text1" w:themeTint="80"/>
          <w:right w:val="single" w:sz="4" w:space="0" w:color="949191" w:themeColor="text1" w:themeTint="80"/>
        </w:tcBorders>
      </w:tcPr>
    </w:tblStylePr>
    <w:tblStylePr w:type="band1Horz">
      <w:tblPr/>
      <w:tcPr>
        <w:tcBorders>
          <w:top w:val="single" w:sz="4" w:space="0" w:color="949191" w:themeColor="text1" w:themeTint="80"/>
          <w:bottom w:val="single" w:sz="4" w:space="0" w:color="949191" w:themeColor="text1" w:themeTint="80"/>
        </w:tcBorders>
      </w:tcPr>
    </w:tblStylePr>
  </w:style>
  <w:style w:type="character" w:customStyle="1" w:styleId="normaltextrun">
    <w:name w:val="normaltextrun"/>
    <w:basedOn w:val="DefaultParagraphFont"/>
    <w:rsid w:val="00FA02C9"/>
  </w:style>
  <w:style w:type="paragraph" w:customStyle="1" w:styleId="paragraph">
    <w:name w:val="paragraph"/>
    <w:basedOn w:val="Normal"/>
    <w:rsid w:val="00EB76F2"/>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superscript">
    <w:name w:val="superscript"/>
    <w:basedOn w:val="DefaultParagraphFont"/>
    <w:rsid w:val="00EB76F2"/>
  </w:style>
  <w:style w:type="character" w:customStyle="1" w:styleId="eop">
    <w:name w:val="eop"/>
    <w:basedOn w:val="DefaultParagraphFont"/>
    <w:rsid w:val="00EB76F2"/>
  </w:style>
  <w:style w:type="character" w:styleId="CommentReference">
    <w:name w:val="annotation reference"/>
    <w:basedOn w:val="DefaultParagraphFont"/>
    <w:uiPriority w:val="99"/>
    <w:semiHidden/>
    <w:unhideWhenUsed/>
    <w:rsid w:val="00497E32"/>
    <w:rPr>
      <w:sz w:val="16"/>
      <w:szCs w:val="16"/>
    </w:rPr>
  </w:style>
  <w:style w:type="paragraph" w:styleId="CommentText">
    <w:name w:val="annotation text"/>
    <w:basedOn w:val="Normal"/>
    <w:link w:val="CommentTextChar"/>
    <w:uiPriority w:val="99"/>
    <w:unhideWhenUsed/>
    <w:rsid w:val="00497E32"/>
    <w:pPr>
      <w:spacing w:line="240" w:lineRule="auto"/>
    </w:pPr>
    <w:rPr>
      <w:sz w:val="20"/>
      <w:szCs w:val="20"/>
    </w:rPr>
  </w:style>
  <w:style w:type="character" w:customStyle="1" w:styleId="CommentTextChar">
    <w:name w:val="Comment Text Char"/>
    <w:basedOn w:val="DefaultParagraphFont"/>
    <w:link w:val="CommentText"/>
    <w:uiPriority w:val="99"/>
    <w:rsid w:val="00497E32"/>
    <w:rPr>
      <w:sz w:val="20"/>
      <w:szCs w:val="20"/>
    </w:rPr>
  </w:style>
  <w:style w:type="paragraph" w:styleId="CommentSubject">
    <w:name w:val="annotation subject"/>
    <w:basedOn w:val="CommentText"/>
    <w:next w:val="CommentText"/>
    <w:link w:val="CommentSubjectChar"/>
    <w:uiPriority w:val="99"/>
    <w:semiHidden/>
    <w:unhideWhenUsed/>
    <w:rsid w:val="00497E32"/>
    <w:rPr>
      <w:b/>
      <w:bCs/>
    </w:rPr>
  </w:style>
  <w:style w:type="character" w:customStyle="1" w:styleId="CommentSubjectChar">
    <w:name w:val="Comment Subject Char"/>
    <w:basedOn w:val="CommentTextChar"/>
    <w:link w:val="CommentSubject"/>
    <w:uiPriority w:val="99"/>
    <w:semiHidden/>
    <w:rsid w:val="00497E32"/>
    <w:rPr>
      <w:b/>
      <w:bCs/>
      <w:sz w:val="20"/>
      <w:szCs w:val="20"/>
    </w:rPr>
  </w:style>
  <w:style w:type="paragraph" w:styleId="Revision">
    <w:name w:val="Revision"/>
    <w:hidden/>
    <w:uiPriority w:val="99"/>
    <w:semiHidden/>
    <w:rsid w:val="00031CBF"/>
    <w:pPr>
      <w:spacing w:after="0" w:line="240" w:lineRule="auto"/>
    </w:pPr>
    <w:rPr>
      <w:sz w:val="24"/>
    </w:rPr>
  </w:style>
  <w:style w:type="paragraph" w:styleId="FootnoteText">
    <w:name w:val="footnote text"/>
    <w:basedOn w:val="Normal"/>
    <w:link w:val="FootnoteTextChar"/>
    <w:uiPriority w:val="99"/>
    <w:unhideWhenUsed/>
    <w:rsid w:val="006E2001"/>
    <w:pPr>
      <w:spacing w:after="0" w:line="240" w:lineRule="auto"/>
    </w:pPr>
    <w:rPr>
      <w:sz w:val="20"/>
      <w:szCs w:val="20"/>
    </w:rPr>
  </w:style>
  <w:style w:type="character" w:customStyle="1" w:styleId="FootnoteTextChar">
    <w:name w:val="Footnote Text Char"/>
    <w:basedOn w:val="DefaultParagraphFont"/>
    <w:link w:val="FootnoteText"/>
    <w:uiPriority w:val="99"/>
    <w:rsid w:val="006E2001"/>
    <w:rPr>
      <w:sz w:val="20"/>
      <w:szCs w:val="20"/>
    </w:rPr>
  </w:style>
  <w:style w:type="character" w:styleId="FootnoteReference">
    <w:name w:val="footnote reference"/>
    <w:basedOn w:val="DefaultParagraphFont"/>
    <w:uiPriority w:val="99"/>
    <w:semiHidden/>
    <w:unhideWhenUsed/>
    <w:rsid w:val="006E2001"/>
    <w:rPr>
      <w:vertAlign w:val="superscript"/>
    </w:rPr>
  </w:style>
  <w:style w:type="character" w:styleId="FollowedHyperlink">
    <w:name w:val="FollowedHyperlink"/>
    <w:basedOn w:val="DefaultParagraphFont"/>
    <w:uiPriority w:val="99"/>
    <w:semiHidden/>
    <w:unhideWhenUsed/>
    <w:rsid w:val="00062D87"/>
    <w:rPr>
      <w:color w:val="25358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https://impetuspef.sharepoint.com/sites/Impetus-Data/Office%20Templates/Impetus%20normal%20document%20template%20BLANK%20W.%20PAGE%20NUMBERS%20-%202022.dotx" TargetMode="External" /></Relationships>
</file>

<file path=word/theme/theme1.xml><?xml version="1.0" encoding="utf-8"?>
<a:theme xmlns:a="http://schemas.openxmlformats.org/drawingml/2006/main" name="Office Theme">
  <a:themeElements>
    <a:clrScheme name="Impetus colours">
      <a:dk1>
        <a:srgbClr val="282727"/>
      </a:dk1>
      <a:lt1>
        <a:sysClr val="window" lastClr="FFFFFF"/>
      </a:lt1>
      <a:dk2>
        <a:srgbClr val="282727"/>
      </a:dk2>
      <a:lt2>
        <a:srgbClr val="E7E7E7"/>
      </a:lt2>
      <a:accent1>
        <a:srgbClr val="FF591F"/>
      </a:accent1>
      <a:accent2>
        <a:srgbClr val="FFBC00"/>
      </a:accent2>
      <a:accent3>
        <a:srgbClr val="42B7A1"/>
      </a:accent3>
      <a:accent4>
        <a:srgbClr val="253584"/>
      </a:accent4>
      <a:accent5>
        <a:srgbClr val="FF591F"/>
      </a:accent5>
      <a:accent6>
        <a:srgbClr val="FFBC00"/>
      </a:accent6>
      <a:hlink>
        <a:srgbClr val="FF591F"/>
      </a:hlink>
      <a:folHlink>
        <a:srgbClr val="253584"/>
      </a:folHlink>
    </a:clrScheme>
    <a:fontScheme name="Impetus fonts">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43F74CDC3564685AA6415B7E55884" ma:contentTypeVersion="24" ma:contentTypeDescription="Create a new document." ma:contentTypeScope="" ma:versionID="2906eaa0ec3380174ed37f1ede9bde02">
  <xsd:schema xmlns:xsd="http://www.w3.org/2001/XMLSchema" xmlns:xs="http://www.w3.org/2001/XMLSchema" xmlns:p="http://schemas.microsoft.com/office/2006/metadata/properties" xmlns:ns2="79841bb1-44c2-4e06-996f-db84ded5d9eb" xmlns:ns3="b4dd4039-e03c-4d45-b7f5-037d61066046" targetNamespace="http://schemas.microsoft.com/office/2006/metadata/properties" ma:root="true" ma:fieldsID="cf949f995090cc4ea68fe6bedbbf0c09" ns2:_="" ns3:_="">
    <xsd:import namespace="79841bb1-44c2-4e06-996f-db84ded5d9eb"/>
    <xsd:import namespace="b4dd4039-e03c-4d45-b7f5-037d61066046"/>
    <xsd:element name="properties">
      <xsd:complexType>
        <xsd:sequence>
          <xsd:element name="documentManagement">
            <xsd:complexType>
              <xsd:all>
                <xsd:element ref="ns3:MediaServiceMetadata" minOccurs="0"/>
                <xsd:element ref="ns3:MediaServiceFastMetadata"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2:TaxKeywordTaxHTField" minOccurs="0"/>
                <xsd:element ref="ns3:_Flow_SignoffStatus" minOccurs="0"/>
                <xsd:element ref="ns3:MediaServiceObjectDetectorVersions" minOccurs="0"/>
                <xsd:element ref="ns3:MediaServiceSearchProperties" minOccurs="0"/>
                <xsd:element ref="ns3:SalesforceCharityAccountPag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41bb1-44c2-4e06-996f-db84ded5d9eb"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0c7db2-350c-4fc9-b8c8-ab385554f958}" ma:internalName="TaxCatchAll" ma:showField="CatchAllData" ma:web="79841bb1-44c2-4e06-996f-db84ded5d9eb">
      <xsd:complexType>
        <xsd:complexContent>
          <xsd:extension base="dms:MultiChoiceLookup">
            <xsd:sequence>
              <xsd:element name="Value" type="dms:Lookup" maxOccurs="unbounded" minOccurs="0" nillable="true"/>
            </xsd:sequence>
          </xsd:extension>
        </xsd:complexContent>
      </xsd:complexType>
    </xsd:element>
    <xsd:element name="TaxKeywordTaxHTField" ma:index="22" nillable="true" ma:taxonomy="true" ma:internalName="TaxKeywordTaxHTField" ma:taxonomyFieldName="TaxKeyword" ma:displayName="Tagging" ma:fieldId="{23f27201-bee3-471e-b2e7-b64fd8b7ca38}" ma:taxonomyMulti="true" ma:sspId="df355fa3-75d5-477a-b0bb-01242b69d85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dd4039-e03c-4d45-b7f5-037d61066046"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f355fa3-75d5-477a-b0bb-01242b69d85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alesforceCharityAccountPage" ma:index="29" nillable="true" ma:displayName="Salesforce Links" ma:description="Please find the hyperlink to account page on Salesfoces" ma:format="Hyperlink" ma:internalName="SalesforceCharityAccountPag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9841bb1-44c2-4e06-996f-db84ded5d9eb"/>
    <SalesforceCharityAccountPage xmlns="b4dd4039-e03c-4d45-b7f5-037d61066046">
      <Url xsi:nil="true"/>
      <Description xsi:nil="true"/>
    </SalesforceCharityAccountPage>
    <lcf76f155ced4ddcb4097134ff3c332f xmlns="b4dd4039-e03c-4d45-b7f5-037d61066046">
      <Terms xmlns="http://schemas.microsoft.com/office/infopath/2007/PartnerControls"/>
    </lcf76f155ced4ddcb4097134ff3c332f>
    <TaxKeywordTaxHTField xmlns="79841bb1-44c2-4e06-996f-db84ded5d9eb">
      <Terms xmlns="http://schemas.microsoft.com/office/infopath/2007/PartnerControls"/>
    </TaxKeywordTaxHTField>
    <_Flow_SignoffStatus xmlns="b4dd4039-e03c-4d45-b7f5-037d61066046" xsi:nil="true"/>
  </documentManagement>
</p:properties>
</file>

<file path=customXml/itemProps1.xml><?xml version="1.0" encoding="utf-8"?>
<ds:datastoreItem xmlns:ds="http://schemas.openxmlformats.org/officeDocument/2006/customXml" ds:itemID="{EAAA2AD1-74CD-4993-AC57-2D78BB87D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41bb1-44c2-4e06-996f-db84ded5d9eb"/>
    <ds:schemaRef ds:uri="b4dd4039-e03c-4d45-b7f5-037d61066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60D957-EB55-4CC3-8E7F-BFF2B2C3A5B8}">
  <ds:schemaRefs>
    <ds:schemaRef ds:uri="http://schemas.microsoft.com/sharepoint/v3/contenttype/forms"/>
  </ds:schemaRefs>
</ds:datastoreItem>
</file>

<file path=customXml/itemProps3.xml><?xml version="1.0" encoding="utf-8"?>
<ds:datastoreItem xmlns:ds="http://schemas.openxmlformats.org/officeDocument/2006/customXml" ds:itemID="{88FAB22F-EB00-4018-9489-65E575678ACB}">
  <ds:schemaRefs>
    <ds:schemaRef ds:uri="http://schemas.openxmlformats.org/officeDocument/2006/bibliography"/>
  </ds:schemaRefs>
</ds:datastoreItem>
</file>

<file path=customXml/itemProps4.xml><?xml version="1.0" encoding="utf-8"?>
<ds:datastoreItem xmlns:ds="http://schemas.openxmlformats.org/officeDocument/2006/customXml" ds:itemID="{1019CC1F-FCD5-496F-9701-255F2582FB2F}">
  <ds:schemaRefs>
    <ds:schemaRef ds:uri="http://schemas.microsoft.com/office/2006/metadata/properties"/>
    <ds:schemaRef ds:uri="http://schemas.microsoft.com/office/infopath/2007/PartnerControls"/>
    <ds:schemaRef ds:uri="79841bb1-44c2-4e06-996f-db84ded5d9eb"/>
    <ds:schemaRef ds:uri="b4dd4039-e03c-4d45-b7f5-037d61066046"/>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ECA0116</dc:title>
  <cp:revision>0</cp:revision>
</cp:coreProperties>
</file>