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8567C" w:rsidRPr="00E8567C" w:rsidP="00E8567C">
      <w:pPr>
        <w:jc w:val="center"/>
        <w:rPr>
          <w:rFonts w:ascii="Calibri" w:hAnsi="Calibri" w:cs="Calibri"/>
          <w:b/>
          <w:bCs/>
          <w:sz w:val="22"/>
          <w:szCs w:val="22"/>
        </w:rPr>
      </w:pPr>
      <w:r w:rsidRPr="00E8567C">
        <w:rPr>
          <w:rFonts w:ascii="Calibri" w:hAnsi="Calibri" w:cs="Calibri"/>
          <w:b/>
          <w:bCs/>
          <w:sz w:val="22"/>
          <w:szCs w:val="22"/>
        </w:rPr>
        <w:t xml:space="preserve">Written evidence by </w:t>
      </w:r>
      <w:r w:rsidRPr="00E8567C">
        <w:rPr>
          <w:rFonts w:ascii="Calibri" w:hAnsi="Calibri" w:cs="Calibri"/>
          <w:b/>
          <w:bCs/>
          <w:sz w:val="22"/>
          <w:szCs w:val="22"/>
        </w:rPr>
        <w:t>The Bell Foundation</w:t>
      </w:r>
      <w:r w:rsidRPr="00E8567C">
        <w:rPr>
          <w:rFonts w:ascii="Calibri" w:hAnsi="Calibri" w:cs="Calibri"/>
          <w:b/>
          <w:bCs/>
          <w:sz w:val="22"/>
          <w:szCs w:val="22"/>
        </w:rPr>
        <w:t xml:space="preserve"> (</w:t>
      </w:r>
      <w:r w:rsidRPr="00E8567C">
        <w:rPr>
          <w:rFonts w:ascii="Calibri" w:hAnsi="Calibri" w:cs="Calibri"/>
          <w:b/>
          <w:bCs/>
          <w:sz w:val="22"/>
          <w:szCs w:val="22"/>
        </w:rPr>
        <w:t>ECA0115</w:t>
      </w:r>
      <w:r w:rsidRPr="00E8567C">
        <w:rPr>
          <w:rFonts w:ascii="Calibri" w:hAnsi="Calibri" w:cs="Calibri"/>
          <w:b/>
          <w:bCs/>
          <w:sz w:val="22"/>
          <w:szCs w:val="22"/>
        </w:rPr>
        <w:t>)</w:t>
      </w:r>
    </w:p>
    <w:p w:rsidR="00E8567C" w:rsidRPr="00E8567C" w:rsidP="00E8567C">
      <w:pPr>
        <w:rPr>
          <w:rFonts w:ascii="Calibri" w:hAnsi="Calibri" w:cs="Calibri"/>
          <w:b/>
          <w:bCs/>
          <w:sz w:val="22"/>
          <w:szCs w:val="22"/>
        </w:rPr>
      </w:pPr>
      <w:r w:rsidRPr="00E8567C">
        <w:rPr>
          <w:rFonts w:ascii="Calibri" w:hAnsi="Calibri" w:cs="Calibri"/>
          <w:b/>
          <w:bCs/>
          <w:sz w:val="22"/>
          <w:szCs w:val="22"/>
        </w:rPr>
        <w:t>Education committee</w:t>
      </w:r>
    </w:p>
    <w:p w:rsidR="00E8567C" w:rsidRPr="00E8567C" w:rsidP="00E8567C">
      <w:pPr>
        <w:rPr>
          <w:rFonts w:ascii="Calibri" w:hAnsi="Calibri" w:cs="Calibri"/>
          <w:b/>
          <w:bCs/>
          <w:sz w:val="22"/>
          <w:szCs w:val="22"/>
        </w:rPr>
      </w:pPr>
      <w:r w:rsidRPr="00E8567C">
        <w:rPr>
          <w:rFonts w:ascii="Calibri" w:eastAsia="Aptos" w:hAnsi="Calibri" w:cs="Calibri"/>
          <w:b/>
          <w:bCs/>
          <w:sz w:val="22"/>
          <w:szCs w:val="22"/>
        </w:rPr>
        <w:t>Every Child Achieving and Thriving’ White Paper</w:t>
      </w:r>
    </w:p>
    <w:p w:rsidR="00E8567C" w:rsidRPr="00E8567C">
      <w:pPr>
        <w:rPr>
          <w:rFonts w:ascii="Calibri" w:hAnsi="Calibri" w:cs="Calibri"/>
          <w:sz w:val="22"/>
          <w:szCs w:val="22"/>
        </w:rPr>
      </w:pPr>
    </w:p>
    <w:p w:rsidR="00841635" w:rsidRPr="00E8567C">
      <w:pPr>
        <w:rPr>
          <w:rFonts w:ascii="Calibri" w:hAnsi="Calibri" w:cs="Calibri"/>
          <w:sz w:val="22"/>
          <w:szCs w:val="22"/>
        </w:rPr>
      </w:pPr>
      <w:r w:rsidRPr="00E8567C">
        <w:rPr>
          <w:rFonts w:ascii="Calibri" w:hAnsi="Calibri" w:cs="Calibri"/>
          <w:sz w:val="22"/>
          <w:szCs w:val="22"/>
        </w:rPr>
        <w:t>With more than one in five pupils using English as an additional language (EAL), multilingual learners are a significant and growing part of the education system</w:t>
      </w:r>
      <w:r w:rsidRPr="00E8567C">
        <w:rPr>
          <w:rFonts w:ascii="Calibri" w:hAnsi="Calibri" w:cs="Calibri"/>
          <w:sz w:val="22"/>
          <w:szCs w:val="22"/>
        </w:rPr>
        <w:t>. C</w:t>
      </w:r>
      <w:r w:rsidRPr="00E8567C">
        <w:rPr>
          <w:rFonts w:ascii="Calibri" w:hAnsi="Calibri" w:cs="Calibri"/>
          <w:sz w:val="22"/>
          <w:szCs w:val="22"/>
        </w:rPr>
        <w:t>urrent policy and accountability systems do not reflect</w:t>
      </w:r>
      <w:r w:rsidRPr="00E8567C">
        <w:rPr>
          <w:rFonts w:ascii="Calibri" w:hAnsi="Calibri" w:cs="Calibri"/>
          <w:sz w:val="22"/>
          <w:szCs w:val="22"/>
        </w:rPr>
        <w:t xml:space="preserve"> the</w:t>
      </w:r>
      <w:r w:rsidRPr="00E8567C">
        <w:rPr>
          <w:rFonts w:ascii="Calibri" w:hAnsi="Calibri" w:cs="Calibri"/>
          <w:sz w:val="22"/>
          <w:szCs w:val="22"/>
        </w:rPr>
        <w:t xml:space="preserve"> differing levels of English proficiency, educational experiences and support needs</w:t>
      </w:r>
      <w:r w:rsidRPr="00E8567C">
        <w:rPr>
          <w:rFonts w:ascii="Calibri" w:hAnsi="Calibri" w:cs="Calibri"/>
          <w:sz w:val="22"/>
          <w:szCs w:val="22"/>
        </w:rPr>
        <w:t xml:space="preserve"> of EAL learners</w:t>
      </w:r>
      <w:r w:rsidRPr="00E8567C">
        <w:rPr>
          <w:rFonts w:ascii="Calibri" w:hAnsi="Calibri" w:cs="Calibri"/>
          <w:sz w:val="22"/>
          <w:szCs w:val="22"/>
        </w:rPr>
        <w:t>. Limited proficiency data, specialist expertise and teacher training prevent some pupils from fully accessing the curriculum</w:t>
      </w:r>
      <w:r w:rsidRPr="00E8567C">
        <w:rPr>
          <w:rFonts w:ascii="Calibri" w:hAnsi="Calibri" w:cs="Calibri"/>
          <w:sz w:val="22"/>
          <w:szCs w:val="22"/>
        </w:rPr>
        <w:t xml:space="preserve">. </w:t>
      </w:r>
      <w:r w:rsidRPr="00E8567C">
        <w:rPr>
          <w:rFonts w:ascii="Calibri" w:hAnsi="Calibri" w:cs="Calibri"/>
          <w:sz w:val="22"/>
          <w:szCs w:val="22"/>
        </w:rPr>
        <w:t xml:space="preserve">As a result, pupils who are still acquiring English, </w:t>
      </w:r>
      <w:r w:rsidRPr="00E8567C">
        <w:rPr>
          <w:rFonts w:ascii="Calibri" w:hAnsi="Calibri" w:cs="Calibri"/>
          <w:sz w:val="22"/>
          <w:szCs w:val="22"/>
        </w:rPr>
        <w:t xml:space="preserve">particularly those </w:t>
      </w:r>
      <w:r w:rsidRPr="00E8567C">
        <w:rPr>
          <w:rFonts w:ascii="Calibri" w:hAnsi="Calibri" w:cs="Calibri"/>
          <w:sz w:val="22"/>
          <w:szCs w:val="22"/>
        </w:rPr>
        <w:t>arriving</w:t>
      </w:r>
      <w:r w:rsidRPr="00E8567C">
        <w:rPr>
          <w:rFonts w:ascii="Calibri" w:hAnsi="Calibri" w:cs="Calibri"/>
          <w:sz w:val="22"/>
          <w:szCs w:val="22"/>
        </w:rPr>
        <w:t xml:space="preserve"> later in the education system and/or face additional disadvantages, continue to experience inequalities in educational outcomes.</w:t>
      </w:r>
      <w:r w:rsidRPr="00E8567C">
        <w:rPr>
          <w:rFonts w:ascii="Calibri" w:hAnsi="Calibri" w:cs="Calibri"/>
          <w:sz w:val="22"/>
          <w:szCs w:val="22"/>
        </w:rPr>
        <w:t xml:space="preserve"> </w:t>
      </w:r>
      <w:r w:rsidRPr="00E8567C">
        <w:rPr>
          <w:rFonts w:ascii="Calibri" w:hAnsi="Calibri" w:cs="Calibri"/>
          <w:sz w:val="22"/>
          <w:szCs w:val="22"/>
        </w:rPr>
        <w:t xml:space="preserve">Drawing on research </w:t>
      </w:r>
      <w:r w:rsidRPr="00E8567C">
        <w:rPr>
          <w:rFonts w:ascii="Calibri" w:hAnsi="Calibri" w:cs="Calibri"/>
          <w:sz w:val="22"/>
          <w:szCs w:val="22"/>
        </w:rPr>
        <w:t xml:space="preserve">and </w:t>
      </w:r>
      <w:r w:rsidRPr="00E8567C">
        <w:rPr>
          <w:rFonts w:ascii="Calibri" w:hAnsi="Calibri" w:cs="Calibri"/>
          <w:sz w:val="22"/>
          <w:szCs w:val="22"/>
        </w:rPr>
        <w:t>practical experience</w:t>
      </w:r>
      <w:r w:rsidRPr="00E8567C">
        <w:rPr>
          <w:rFonts w:ascii="Calibri" w:hAnsi="Calibri" w:cs="Calibri"/>
          <w:sz w:val="22"/>
          <w:szCs w:val="22"/>
        </w:rPr>
        <w:t xml:space="preserve">, </w:t>
      </w:r>
      <w:r w:rsidRPr="00E8567C">
        <w:rPr>
          <w:rFonts w:ascii="Calibri" w:hAnsi="Calibri" w:cs="Calibri"/>
          <w:sz w:val="22"/>
          <w:szCs w:val="22"/>
        </w:rPr>
        <w:t>The Bell Foundation</w:t>
      </w:r>
      <w:r w:rsidRPr="00E8567C">
        <w:rPr>
          <w:rFonts w:ascii="Calibri" w:hAnsi="Calibri" w:cs="Calibri"/>
          <w:sz w:val="22"/>
          <w:szCs w:val="22"/>
        </w:rPr>
        <w:t>’s</w:t>
      </w:r>
      <w:r w:rsidRPr="00E8567C">
        <w:rPr>
          <w:rFonts w:ascii="Calibri" w:hAnsi="Calibri" w:cs="Calibri"/>
          <w:sz w:val="22"/>
          <w:szCs w:val="22"/>
        </w:rPr>
        <w:t xml:space="preserve"> response</w:t>
      </w:r>
      <w:r w:rsidRPr="00E8567C">
        <w:rPr>
          <w:rFonts w:ascii="Calibri" w:hAnsi="Calibri" w:cs="Calibri"/>
          <w:sz w:val="22"/>
          <w:szCs w:val="22"/>
        </w:rPr>
        <w:t xml:space="preserve"> </w:t>
      </w:r>
      <w:r w:rsidRPr="00E8567C">
        <w:rPr>
          <w:rFonts w:ascii="Calibri" w:hAnsi="Calibri" w:cs="Calibri"/>
          <w:sz w:val="22"/>
          <w:szCs w:val="22"/>
        </w:rPr>
        <w:t>outlines</w:t>
      </w:r>
      <w:r w:rsidRPr="00E8567C">
        <w:rPr>
          <w:rFonts w:ascii="Calibri" w:hAnsi="Calibri" w:cs="Calibri"/>
          <w:sz w:val="22"/>
          <w:szCs w:val="22"/>
        </w:rPr>
        <w:t xml:space="preserve"> how reforms can improve educational access, inclusion and outcomes for multilingual learners.</w:t>
      </w:r>
    </w:p>
    <w:p w:rsidR="00841635" w:rsidRPr="00E8567C" w:rsidP="00955BBA">
      <w:pPr>
        <w:rPr>
          <w:rFonts w:ascii="Calibri" w:hAnsi="Calibri" w:cs="Calibri"/>
          <w:b/>
          <w:bCs/>
          <w:sz w:val="22"/>
          <w:szCs w:val="22"/>
        </w:rPr>
      </w:pPr>
      <w:r w:rsidRPr="00E8567C">
        <w:rPr>
          <w:rFonts w:ascii="Calibri" w:hAnsi="Calibri" w:cs="Calibri"/>
          <w:b/>
          <w:bCs/>
          <w:sz w:val="22"/>
          <w:szCs w:val="22"/>
        </w:rPr>
        <w:t>Raising attainment</w:t>
      </w:r>
    </w:p>
    <w:p w:rsidR="00841635" w:rsidRPr="00E8567C" w:rsidP="00955BBA">
      <w:pPr>
        <w:rPr>
          <w:rFonts w:ascii="Calibri" w:hAnsi="Calibri" w:cs="Calibri"/>
          <w:sz w:val="22"/>
          <w:szCs w:val="22"/>
        </w:rPr>
      </w:pPr>
      <w:r w:rsidRPr="00E8567C">
        <w:rPr>
          <w:rFonts w:ascii="Calibri" w:hAnsi="Calibri" w:cs="Calibri"/>
          <w:sz w:val="22"/>
          <w:szCs w:val="22"/>
        </w:rPr>
        <w:t xml:space="preserve">The White Paper gives limited attention to the role of English language proficiency in shaping educational outcomes for </w:t>
      </w:r>
      <w:r w:rsidRPr="00E8567C">
        <w:rPr>
          <w:rFonts w:ascii="Calibri" w:hAnsi="Calibri" w:cs="Calibri"/>
          <w:sz w:val="22"/>
          <w:szCs w:val="22"/>
        </w:rPr>
        <w:t>EAL learners</w:t>
      </w:r>
      <w:r w:rsidRPr="00E8567C">
        <w:rPr>
          <w:rFonts w:ascii="Calibri" w:hAnsi="Calibri" w:cs="Calibri"/>
          <w:sz w:val="22"/>
          <w:szCs w:val="22"/>
        </w:rPr>
        <w:t xml:space="preserve">. </w:t>
      </w:r>
      <w:r w:rsidRPr="00E8567C">
        <w:rPr>
          <w:rFonts w:ascii="Calibri" w:hAnsi="Calibri" w:cs="Calibri"/>
          <w:sz w:val="22"/>
          <w:szCs w:val="22"/>
        </w:rPr>
        <w:t>E</w:t>
      </w:r>
      <w:r w:rsidRPr="00E8567C">
        <w:rPr>
          <w:rFonts w:ascii="Calibri" w:hAnsi="Calibri" w:cs="Calibri"/>
          <w:sz w:val="22"/>
          <w:szCs w:val="22"/>
        </w:rPr>
        <w:t>vidence consistently shows that English language proficiency, rather than EAL status itself, is the strongest predictor of attainment across the curriculum.</w:t>
      </w:r>
      <w:r>
        <w:rPr>
          <w:rStyle w:val="FootnoteReference"/>
          <w:rFonts w:ascii="Calibri" w:hAnsi="Calibri" w:cs="Calibri"/>
          <w:sz w:val="22"/>
          <w:szCs w:val="22"/>
        </w:rPr>
        <w:footnoteReference w:id="2"/>
      </w:r>
      <w:r w:rsidRPr="00E8567C">
        <w:rPr>
          <w:rFonts w:ascii="Calibri" w:hAnsi="Calibri" w:cs="Calibri"/>
          <w:sz w:val="22"/>
          <w:szCs w:val="22"/>
        </w:rPr>
        <w:t xml:space="preserve"> Raising attainment therefore depends on recognising </w:t>
      </w:r>
      <w:r w:rsidRPr="00E8567C">
        <w:rPr>
          <w:rFonts w:ascii="Calibri" w:hAnsi="Calibri" w:cs="Calibri"/>
          <w:sz w:val="22"/>
          <w:szCs w:val="22"/>
        </w:rPr>
        <w:t xml:space="preserve">English language proficiency </w:t>
      </w:r>
      <w:r w:rsidRPr="00E8567C">
        <w:rPr>
          <w:rFonts w:ascii="Calibri" w:hAnsi="Calibri" w:cs="Calibri"/>
          <w:sz w:val="22"/>
          <w:szCs w:val="22"/>
        </w:rPr>
        <w:t>as a fundamental enabler of learning, participation and achievement.</w:t>
      </w:r>
    </w:p>
    <w:p w:rsidR="00841635" w:rsidRPr="00E8567C" w:rsidP="00955BBA">
      <w:pPr>
        <w:rPr>
          <w:rFonts w:ascii="Calibri" w:hAnsi="Calibri" w:cs="Calibri"/>
          <w:sz w:val="22"/>
          <w:szCs w:val="22"/>
        </w:rPr>
      </w:pPr>
      <w:r w:rsidRPr="00E8567C">
        <w:rPr>
          <w:rFonts w:ascii="Calibri" w:hAnsi="Calibri" w:cs="Calibri"/>
          <w:sz w:val="22"/>
          <w:szCs w:val="22"/>
        </w:rPr>
        <w:t xml:space="preserve">Evidence shows that English language proficiency explains more variation in attainment among </w:t>
      </w:r>
      <w:r w:rsidRPr="00E8567C">
        <w:rPr>
          <w:rFonts w:ascii="Calibri" w:hAnsi="Calibri" w:cs="Calibri"/>
          <w:sz w:val="22"/>
          <w:szCs w:val="22"/>
        </w:rPr>
        <w:t>EAL</w:t>
      </w:r>
      <w:r w:rsidRPr="00E8567C">
        <w:rPr>
          <w:rFonts w:ascii="Calibri" w:hAnsi="Calibri" w:cs="Calibri"/>
          <w:sz w:val="22"/>
          <w:szCs w:val="22"/>
        </w:rPr>
        <w:t xml:space="preserve"> learners than socioeconomic disadvantage, ethnicity or gender.</w:t>
      </w:r>
      <w:r>
        <w:rPr>
          <w:rStyle w:val="FootnoteReference"/>
          <w:rFonts w:ascii="Calibri" w:hAnsi="Calibri" w:cs="Calibri"/>
          <w:sz w:val="22"/>
          <w:szCs w:val="22"/>
        </w:rPr>
        <w:footnoteReference w:id="3"/>
      </w:r>
      <w:r w:rsidRPr="00E8567C">
        <w:rPr>
          <w:rFonts w:ascii="Calibri" w:hAnsi="Calibri" w:cs="Calibri"/>
          <w:sz w:val="22"/>
          <w:szCs w:val="22"/>
        </w:rPr>
        <w:t xml:space="preserve"> While </w:t>
      </w:r>
      <w:r w:rsidRPr="00E8567C">
        <w:rPr>
          <w:rFonts w:ascii="Calibri" w:hAnsi="Calibri" w:cs="Calibri"/>
          <w:sz w:val="22"/>
          <w:szCs w:val="22"/>
        </w:rPr>
        <w:t xml:space="preserve">many </w:t>
      </w:r>
      <w:r w:rsidRPr="00E8567C">
        <w:rPr>
          <w:rFonts w:ascii="Calibri" w:hAnsi="Calibri" w:cs="Calibri"/>
          <w:sz w:val="22"/>
          <w:szCs w:val="22"/>
        </w:rPr>
        <w:t>EAL</w:t>
      </w:r>
      <w:r w:rsidRPr="00E8567C">
        <w:rPr>
          <w:rFonts w:ascii="Calibri" w:hAnsi="Calibri" w:cs="Calibri"/>
          <w:sz w:val="22"/>
          <w:szCs w:val="22"/>
        </w:rPr>
        <w:t xml:space="preserve"> learners achieve highly, pupils </w:t>
      </w:r>
      <w:r w:rsidRPr="00E8567C">
        <w:rPr>
          <w:rFonts w:ascii="Calibri" w:hAnsi="Calibri" w:cs="Calibri"/>
          <w:sz w:val="22"/>
          <w:szCs w:val="22"/>
        </w:rPr>
        <w:t>arriving</w:t>
      </w:r>
      <w:r w:rsidRPr="00E8567C">
        <w:rPr>
          <w:rFonts w:ascii="Calibri" w:hAnsi="Calibri" w:cs="Calibri"/>
          <w:sz w:val="22"/>
          <w:szCs w:val="22"/>
        </w:rPr>
        <w:t xml:space="preserve"> later in the English education system face challenge</w:t>
      </w:r>
      <w:r w:rsidRPr="00E8567C">
        <w:rPr>
          <w:rFonts w:ascii="Calibri" w:hAnsi="Calibri" w:cs="Calibri"/>
          <w:sz w:val="22"/>
          <w:szCs w:val="22"/>
        </w:rPr>
        <w:t>s</w:t>
      </w:r>
      <w:r w:rsidRPr="00E8567C">
        <w:rPr>
          <w:rFonts w:ascii="Calibri" w:hAnsi="Calibri" w:cs="Calibri"/>
          <w:sz w:val="22"/>
          <w:szCs w:val="22"/>
        </w:rPr>
        <w:t xml:space="preserve"> of developing English while accessing the curriculum. National analysis shows that pupils entering after Y</w:t>
      </w:r>
      <w:r w:rsidRPr="00E8567C">
        <w:rPr>
          <w:rFonts w:ascii="Calibri" w:hAnsi="Calibri" w:cs="Calibri"/>
          <w:sz w:val="22"/>
          <w:szCs w:val="22"/>
        </w:rPr>
        <w:t>r</w:t>
      </w:r>
      <w:r w:rsidRPr="00E8567C">
        <w:rPr>
          <w:rFonts w:ascii="Calibri" w:hAnsi="Calibri" w:cs="Calibri"/>
          <w:sz w:val="22"/>
          <w:szCs w:val="22"/>
        </w:rPr>
        <w:t xml:space="preserve"> </w:t>
      </w:r>
      <w:r w:rsidRPr="00E8567C">
        <w:rPr>
          <w:rFonts w:ascii="Calibri" w:hAnsi="Calibri" w:cs="Calibri"/>
          <w:sz w:val="22"/>
          <w:szCs w:val="22"/>
        </w:rPr>
        <w:t>5 are at a particular disadvantage in achieving strong GCSE outcomes</w:t>
      </w:r>
      <w:r>
        <w:rPr>
          <w:rStyle w:val="FootnoteReference"/>
          <w:rFonts w:ascii="Calibri" w:hAnsi="Calibri" w:cs="Calibri"/>
          <w:sz w:val="22"/>
          <w:szCs w:val="22"/>
        </w:rPr>
        <w:footnoteReference w:id="4"/>
      </w:r>
      <w:r w:rsidRPr="00E8567C">
        <w:rPr>
          <w:rFonts w:ascii="Calibri" w:hAnsi="Calibri" w:cs="Calibri"/>
          <w:sz w:val="22"/>
          <w:szCs w:val="22"/>
        </w:rPr>
        <w:t xml:space="preserve">. Without sustained language support, lower attainment may reflect limited access to the language of the curriculum, rather than underlying ability. </w:t>
      </w:r>
      <w:r w:rsidRPr="00E8567C">
        <w:rPr>
          <w:rFonts w:ascii="Calibri" w:hAnsi="Calibri" w:cs="Calibri"/>
          <w:sz w:val="22"/>
          <w:szCs w:val="22"/>
        </w:rPr>
        <w:t>Systematic assessment of English proficiency enables schools to identify need, target support and improve outcomes</w:t>
      </w:r>
      <w:r w:rsidRPr="00E8567C">
        <w:rPr>
          <w:rFonts w:ascii="Calibri" w:hAnsi="Calibri" w:cs="Calibri"/>
          <w:sz w:val="22"/>
          <w:szCs w:val="22"/>
        </w:rPr>
        <w:t>.</w:t>
      </w:r>
      <w:r>
        <w:rPr>
          <w:rStyle w:val="FootnoteReference"/>
          <w:rFonts w:ascii="Calibri" w:hAnsi="Calibri" w:cs="Calibri"/>
          <w:sz w:val="22"/>
          <w:szCs w:val="22"/>
        </w:rPr>
        <w:footnoteReference w:id="5"/>
      </w:r>
    </w:p>
    <w:p w:rsidR="00841635" w:rsidRPr="00E8567C" w:rsidP="001D0B2A">
      <w:pPr>
        <w:rPr>
          <w:rFonts w:ascii="Calibri" w:hAnsi="Calibri" w:cs="Calibri"/>
          <w:sz w:val="22"/>
          <w:szCs w:val="22"/>
        </w:rPr>
      </w:pPr>
      <w:r w:rsidRPr="00E8567C">
        <w:rPr>
          <w:rFonts w:ascii="Calibri" w:hAnsi="Calibri" w:cs="Calibri"/>
          <w:sz w:val="22"/>
          <w:szCs w:val="22"/>
        </w:rPr>
        <w:t xml:space="preserve">Proposed accountability reforms provide an opportunity to strengthen support for EAL learners. Flexibility within Progress 8 and Attainment 8 could support a broader, more inclusive curriculum while maintaining high expectations for pupils using EAL. </w:t>
      </w:r>
      <w:r w:rsidRPr="00E8567C">
        <w:rPr>
          <w:rFonts w:ascii="Calibri" w:hAnsi="Calibri" w:cs="Calibri"/>
          <w:sz w:val="22"/>
          <w:szCs w:val="22"/>
        </w:rPr>
        <w:t>However</w:t>
      </w:r>
      <w:r w:rsidRPr="00E8567C">
        <w:rPr>
          <w:rFonts w:ascii="Calibri" w:hAnsi="Calibri" w:cs="Calibri"/>
          <w:sz w:val="22"/>
          <w:szCs w:val="22"/>
        </w:rPr>
        <w:t>, a</w:t>
      </w:r>
      <w:r w:rsidRPr="00E8567C">
        <w:rPr>
          <w:rFonts w:ascii="Calibri" w:hAnsi="Calibri" w:cs="Calibri"/>
          <w:sz w:val="22"/>
          <w:szCs w:val="22"/>
        </w:rPr>
        <w:t>ccountability measures</w:t>
      </w:r>
      <w:r w:rsidRPr="00E8567C">
        <w:rPr>
          <w:rFonts w:ascii="Calibri" w:hAnsi="Calibri" w:cs="Calibri"/>
          <w:sz w:val="22"/>
          <w:szCs w:val="22"/>
        </w:rPr>
        <w:t xml:space="preserve"> must </w:t>
      </w:r>
      <w:r w:rsidRPr="00E8567C">
        <w:rPr>
          <w:rFonts w:ascii="Calibri" w:hAnsi="Calibri" w:cs="Calibri"/>
          <w:sz w:val="22"/>
          <w:szCs w:val="22"/>
        </w:rPr>
        <w:t>also better reflect the educational trajectories of pupils arriving after KS2</w:t>
      </w:r>
      <w:r w:rsidRPr="00E8567C">
        <w:rPr>
          <w:rFonts w:ascii="Calibri" w:hAnsi="Calibri" w:cs="Calibri"/>
          <w:sz w:val="22"/>
          <w:szCs w:val="22"/>
        </w:rPr>
        <w:t xml:space="preserve">, who often lack comparable prior attainment data, so that schools serving highly mobile and newly arrived populations are evaluated fairly. Reinstating national assessment and collection of English language proficiency </w:t>
      </w:r>
      <w:r w:rsidRPr="00E8567C">
        <w:rPr>
          <w:rFonts w:ascii="Calibri" w:hAnsi="Calibri" w:cs="Calibri"/>
          <w:sz w:val="22"/>
          <w:szCs w:val="22"/>
        </w:rPr>
        <w:t>data in the NPD</w:t>
      </w:r>
      <w:r w:rsidRPr="00E8567C">
        <w:rPr>
          <w:rFonts w:ascii="Calibri" w:hAnsi="Calibri" w:cs="Calibri"/>
          <w:sz w:val="22"/>
          <w:szCs w:val="22"/>
        </w:rPr>
        <w:t xml:space="preserve"> would </w:t>
      </w:r>
      <w:r w:rsidRPr="00E8567C">
        <w:rPr>
          <w:rFonts w:ascii="Calibri" w:hAnsi="Calibri" w:cs="Calibri"/>
          <w:sz w:val="22"/>
          <w:szCs w:val="22"/>
        </w:rPr>
        <w:t>help</w:t>
      </w:r>
      <w:r w:rsidRPr="00E8567C">
        <w:rPr>
          <w:rFonts w:ascii="Calibri" w:hAnsi="Calibri" w:cs="Calibri"/>
          <w:sz w:val="22"/>
          <w:szCs w:val="22"/>
        </w:rPr>
        <w:t xml:space="preserve"> provide a more accurate picture of educational progress, enable schools to </w:t>
      </w:r>
      <w:r w:rsidRPr="00E8567C">
        <w:rPr>
          <w:rFonts w:ascii="Calibri" w:hAnsi="Calibri" w:cs="Calibri"/>
          <w:sz w:val="22"/>
          <w:szCs w:val="22"/>
        </w:rPr>
        <w:t xml:space="preserve">monitor language development alongside </w:t>
      </w:r>
      <w:r w:rsidRPr="00E8567C">
        <w:rPr>
          <w:rFonts w:ascii="Calibri" w:hAnsi="Calibri" w:cs="Calibri"/>
          <w:sz w:val="22"/>
          <w:szCs w:val="22"/>
        </w:rPr>
        <w:t>attainment, and</w:t>
      </w:r>
      <w:r w:rsidRPr="00E8567C">
        <w:rPr>
          <w:rFonts w:ascii="Calibri" w:hAnsi="Calibri" w:cs="Calibri"/>
          <w:sz w:val="22"/>
          <w:szCs w:val="22"/>
        </w:rPr>
        <w:t xml:space="preserve"> strengthen both accountability and school improvement.</w:t>
      </w:r>
    </w:p>
    <w:p w:rsidR="00841635" w:rsidRPr="00E8567C" w:rsidP="001D0B2A">
      <w:pPr>
        <w:rPr>
          <w:rFonts w:ascii="Calibri" w:hAnsi="Calibri" w:cs="Calibri"/>
          <w:sz w:val="22"/>
          <w:szCs w:val="22"/>
        </w:rPr>
      </w:pPr>
      <w:r w:rsidRPr="00E8567C">
        <w:rPr>
          <w:rFonts w:ascii="Calibri" w:hAnsi="Calibri" w:cs="Calibri"/>
          <w:sz w:val="22"/>
          <w:szCs w:val="22"/>
        </w:rPr>
        <w:t xml:space="preserve">The importance of English language proficiency is now recognised within the </w:t>
      </w:r>
      <w:r w:rsidRPr="00E8567C">
        <w:rPr>
          <w:rFonts w:ascii="Calibri" w:hAnsi="Calibri" w:cs="Calibri"/>
          <w:sz w:val="22"/>
          <w:szCs w:val="22"/>
        </w:rPr>
        <w:t xml:space="preserve">Ofsted </w:t>
      </w:r>
      <w:r w:rsidRPr="00E8567C">
        <w:rPr>
          <w:rFonts w:ascii="Calibri" w:hAnsi="Calibri" w:cs="Calibri"/>
          <w:sz w:val="22"/>
          <w:szCs w:val="22"/>
        </w:rPr>
        <w:t xml:space="preserve">revised </w:t>
      </w:r>
      <w:r w:rsidRPr="00E8567C">
        <w:rPr>
          <w:rFonts w:ascii="Calibri" w:hAnsi="Calibri" w:cs="Calibri"/>
          <w:sz w:val="22"/>
          <w:szCs w:val="22"/>
        </w:rPr>
        <w:t xml:space="preserve">framework. However, schools are not required to assess English language proficiency nationally, nor have they received guidance, training or support to implement such assessment. This </w:t>
      </w:r>
      <w:r w:rsidRPr="00E8567C">
        <w:rPr>
          <w:rFonts w:ascii="Calibri" w:hAnsi="Calibri" w:cs="Calibri"/>
          <w:sz w:val="22"/>
          <w:szCs w:val="22"/>
        </w:rPr>
        <w:t xml:space="preserve">disconnection </w:t>
      </w:r>
      <w:r w:rsidRPr="00E8567C">
        <w:rPr>
          <w:rFonts w:ascii="Calibri" w:hAnsi="Calibri" w:cs="Calibri"/>
          <w:sz w:val="22"/>
          <w:szCs w:val="22"/>
        </w:rPr>
        <w:t>between inspection expectations and the wider policy, ma</w:t>
      </w:r>
      <w:r w:rsidRPr="00E8567C">
        <w:rPr>
          <w:rFonts w:ascii="Calibri" w:hAnsi="Calibri" w:cs="Calibri"/>
          <w:sz w:val="22"/>
          <w:szCs w:val="22"/>
        </w:rPr>
        <w:t xml:space="preserve">kes </w:t>
      </w:r>
      <w:r w:rsidRPr="00E8567C">
        <w:rPr>
          <w:rFonts w:ascii="Calibri" w:hAnsi="Calibri" w:cs="Calibri"/>
          <w:sz w:val="22"/>
          <w:szCs w:val="22"/>
        </w:rPr>
        <w:t>it difficult for schools to embed consistent approaches to assess</w:t>
      </w:r>
      <w:r w:rsidRPr="00E8567C">
        <w:rPr>
          <w:rFonts w:ascii="Calibri" w:hAnsi="Calibri" w:cs="Calibri"/>
          <w:sz w:val="22"/>
          <w:szCs w:val="22"/>
        </w:rPr>
        <w:t>ment</w:t>
      </w:r>
      <w:r w:rsidRPr="00E8567C">
        <w:rPr>
          <w:rFonts w:ascii="Calibri" w:hAnsi="Calibri" w:cs="Calibri"/>
          <w:sz w:val="22"/>
          <w:szCs w:val="22"/>
        </w:rPr>
        <w:t xml:space="preserve"> and support.</w:t>
      </w:r>
    </w:p>
    <w:p w:rsidR="00841635" w:rsidRPr="00E8567C" w:rsidP="004A4140">
      <w:pPr>
        <w:rPr>
          <w:rFonts w:ascii="Calibri" w:hAnsi="Calibri" w:cs="Calibri"/>
          <w:sz w:val="22"/>
          <w:szCs w:val="22"/>
        </w:rPr>
      </w:pPr>
      <w:r w:rsidRPr="00E8567C">
        <w:rPr>
          <w:rFonts w:ascii="Calibri" w:hAnsi="Calibri" w:cs="Calibri"/>
          <w:sz w:val="22"/>
          <w:szCs w:val="22"/>
        </w:rPr>
        <w:t xml:space="preserve">Following the introduction of Ofsted's EAL inspection section, The Bell Foundation analysed inspection reports to assess implementation. This unpublished evidence </w:t>
      </w:r>
      <w:r w:rsidRPr="00E8567C">
        <w:rPr>
          <w:rFonts w:ascii="Calibri" w:hAnsi="Calibri" w:cs="Calibri"/>
          <w:sz w:val="22"/>
          <w:szCs w:val="22"/>
        </w:rPr>
        <w:t>can be shared on request</w:t>
      </w:r>
      <w:r w:rsidRPr="00E8567C">
        <w:rPr>
          <w:rFonts w:ascii="Calibri" w:hAnsi="Calibri" w:cs="Calibri"/>
          <w:sz w:val="22"/>
          <w:szCs w:val="22"/>
        </w:rPr>
        <w:t>.</w:t>
      </w:r>
      <w:r w:rsidRPr="00E8567C">
        <w:rPr>
          <w:rFonts w:ascii="Calibri" w:hAnsi="Calibri" w:cs="Calibri"/>
          <w:sz w:val="22"/>
          <w:szCs w:val="22"/>
        </w:rPr>
        <w:t xml:space="preserve"> </w:t>
      </w:r>
      <w:r w:rsidRPr="00E8567C">
        <w:rPr>
          <w:rFonts w:ascii="Calibri" w:hAnsi="Calibri" w:cs="Calibri"/>
          <w:sz w:val="22"/>
          <w:szCs w:val="22"/>
        </w:rPr>
        <w:t>Our</w:t>
      </w:r>
      <w:r w:rsidRPr="00E8567C">
        <w:rPr>
          <w:rFonts w:ascii="Calibri" w:hAnsi="Calibri" w:cs="Calibri"/>
          <w:sz w:val="22"/>
          <w:szCs w:val="22"/>
        </w:rPr>
        <w:t xml:space="preserve"> </w:t>
      </w:r>
      <w:r w:rsidRPr="00E8567C">
        <w:rPr>
          <w:rFonts w:ascii="Calibri" w:hAnsi="Calibri" w:cs="Calibri"/>
          <w:sz w:val="22"/>
          <w:szCs w:val="22"/>
        </w:rPr>
        <w:t xml:space="preserve">analysis of 160 inspection reports published since January 2026 </w:t>
      </w:r>
      <w:r w:rsidRPr="00E8567C">
        <w:rPr>
          <w:rFonts w:ascii="Calibri" w:hAnsi="Calibri" w:cs="Calibri"/>
          <w:sz w:val="22"/>
          <w:szCs w:val="22"/>
        </w:rPr>
        <w:t>(40 primary and 120 secondary)</w:t>
      </w:r>
      <w:r w:rsidRPr="00E8567C">
        <w:rPr>
          <w:rFonts w:ascii="Calibri" w:hAnsi="Calibri" w:cs="Calibri"/>
          <w:sz w:val="22"/>
          <w:szCs w:val="22"/>
        </w:rPr>
        <w:t xml:space="preserve"> suggests that expectations are not yet being applied consistently.</w:t>
      </w:r>
      <w:r w:rsidRPr="00E8567C">
        <w:rPr>
          <w:rFonts w:ascii="Calibri" w:hAnsi="Calibri" w:cs="Calibri"/>
          <w:sz w:val="22"/>
          <w:szCs w:val="22"/>
        </w:rPr>
        <w:t xml:space="preserve"> </w:t>
      </w:r>
      <w:r w:rsidRPr="00E8567C">
        <w:rPr>
          <w:rFonts w:ascii="Calibri" w:hAnsi="Calibri" w:cs="Calibri"/>
          <w:sz w:val="22"/>
          <w:szCs w:val="22"/>
        </w:rPr>
        <w:t xml:space="preserve"> Only 21 reports (15%) included explicit reference to EAL, </w:t>
      </w:r>
      <w:r w:rsidRPr="00E8567C">
        <w:rPr>
          <w:rFonts w:ascii="Calibri" w:hAnsi="Calibri" w:cs="Calibri"/>
          <w:sz w:val="22"/>
          <w:szCs w:val="22"/>
        </w:rPr>
        <w:t>including</w:t>
      </w:r>
      <w:r w:rsidRPr="00E8567C">
        <w:rPr>
          <w:rFonts w:ascii="Calibri" w:hAnsi="Calibri" w:cs="Calibri"/>
          <w:sz w:val="22"/>
          <w:szCs w:val="22"/>
        </w:rPr>
        <w:t xml:space="preserve"> several schools serving EAL populations significantly above the national average making no reference to EAL at all. </w:t>
      </w:r>
      <w:r w:rsidRPr="00E8567C">
        <w:rPr>
          <w:rFonts w:ascii="Calibri" w:hAnsi="Calibri" w:cs="Calibri"/>
          <w:sz w:val="22"/>
          <w:szCs w:val="22"/>
        </w:rPr>
        <w:t xml:space="preserve">Where EAL was mentioned, references were typically brief and provided limited insight into curriculum provision or teaching quality. </w:t>
      </w:r>
      <w:r w:rsidRPr="00E8567C">
        <w:rPr>
          <w:rFonts w:ascii="Calibri" w:hAnsi="Calibri" w:cs="Calibri"/>
          <w:sz w:val="22"/>
          <w:szCs w:val="22"/>
        </w:rPr>
        <w:t>These</w:t>
      </w:r>
      <w:r w:rsidRPr="00E8567C">
        <w:rPr>
          <w:rFonts w:ascii="Calibri" w:hAnsi="Calibri" w:cs="Calibri"/>
          <w:sz w:val="22"/>
          <w:szCs w:val="22"/>
        </w:rPr>
        <w:t xml:space="preserve"> findings suggest further guidance and professional development for inspectors </w:t>
      </w:r>
      <w:r w:rsidRPr="00E8567C">
        <w:rPr>
          <w:rFonts w:ascii="Calibri" w:hAnsi="Calibri" w:cs="Calibri"/>
          <w:sz w:val="22"/>
          <w:szCs w:val="22"/>
        </w:rPr>
        <w:t>is</w:t>
      </w:r>
      <w:r w:rsidRPr="00E8567C">
        <w:rPr>
          <w:rFonts w:ascii="Calibri" w:hAnsi="Calibri" w:cs="Calibri"/>
          <w:sz w:val="22"/>
          <w:szCs w:val="22"/>
        </w:rPr>
        <w:t xml:space="preserve"> needed to ensure it is implemented consistently.</w:t>
      </w:r>
    </w:p>
    <w:p w:rsidR="00841635" w:rsidRPr="00E8567C" w:rsidP="001D0B2A">
      <w:pPr>
        <w:rPr>
          <w:rFonts w:ascii="Calibri" w:hAnsi="Calibri" w:cs="Calibri"/>
          <w:sz w:val="22"/>
          <w:szCs w:val="22"/>
        </w:rPr>
      </w:pPr>
      <w:r w:rsidRPr="00E8567C">
        <w:rPr>
          <w:rFonts w:ascii="Calibri" w:hAnsi="Calibri" w:cs="Calibri"/>
          <w:sz w:val="22"/>
          <w:szCs w:val="22"/>
        </w:rPr>
        <w:t>The recent introduction of Ofsted's Similar Schools</w:t>
      </w:r>
      <w:r w:rsidRPr="00E8567C">
        <w:rPr>
          <w:rFonts w:ascii="Calibri" w:hAnsi="Calibri" w:cs="Calibri"/>
          <w:sz w:val="22"/>
          <w:szCs w:val="22"/>
        </w:rPr>
        <w:t xml:space="preserve"> measure further illustrates the importance of contextual information within accountability and inspection. However, without information on pupils' English language proficiency, schools with very different </w:t>
      </w:r>
      <w:r w:rsidRPr="00E8567C">
        <w:rPr>
          <w:rFonts w:ascii="Calibri" w:hAnsi="Calibri" w:cs="Calibri"/>
          <w:sz w:val="22"/>
          <w:szCs w:val="22"/>
        </w:rPr>
        <w:t xml:space="preserve">EAL </w:t>
      </w:r>
      <w:r w:rsidRPr="00E8567C">
        <w:rPr>
          <w:rFonts w:ascii="Calibri" w:hAnsi="Calibri" w:cs="Calibri"/>
          <w:sz w:val="22"/>
          <w:szCs w:val="22"/>
        </w:rPr>
        <w:t xml:space="preserve">learner populations may nevertheless be grouped together. </w:t>
      </w:r>
      <w:r w:rsidRPr="00E8567C">
        <w:rPr>
          <w:rFonts w:ascii="Calibri" w:hAnsi="Calibri" w:cs="Calibri"/>
          <w:sz w:val="22"/>
          <w:szCs w:val="22"/>
        </w:rPr>
        <w:t>Schools with similar recorded EAL populations may nevertheless serve learners at very different stages of English acquisition</w:t>
      </w:r>
      <w:r w:rsidRPr="00E8567C">
        <w:rPr>
          <w:rFonts w:ascii="Calibri" w:hAnsi="Calibri" w:cs="Calibri"/>
          <w:sz w:val="22"/>
          <w:szCs w:val="22"/>
        </w:rPr>
        <w:t xml:space="preserve"> and with very different educational experiences</w:t>
      </w:r>
      <w:r w:rsidRPr="00E8567C">
        <w:rPr>
          <w:rFonts w:ascii="Calibri" w:hAnsi="Calibri" w:cs="Calibri"/>
          <w:sz w:val="22"/>
          <w:szCs w:val="22"/>
        </w:rPr>
        <w:t>.</w:t>
      </w:r>
      <w:r w:rsidRPr="00E8567C">
        <w:rPr>
          <w:rFonts w:ascii="Calibri" w:hAnsi="Calibri" w:cs="Calibri"/>
          <w:sz w:val="22"/>
          <w:szCs w:val="22"/>
        </w:rPr>
        <w:t xml:space="preserve"> </w:t>
      </w:r>
    </w:p>
    <w:p w:rsidR="00841635" w:rsidRPr="00E8567C" w:rsidP="00955BBA">
      <w:pPr>
        <w:rPr>
          <w:rFonts w:ascii="Calibri" w:hAnsi="Calibri" w:cs="Calibri"/>
          <w:sz w:val="22"/>
          <w:szCs w:val="22"/>
        </w:rPr>
      </w:pPr>
      <w:r w:rsidRPr="00E8567C">
        <w:rPr>
          <w:rFonts w:ascii="Calibri" w:hAnsi="Calibri" w:cs="Calibri"/>
          <w:sz w:val="22"/>
          <w:szCs w:val="22"/>
        </w:rPr>
        <w:t xml:space="preserve">School improvement structures, including RISE teams and accountability bodies, also have an important role in raising attainment. Their effectiveness will depend on access </w:t>
      </w:r>
      <w:r w:rsidRPr="00E8567C">
        <w:rPr>
          <w:rFonts w:ascii="Calibri" w:hAnsi="Calibri" w:cs="Calibri"/>
          <w:sz w:val="22"/>
          <w:szCs w:val="22"/>
        </w:rPr>
        <w:t xml:space="preserve">to specialist expertise in multilingualism, English language development and effective EAL pedagogy. </w:t>
      </w:r>
    </w:p>
    <w:p w:rsidR="00841635" w:rsidRPr="00E8567C" w:rsidP="00955BBA">
      <w:pPr>
        <w:rPr>
          <w:rFonts w:ascii="Calibri" w:hAnsi="Calibri" w:cs="Calibri"/>
          <w:b/>
          <w:bCs/>
          <w:sz w:val="22"/>
          <w:szCs w:val="22"/>
        </w:rPr>
      </w:pPr>
      <w:r w:rsidRPr="00E8567C">
        <w:rPr>
          <w:rFonts w:ascii="Calibri" w:hAnsi="Calibri" w:cs="Calibri"/>
          <w:b/>
          <w:bCs/>
          <w:sz w:val="22"/>
          <w:szCs w:val="22"/>
        </w:rPr>
        <w:t>Recommendations</w:t>
      </w:r>
    </w:p>
    <w:p w:rsidR="00841635" w:rsidRPr="00E8567C" w:rsidP="00955BBA">
      <w:pPr>
        <w:numPr>
          <w:ilvl w:val="0"/>
          <w:numId w:val="5"/>
        </w:numPr>
        <w:rPr>
          <w:rFonts w:ascii="Calibri" w:hAnsi="Calibri" w:cs="Calibri"/>
          <w:sz w:val="22"/>
          <w:szCs w:val="22"/>
        </w:rPr>
      </w:pPr>
      <w:r w:rsidRPr="00E8567C">
        <w:rPr>
          <w:rFonts w:ascii="Calibri" w:hAnsi="Calibri" w:cs="Calibri"/>
          <w:sz w:val="22"/>
          <w:szCs w:val="22"/>
        </w:rPr>
        <w:t>The D</w:t>
      </w:r>
      <w:r w:rsidRPr="00E8567C">
        <w:rPr>
          <w:rFonts w:ascii="Calibri" w:hAnsi="Calibri" w:cs="Calibri"/>
          <w:sz w:val="22"/>
          <w:szCs w:val="22"/>
        </w:rPr>
        <w:t>fE</w:t>
      </w:r>
      <w:r w:rsidRPr="00E8567C">
        <w:rPr>
          <w:rFonts w:ascii="Calibri" w:hAnsi="Calibri" w:cs="Calibri"/>
          <w:sz w:val="22"/>
          <w:szCs w:val="22"/>
        </w:rPr>
        <w:t xml:space="preserve"> </w:t>
      </w:r>
      <w:r w:rsidRPr="00E8567C">
        <w:rPr>
          <w:rFonts w:ascii="Calibri" w:hAnsi="Calibri" w:cs="Calibri"/>
          <w:sz w:val="22"/>
          <w:szCs w:val="22"/>
        </w:rPr>
        <w:t xml:space="preserve">should reinstate the national collection of Proficiency in </w:t>
      </w:r>
      <w:r w:rsidRPr="00E8567C">
        <w:rPr>
          <w:rFonts w:ascii="Calibri" w:hAnsi="Calibri" w:cs="Calibri"/>
          <w:sz w:val="22"/>
          <w:szCs w:val="22"/>
        </w:rPr>
        <w:t>English data</w:t>
      </w:r>
      <w:r w:rsidRPr="00E8567C">
        <w:rPr>
          <w:rFonts w:ascii="Calibri" w:hAnsi="Calibri" w:cs="Calibri"/>
          <w:sz w:val="22"/>
          <w:szCs w:val="22"/>
        </w:rPr>
        <w:t xml:space="preserve"> within the </w:t>
      </w:r>
      <w:r w:rsidRPr="00E8567C">
        <w:rPr>
          <w:rFonts w:ascii="Calibri" w:hAnsi="Calibri" w:cs="Calibri"/>
          <w:sz w:val="22"/>
          <w:szCs w:val="22"/>
        </w:rPr>
        <w:t>NPD</w:t>
      </w:r>
      <w:r w:rsidRPr="00E8567C">
        <w:rPr>
          <w:rFonts w:ascii="Calibri" w:hAnsi="Calibri" w:cs="Calibri"/>
          <w:sz w:val="22"/>
          <w:szCs w:val="22"/>
        </w:rPr>
        <w:t xml:space="preserve"> and ensure it is used to support school improvement, accountability and national monitoring of educational outcomes for </w:t>
      </w:r>
      <w:r w:rsidRPr="00E8567C">
        <w:rPr>
          <w:rFonts w:ascii="Calibri" w:hAnsi="Calibri" w:cs="Calibri"/>
          <w:sz w:val="22"/>
          <w:szCs w:val="22"/>
        </w:rPr>
        <w:t xml:space="preserve">EAL </w:t>
      </w:r>
      <w:r w:rsidRPr="00E8567C">
        <w:rPr>
          <w:rFonts w:ascii="Calibri" w:hAnsi="Calibri" w:cs="Calibri"/>
          <w:sz w:val="22"/>
          <w:szCs w:val="22"/>
        </w:rPr>
        <w:t>learners.</w:t>
      </w:r>
    </w:p>
    <w:p w:rsidR="00841635" w:rsidRPr="00E8567C" w:rsidP="00D17DEF">
      <w:pPr>
        <w:numPr>
          <w:ilvl w:val="0"/>
          <w:numId w:val="5"/>
        </w:numPr>
        <w:rPr>
          <w:rFonts w:ascii="Calibri" w:hAnsi="Calibri" w:cs="Calibri"/>
          <w:sz w:val="22"/>
          <w:szCs w:val="22"/>
        </w:rPr>
      </w:pPr>
      <w:r w:rsidRPr="00E8567C">
        <w:rPr>
          <w:rFonts w:ascii="Calibri" w:hAnsi="Calibri" w:cs="Calibri"/>
          <w:sz w:val="22"/>
          <w:szCs w:val="22"/>
        </w:rPr>
        <w:t>The DfE should e</w:t>
      </w:r>
      <w:r w:rsidRPr="00E8567C">
        <w:rPr>
          <w:rFonts w:ascii="Calibri" w:hAnsi="Calibri" w:cs="Calibri"/>
          <w:sz w:val="22"/>
          <w:szCs w:val="22"/>
        </w:rPr>
        <w:t xml:space="preserve">nsure accountability measures reflect </w:t>
      </w:r>
      <w:r w:rsidRPr="00E8567C">
        <w:rPr>
          <w:rFonts w:ascii="Calibri" w:hAnsi="Calibri" w:cs="Calibri"/>
          <w:sz w:val="22"/>
          <w:szCs w:val="22"/>
        </w:rPr>
        <w:t xml:space="preserve">EAL </w:t>
      </w:r>
      <w:r w:rsidRPr="00E8567C">
        <w:rPr>
          <w:rFonts w:ascii="Calibri" w:hAnsi="Calibri" w:cs="Calibri"/>
          <w:sz w:val="22"/>
          <w:szCs w:val="22"/>
        </w:rPr>
        <w:t>learners' educational trajectories, particularly for pupils arriving after K</w:t>
      </w:r>
      <w:r w:rsidRPr="00E8567C">
        <w:rPr>
          <w:rFonts w:ascii="Calibri" w:hAnsi="Calibri" w:cs="Calibri"/>
          <w:sz w:val="22"/>
          <w:szCs w:val="22"/>
        </w:rPr>
        <w:t>S</w:t>
      </w:r>
      <w:r w:rsidRPr="00E8567C">
        <w:rPr>
          <w:rFonts w:ascii="Calibri" w:hAnsi="Calibri" w:cs="Calibri"/>
          <w:sz w:val="22"/>
          <w:szCs w:val="22"/>
        </w:rPr>
        <w:t>2, so that schools are recognised for the progress pupils make as they develop English alongside subject knowledge.</w:t>
      </w:r>
    </w:p>
    <w:p w:rsidR="00841635" w:rsidRPr="00E8567C" w:rsidP="00B67CE4">
      <w:pPr>
        <w:numPr>
          <w:ilvl w:val="0"/>
          <w:numId w:val="5"/>
        </w:numPr>
        <w:rPr>
          <w:rFonts w:ascii="Calibri" w:hAnsi="Calibri" w:cs="Calibri"/>
          <w:sz w:val="22"/>
          <w:szCs w:val="22"/>
        </w:rPr>
      </w:pPr>
      <w:r w:rsidRPr="00E8567C">
        <w:rPr>
          <w:rFonts w:ascii="Calibri" w:hAnsi="Calibri" w:cs="Calibri"/>
          <w:sz w:val="22"/>
          <w:szCs w:val="22"/>
        </w:rPr>
        <w:t>The DfE</w:t>
      </w:r>
      <w:r w:rsidRPr="00E8567C">
        <w:rPr>
          <w:rFonts w:ascii="Calibri" w:hAnsi="Calibri" w:cs="Calibri"/>
          <w:sz w:val="22"/>
          <w:szCs w:val="22"/>
        </w:rPr>
        <w:t xml:space="preserve"> should ensure that RISE teams and wider school improvement services include specialists with expertise in English language development and evidence-informed EAL pedagogy. Expectations for supporting pupils who use EAL should be explicitly reflected in national school improvement guidance, leadership development programmes, and professional learning.</w:t>
      </w:r>
      <w:r w:rsidRPr="00E8567C">
        <w:rPr>
          <w:rFonts w:ascii="Calibri" w:hAnsi="Calibri" w:cs="Calibri"/>
          <w:sz w:val="22"/>
          <w:szCs w:val="22"/>
        </w:rPr>
        <w:t xml:space="preserve"> </w:t>
      </w:r>
    </w:p>
    <w:p w:rsidR="00841635" w:rsidRPr="00E8567C" w:rsidP="00B67CE4">
      <w:pPr>
        <w:numPr>
          <w:ilvl w:val="0"/>
          <w:numId w:val="5"/>
        </w:numPr>
        <w:rPr>
          <w:rFonts w:ascii="Calibri" w:hAnsi="Calibri" w:cs="Calibri"/>
          <w:sz w:val="22"/>
          <w:szCs w:val="22"/>
        </w:rPr>
      </w:pPr>
      <w:r w:rsidRPr="00E8567C">
        <w:rPr>
          <w:rFonts w:ascii="Calibri" w:hAnsi="Calibri" w:cs="Calibri"/>
          <w:sz w:val="22"/>
          <w:szCs w:val="22"/>
        </w:rPr>
        <w:t xml:space="preserve">Ofsted should strengthen guidance and professional development for inspectors to ensure the EAL section of the inspection toolkit is implemented consistently and that inspections </w:t>
      </w:r>
      <w:r w:rsidRPr="00E8567C">
        <w:rPr>
          <w:rFonts w:ascii="Calibri" w:hAnsi="Calibri" w:cs="Calibri"/>
          <w:sz w:val="22"/>
          <w:szCs w:val="22"/>
        </w:rPr>
        <w:t>evaluate how schools assess and support English language development as part of the quality of education.</w:t>
      </w:r>
    </w:p>
    <w:p w:rsidR="00841635" w:rsidRPr="00E8567C" w:rsidP="003611AF">
      <w:pPr>
        <w:numPr>
          <w:ilvl w:val="0"/>
          <w:numId w:val="5"/>
        </w:numPr>
        <w:rPr>
          <w:rFonts w:ascii="Calibri" w:hAnsi="Calibri" w:cs="Calibri"/>
          <w:sz w:val="22"/>
          <w:szCs w:val="22"/>
        </w:rPr>
      </w:pPr>
      <w:r w:rsidRPr="00E8567C">
        <w:rPr>
          <w:rFonts w:ascii="Calibri" w:hAnsi="Calibri" w:cs="Calibri"/>
          <w:sz w:val="22"/>
          <w:szCs w:val="22"/>
        </w:rPr>
        <w:t xml:space="preserve">The DfE should </w:t>
      </w:r>
      <w:r w:rsidRPr="00E8567C">
        <w:rPr>
          <w:rFonts w:ascii="Calibri" w:hAnsi="Calibri" w:cs="Calibri"/>
          <w:sz w:val="22"/>
          <w:szCs w:val="22"/>
        </w:rPr>
        <w:t>e</w:t>
      </w:r>
      <w:r w:rsidRPr="00E8567C">
        <w:rPr>
          <w:rFonts w:ascii="Calibri" w:hAnsi="Calibri" w:cs="Calibri"/>
          <w:sz w:val="22"/>
          <w:szCs w:val="22"/>
        </w:rPr>
        <w:t>nsure</w:t>
      </w:r>
      <w:r w:rsidRPr="00E8567C">
        <w:rPr>
          <w:rFonts w:ascii="Calibri" w:hAnsi="Calibri" w:cs="Calibri"/>
          <w:sz w:val="22"/>
          <w:szCs w:val="22"/>
        </w:rPr>
        <w:t xml:space="preserve"> essential skills, careers education and progression strategies explicitly recognise academic English proficiency as a key enabler of successful transitions to further education, apprenticeships and employment, particularly for </w:t>
      </w:r>
      <w:r w:rsidRPr="00E8567C">
        <w:rPr>
          <w:rFonts w:ascii="Calibri" w:hAnsi="Calibri" w:cs="Calibri"/>
          <w:sz w:val="22"/>
          <w:szCs w:val="22"/>
        </w:rPr>
        <w:t xml:space="preserve">EAL </w:t>
      </w:r>
      <w:r w:rsidRPr="00E8567C">
        <w:rPr>
          <w:rFonts w:ascii="Calibri" w:hAnsi="Calibri" w:cs="Calibri"/>
          <w:sz w:val="22"/>
          <w:szCs w:val="22"/>
        </w:rPr>
        <w:t>learners arriving later in the English education system.</w:t>
      </w:r>
    </w:p>
    <w:p w:rsidR="00841635" w:rsidRPr="00E8567C" w:rsidP="00B67CE4">
      <w:pPr>
        <w:ind w:left="720"/>
        <w:rPr>
          <w:rFonts w:ascii="Calibri" w:hAnsi="Calibri" w:cs="Calibri"/>
          <w:sz w:val="22"/>
          <w:szCs w:val="22"/>
        </w:rPr>
      </w:pPr>
    </w:p>
    <w:p w:rsidR="00841635" w:rsidRPr="00E8567C" w:rsidP="00B67CE4">
      <w:pPr>
        <w:ind w:left="720"/>
        <w:rPr>
          <w:rFonts w:ascii="Calibri" w:hAnsi="Calibri" w:cs="Calibri"/>
          <w:sz w:val="22"/>
          <w:szCs w:val="22"/>
        </w:rPr>
      </w:pPr>
    </w:p>
    <w:p w:rsidR="00841635" w:rsidRPr="00E8567C" w:rsidP="00955BBA">
      <w:pPr>
        <w:rPr>
          <w:rFonts w:ascii="Calibri" w:hAnsi="Calibri" w:cs="Calibri"/>
          <w:b/>
          <w:bCs/>
          <w:sz w:val="22"/>
          <w:szCs w:val="22"/>
        </w:rPr>
      </w:pPr>
      <w:r w:rsidRPr="00E8567C">
        <w:rPr>
          <w:rFonts w:ascii="Calibri" w:hAnsi="Calibri" w:cs="Calibri"/>
          <w:b/>
          <w:bCs/>
          <w:sz w:val="22"/>
          <w:szCs w:val="22"/>
        </w:rPr>
        <w:t>Improving attendance</w:t>
      </w:r>
    </w:p>
    <w:p w:rsidR="00841635" w:rsidRPr="00E8567C" w:rsidP="006F43C0">
      <w:pPr>
        <w:rPr>
          <w:rFonts w:ascii="Calibri" w:hAnsi="Calibri" w:cs="Calibri"/>
          <w:sz w:val="22"/>
          <w:szCs w:val="22"/>
        </w:rPr>
      </w:pPr>
      <w:r w:rsidRPr="00E8567C">
        <w:rPr>
          <w:rFonts w:ascii="Calibri" w:hAnsi="Calibri" w:cs="Calibri"/>
          <w:sz w:val="22"/>
          <w:szCs w:val="22"/>
        </w:rPr>
        <w:t xml:space="preserve">Regular attendance is fundamental to educational achievement, wellbeing and inclusion. However, the White Paper gives limited attention to the role of language and communication in enabling attendance. For </w:t>
      </w:r>
      <w:r w:rsidRPr="00E8567C">
        <w:rPr>
          <w:rFonts w:ascii="Calibri" w:hAnsi="Calibri" w:cs="Calibri"/>
          <w:sz w:val="22"/>
          <w:szCs w:val="22"/>
        </w:rPr>
        <w:t>EAL</w:t>
      </w:r>
      <w:r w:rsidRPr="00E8567C">
        <w:rPr>
          <w:rFonts w:ascii="Calibri" w:hAnsi="Calibri" w:cs="Calibri"/>
          <w:sz w:val="22"/>
          <w:szCs w:val="22"/>
        </w:rPr>
        <w:t xml:space="preserve"> learners, particularly those </w:t>
      </w:r>
      <w:r w:rsidRPr="00E8567C">
        <w:rPr>
          <w:rFonts w:ascii="Calibri" w:hAnsi="Calibri" w:cs="Calibri"/>
          <w:sz w:val="22"/>
          <w:szCs w:val="22"/>
        </w:rPr>
        <w:t>newly arrived</w:t>
      </w:r>
      <w:r w:rsidRPr="00E8567C">
        <w:rPr>
          <w:rFonts w:ascii="Calibri" w:hAnsi="Calibri" w:cs="Calibri"/>
          <w:sz w:val="22"/>
          <w:szCs w:val="22"/>
        </w:rPr>
        <w:t xml:space="preserve"> or from refugee backgrounds, attendance is often shaped less by parental choice than by the accessibility of the education system.</w:t>
      </w:r>
      <w:r>
        <w:rPr>
          <w:rStyle w:val="FootnoteReference"/>
          <w:rFonts w:ascii="Calibri" w:hAnsi="Calibri" w:cs="Calibri"/>
          <w:sz w:val="22"/>
          <w:szCs w:val="22"/>
        </w:rPr>
        <w:footnoteReference w:id="6"/>
      </w:r>
      <w:r w:rsidRPr="00E8567C">
        <w:rPr>
          <w:rFonts w:ascii="Calibri" w:hAnsi="Calibri" w:cs="Calibri"/>
          <w:sz w:val="22"/>
          <w:szCs w:val="22"/>
        </w:rPr>
        <w:t xml:space="preserve"> </w:t>
      </w:r>
    </w:p>
    <w:p w:rsidR="00841635" w:rsidRPr="00E8567C" w:rsidP="00955BBA">
      <w:pPr>
        <w:rPr>
          <w:rFonts w:ascii="Calibri" w:hAnsi="Calibri" w:cs="Calibri"/>
          <w:sz w:val="22"/>
          <w:szCs w:val="22"/>
        </w:rPr>
      </w:pPr>
      <w:r w:rsidRPr="00E8567C">
        <w:rPr>
          <w:rFonts w:ascii="Calibri" w:hAnsi="Calibri" w:cs="Calibri"/>
          <w:sz w:val="22"/>
          <w:szCs w:val="22"/>
        </w:rPr>
        <w:t xml:space="preserve">Attendance patterns vary within the EAL population. While overall attendance rates are broadly comparable with </w:t>
      </w:r>
      <w:r w:rsidRPr="00E8567C">
        <w:rPr>
          <w:rFonts w:ascii="Calibri" w:hAnsi="Calibri" w:cs="Calibri"/>
          <w:sz w:val="22"/>
          <w:szCs w:val="22"/>
        </w:rPr>
        <w:t>first language-</w:t>
      </w:r>
      <w:r w:rsidRPr="00E8567C">
        <w:rPr>
          <w:rFonts w:ascii="Calibri" w:hAnsi="Calibri" w:cs="Calibri"/>
          <w:sz w:val="22"/>
          <w:szCs w:val="22"/>
        </w:rPr>
        <w:t xml:space="preserve">English pupils, newly arrived learners and some refugee-background pupils face </w:t>
      </w:r>
      <w:r w:rsidRPr="00E8567C">
        <w:rPr>
          <w:rFonts w:ascii="Calibri" w:hAnsi="Calibri" w:cs="Calibri"/>
          <w:sz w:val="22"/>
          <w:szCs w:val="22"/>
        </w:rPr>
        <w:t>particular risks</w:t>
      </w:r>
      <w:r w:rsidRPr="00E8567C">
        <w:rPr>
          <w:rFonts w:ascii="Calibri" w:hAnsi="Calibri" w:cs="Calibri"/>
          <w:sz w:val="22"/>
          <w:szCs w:val="22"/>
        </w:rPr>
        <w:t xml:space="preserve"> of absence due to delayed school access, interrupted education, unfamiliarity with the education system and limited induction support. These structural barriers can delay participation long before attendance becomes a behavioural concern.</w:t>
      </w:r>
      <w:r>
        <w:rPr>
          <w:rStyle w:val="FootnoteReference"/>
          <w:rFonts w:ascii="Calibri" w:hAnsi="Calibri" w:cs="Calibri"/>
          <w:sz w:val="22"/>
          <w:szCs w:val="22"/>
        </w:rPr>
        <w:footnoteReference w:id="7"/>
      </w:r>
    </w:p>
    <w:p w:rsidR="00841635" w:rsidRPr="00E8567C" w:rsidP="00955BBA">
      <w:pPr>
        <w:rPr>
          <w:rFonts w:ascii="Calibri" w:hAnsi="Calibri" w:cs="Calibri"/>
          <w:sz w:val="22"/>
          <w:szCs w:val="22"/>
        </w:rPr>
      </w:pPr>
      <w:r w:rsidRPr="00E8567C">
        <w:rPr>
          <w:rFonts w:ascii="Calibri" w:hAnsi="Calibri" w:cs="Calibri"/>
          <w:sz w:val="22"/>
          <w:szCs w:val="22"/>
        </w:rPr>
        <w:t xml:space="preserve">Communication with families is central to improving attendance. </w:t>
      </w:r>
      <w:r w:rsidRPr="00E8567C">
        <w:rPr>
          <w:rFonts w:ascii="Calibri" w:hAnsi="Calibri" w:cs="Calibri"/>
          <w:sz w:val="22"/>
          <w:szCs w:val="22"/>
        </w:rPr>
        <w:t>Families</w:t>
      </w:r>
      <w:r w:rsidRPr="00E8567C">
        <w:rPr>
          <w:rFonts w:ascii="Calibri" w:hAnsi="Calibri" w:cs="Calibri"/>
          <w:sz w:val="22"/>
          <w:szCs w:val="22"/>
        </w:rPr>
        <w:t xml:space="preserve"> unfamiliar with the English education system or </w:t>
      </w:r>
      <w:r w:rsidRPr="00E8567C">
        <w:rPr>
          <w:rFonts w:ascii="Calibri" w:hAnsi="Calibri" w:cs="Calibri"/>
          <w:sz w:val="22"/>
          <w:szCs w:val="22"/>
        </w:rPr>
        <w:t xml:space="preserve">who </w:t>
      </w:r>
      <w:r w:rsidRPr="00E8567C">
        <w:rPr>
          <w:rFonts w:ascii="Calibri" w:hAnsi="Calibri" w:cs="Calibri"/>
          <w:sz w:val="22"/>
          <w:szCs w:val="22"/>
        </w:rPr>
        <w:t>have limited English proficiency may struggle to understand attendance expectations</w:t>
      </w:r>
      <w:r w:rsidRPr="00E8567C">
        <w:rPr>
          <w:rFonts w:ascii="Calibri" w:hAnsi="Calibri" w:cs="Calibri"/>
          <w:sz w:val="22"/>
          <w:szCs w:val="22"/>
        </w:rPr>
        <w:t xml:space="preserve">. </w:t>
      </w:r>
      <w:r w:rsidRPr="00E8567C">
        <w:rPr>
          <w:rFonts w:ascii="Calibri" w:hAnsi="Calibri" w:cs="Calibri"/>
          <w:sz w:val="22"/>
          <w:szCs w:val="22"/>
        </w:rPr>
        <w:t>Accessible communication, translated information and interpretation support are more effective than approaches based primarily on sanctions</w:t>
      </w:r>
      <w:r w:rsidRPr="00E8567C">
        <w:rPr>
          <w:rFonts w:ascii="Calibri" w:hAnsi="Calibri" w:cs="Calibri"/>
          <w:sz w:val="22"/>
          <w:szCs w:val="22"/>
        </w:rPr>
        <w:t>.</w:t>
      </w:r>
      <w:r>
        <w:rPr>
          <w:rStyle w:val="FootnoteReference"/>
          <w:rFonts w:ascii="Calibri" w:hAnsi="Calibri" w:cs="Calibri"/>
          <w:sz w:val="22"/>
          <w:szCs w:val="22"/>
        </w:rPr>
        <w:footnoteReference w:id="8"/>
      </w:r>
      <w:r w:rsidRPr="00E8567C">
        <w:rPr>
          <w:rFonts w:ascii="Calibri" w:hAnsi="Calibri" w:cs="Calibri"/>
          <w:sz w:val="22"/>
          <w:szCs w:val="22"/>
        </w:rPr>
        <w:t xml:space="preserve"> </w:t>
      </w:r>
    </w:p>
    <w:p w:rsidR="00841635" w:rsidRPr="00E8567C" w:rsidP="00955BBA">
      <w:pPr>
        <w:rPr>
          <w:rFonts w:ascii="Calibri" w:hAnsi="Calibri" w:cs="Calibri"/>
          <w:sz w:val="22"/>
          <w:szCs w:val="22"/>
        </w:rPr>
      </w:pPr>
      <w:r w:rsidRPr="00E8567C">
        <w:rPr>
          <w:rFonts w:ascii="Calibri" w:hAnsi="Calibri" w:cs="Calibri"/>
          <w:sz w:val="22"/>
          <w:szCs w:val="22"/>
        </w:rPr>
        <w:t xml:space="preserve">Attendance hubs, reintegration programmes and wider school improvement initiatives also provide an opportunity to strengthen inclusive practice. Their effectiveness will depend on recognising </w:t>
      </w:r>
      <w:r w:rsidRPr="00E8567C">
        <w:rPr>
          <w:rFonts w:ascii="Calibri" w:hAnsi="Calibri" w:cs="Calibri"/>
          <w:sz w:val="22"/>
          <w:szCs w:val="22"/>
        </w:rPr>
        <w:t>EAL learners</w:t>
      </w:r>
      <w:r w:rsidRPr="00E8567C">
        <w:rPr>
          <w:rFonts w:ascii="Calibri" w:hAnsi="Calibri" w:cs="Calibri"/>
          <w:sz w:val="22"/>
          <w:szCs w:val="22"/>
        </w:rPr>
        <w:t xml:space="preserve"> within national guidance and sharing approaches that promote participation through accessible communication, effective induction and specialist language support. </w:t>
      </w:r>
    </w:p>
    <w:p w:rsidR="00841635" w:rsidRPr="00E8567C" w:rsidP="00955BBA">
      <w:pPr>
        <w:rPr>
          <w:rFonts w:ascii="Calibri" w:hAnsi="Calibri" w:cs="Calibri"/>
          <w:b/>
          <w:bCs/>
          <w:sz w:val="22"/>
          <w:szCs w:val="22"/>
        </w:rPr>
      </w:pPr>
    </w:p>
    <w:p w:rsidR="00841635" w:rsidRPr="00E8567C" w:rsidP="00955BBA">
      <w:pPr>
        <w:rPr>
          <w:rFonts w:ascii="Calibri" w:hAnsi="Calibri" w:cs="Calibri"/>
          <w:b/>
          <w:bCs/>
          <w:sz w:val="22"/>
          <w:szCs w:val="22"/>
        </w:rPr>
      </w:pPr>
      <w:r w:rsidRPr="00E8567C">
        <w:rPr>
          <w:rFonts w:ascii="Calibri" w:hAnsi="Calibri" w:cs="Calibri"/>
          <w:b/>
          <w:bCs/>
          <w:sz w:val="22"/>
          <w:szCs w:val="22"/>
        </w:rPr>
        <w:t>Recommendations</w:t>
      </w:r>
    </w:p>
    <w:p w:rsidR="00841635" w:rsidRPr="00E8567C" w:rsidP="00D20964">
      <w:pPr>
        <w:pStyle w:val="ListParagraph"/>
        <w:numPr>
          <w:ilvl w:val="0"/>
          <w:numId w:val="13"/>
        </w:numPr>
        <w:rPr>
          <w:rFonts w:ascii="Calibri" w:hAnsi="Calibri" w:cs="Calibri"/>
          <w:sz w:val="22"/>
          <w:szCs w:val="22"/>
        </w:rPr>
      </w:pPr>
      <w:r w:rsidRPr="00E8567C">
        <w:rPr>
          <w:rFonts w:ascii="Calibri" w:hAnsi="Calibri" w:cs="Calibri"/>
          <w:sz w:val="22"/>
          <w:szCs w:val="22"/>
        </w:rPr>
        <w:t xml:space="preserve">The DfE should revise national attendance guidance to explicitly address the language, communication and induction barriers affecting </w:t>
      </w:r>
      <w:r w:rsidRPr="00E8567C">
        <w:rPr>
          <w:rFonts w:ascii="Calibri" w:hAnsi="Calibri" w:cs="Calibri"/>
          <w:sz w:val="22"/>
          <w:szCs w:val="22"/>
        </w:rPr>
        <w:t xml:space="preserve">EAL </w:t>
      </w:r>
      <w:r w:rsidRPr="00E8567C">
        <w:rPr>
          <w:rFonts w:ascii="Calibri" w:hAnsi="Calibri" w:cs="Calibri"/>
          <w:sz w:val="22"/>
          <w:szCs w:val="22"/>
        </w:rPr>
        <w:t>learners, particularly those newly arrived and from refugee backgrounds.</w:t>
      </w:r>
    </w:p>
    <w:p w:rsidR="00841635" w:rsidRPr="00E8567C" w:rsidP="00D20964">
      <w:pPr>
        <w:pStyle w:val="ListParagraph"/>
        <w:numPr>
          <w:ilvl w:val="0"/>
          <w:numId w:val="13"/>
        </w:numPr>
        <w:rPr>
          <w:rFonts w:ascii="Calibri" w:hAnsi="Calibri" w:cs="Calibri"/>
          <w:sz w:val="22"/>
          <w:szCs w:val="22"/>
        </w:rPr>
      </w:pPr>
      <w:r w:rsidRPr="00E8567C">
        <w:rPr>
          <w:rFonts w:ascii="Calibri" w:hAnsi="Calibri" w:cs="Calibri"/>
          <w:sz w:val="22"/>
          <w:szCs w:val="22"/>
        </w:rPr>
        <w:t xml:space="preserve">The DfE </w:t>
      </w:r>
      <w:r w:rsidRPr="00E8567C">
        <w:rPr>
          <w:rFonts w:ascii="Calibri" w:hAnsi="Calibri" w:cs="Calibri"/>
          <w:sz w:val="22"/>
          <w:szCs w:val="22"/>
        </w:rPr>
        <w:t>should</w:t>
      </w:r>
      <w:r w:rsidRPr="00E8567C">
        <w:rPr>
          <w:rFonts w:ascii="Calibri" w:hAnsi="Calibri" w:cs="Calibri"/>
          <w:sz w:val="22"/>
          <w:szCs w:val="22"/>
        </w:rPr>
        <w:t xml:space="preserve"> strengthen expectations for accessible communication with families by promoting the use of clear, accessible English, translated information, interpretation </w:t>
      </w:r>
      <w:r w:rsidRPr="00E8567C">
        <w:rPr>
          <w:rFonts w:ascii="Calibri" w:hAnsi="Calibri" w:cs="Calibri"/>
          <w:sz w:val="22"/>
          <w:szCs w:val="22"/>
        </w:rPr>
        <w:t>services, and bilingual support where nee</w:t>
      </w:r>
      <w:r w:rsidRPr="00E8567C">
        <w:rPr>
          <w:rFonts w:ascii="Calibri" w:hAnsi="Calibri" w:cs="Calibri"/>
          <w:sz w:val="22"/>
          <w:szCs w:val="22"/>
        </w:rPr>
        <w:t>ded</w:t>
      </w:r>
      <w:r w:rsidRPr="00E8567C">
        <w:rPr>
          <w:rFonts w:ascii="Calibri" w:hAnsi="Calibri" w:cs="Calibri"/>
          <w:sz w:val="22"/>
          <w:szCs w:val="22"/>
        </w:rPr>
        <w:t xml:space="preserve">, recognising meaningful family engagement as a core component of effective attendance </w:t>
      </w:r>
      <w:r w:rsidRPr="00E8567C">
        <w:rPr>
          <w:rFonts w:ascii="Calibri" w:hAnsi="Calibri" w:cs="Calibri"/>
          <w:sz w:val="22"/>
          <w:szCs w:val="22"/>
        </w:rPr>
        <w:t>practice.</w:t>
      </w:r>
    </w:p>
    <w:p w:rsidR="00841635" w:rsidRPr="00E8567C" w:rsidP="00955BBA">
      <w:pPr>
        <w:rPr>
          <w:rFonts w:ascii="Calibri" w:hAnsi="Calibri" w:cs="Calibri"/>
          <w:b/>
          <w:bCs/>
          <w:sz w:val="22"/>
          <w:szCs w:val="22"/>
        </w:rPr>
      </w:pPr>
    </w:p>
    <w:p w:rsidR="00841635" w:rsidRPr="00E8567C" w:rsidP="00955BBA">
      <w:pPr>
        <w:rPr>
          <w:rFonts w:ascii="Calibri" w:hAnsi="Calibri" w:cs="Calibri"/>
          <w:b/>
          <w:bCs/>
          <w:sz w:val="22"/>
          <w:szCs w:val="22"/>
        </w:rPr>
      </w:pPr>
      <w:r w:rsidRPr="00E8567C">
        <w:rPr>
          <w:rFonts w:ascii="Calibri" w:hAnsi="Calibri" w:cs="Calibri"/>
          <w:b/>
          <w:bCs/>
          <w:sz w:val="22"/>
          <w:szCs w:val="22"/>
        </w:rPr>
        <w:t>Enrichment, belonging and behaviour</w:t>
      </w:r>
    </w:p>
    <w:p w:rsidR="00841635" w:rsidRPr="00E8567C" w:rsidP="0020398F">
      <w:pPr>
        <w:rPr>
          <w:rFonts w:ascii="Calibri" w:hAnsi="Calibri" w:cs="Calibri"/>
          <w:sz w:val="22"/>
          <w:szCs w:val="22"/>
        </w:rPr>
      </w:pPr>
      <w:r w:rsidRPr="00E8567C">
        <w:rPr>
          <w:rFonts w:ascii="Calibri" w:hAnsi="Calibri" w:cs="Calibri"/>
          <w:sz w:val="22"/>
          <w:szCs w:val="22"/>
        </w:rPr>
        <w:t xml:space="preserve">The Government's emphasis on enrichment, belonging and behaviour is welcome. However, the White Paper gives relatively little attention to the role of language in enabling participation. </w:t>
      </w:r>
      <w:r w:rsidRPr="00E8567C">
        <w:rPr>
          <w:rFonts w:ascii="Calibri" w:hAnsi="Calibri" w:cs="Calibri"/>
          <w:sz w:val="22"/>
          <w:szCs w:val="22"/>
        </w:rPr>
        <w:t>For multilingual learners, developing English while maintaining their home languages is the foundation for participating fully in school life and wider society.</w:t>
      </w:r>
      <w:r>
        <w:rPr>
          <w:rStyle w:val="FootnoteReference"/>
          <w:rFonts w:ascii="Calibri" w:hAnsi="Calibri" w:cs="Calibri"/>
          <w:sz w:val="22"/>
          <w:szCs w:val="22"/>
        </w:rPr>
        <w:footnoteReference w:id="9"/>
      </w:r>
      <w:r w:rsidRPr="00E8567C">
        <w:rPr>
          <w:rFonts w:ascii="Calibri" w:hAnsi="Calibri" w:cs="Calibri"/>
          <w:sz w:val="22"/>
          <w:szCs w:val="22"/>
        </w:rPr>
        <w:t xml:space="preserve"> </w:t>
      </w:r>
      <w:r w:rsidRPr="00E8567C">
        <w:rPr>
          <w:rFonts w:ascii="Calibri" w:hAnsi="Calibri" w:cs="Calibri"/>
          <w:sz w:val="22"/>
          <w:szCs w:val="22"/>
        </w:rPr>
        <w:t>Recognising multilingualism as an asset is essential to achieving ambitions for inclusion and participation.</w:t>
      </w:r>
    </w:p>
    <w:p w:rsidR="00841635" w:rsidRPr="00E8567C" w:rsidP="0020398F">
      <w:pPr>
        <w:rPr>
          <w:rFonts w:ascii="Calibri" w:hAnsi="Calibri" w:cs="Calibri"/>
          <w:sz w:val="22"/>
          <w:szCs w:val="22"/>
        </w:rPr>
      </w:pPr>
      <w:r w:rsidRPr="00E8567C">
        <w:rPr>
          <w:rFonts w:ascii="Calibri" w:hAnsi="Calibri" w:cs="Calibri"/>
          <w:sz w:val="22"/>
          <w:szCs w:val="22"/>
        </w:rPr>
        <w:t>Participation</w:t>
      </w:r>
      <w:r w:rsidRPr="00E8567C">
        <w:rPr>
          <w:rFonts w:ascii="Calibri" w:hAnsi="Calibri" w:cs="Calibri"/>
          <w:sz w:val="22"/>
          <w:szCs w:val="22"/>
        </w:rPr>
        <w:t xml:space="preserve"> in school </w:t>
      </w:r>
      <w:r w:rsidRPr="00E8567C">
        <w:rPr>
          <w:rFonts w:ascii="Calibri" w:hAnsi="Calibri" w:cs="Calibri"/>
          <w:sz w:val="22"/>
          <w:szCs w:val="22"/>
        </w:rPr>
        <w:t xml:space="preserve">and classroom </w:t>
      </w:r>
      <w:r w:rsidRPr="00E8567C">
        <w:rPr>
          <w:rFonts w:ascii="Calibri" w:hAnsi="Calibri" w:cs="Calibri"/>
          <w:sz w:val="22"/>
          <w:szCs w:val="22"/>
        </w:rPr>
        <w:t>life</w:t>
      </w:r>
      <w:r w:rsidRPr="00E8567C">
        <w:rPr>
          <w:rFonts w:ascii="Calibri" w:hAnsi="Calibri" w:cs="Calibri"/>
          <w:sz w:val="22"/>
          <w:szCs w:val="22"/>
        </w:rPr>
        <w:t xml:space="preserve"> is a key mechanism through which children develop a sense of belonging. For</w:t>
      </w:r>
      <w:r w:rsidRPr="00E8567C">
        <w:rPr>
          <w:rFonts w:ascii="Calibri" w:hAnsi="Calibri" w:cs="Calibri"/>
          <w:sz w:val="22"/>
          <w:szCs w:val="22"/>
        </w:rPr>
        <w:t xml:space="preserve"> multilingual</w:t>
      </w:r>
      <w:r w:rsidRPr="00E8567C">
        <w:rPr>
          <w:rFonts w:ascii="Calibri" w:hAnsi="Calibri" w:cs="Calibri"/>
          <w:sz w:val="22"/>
          <w:szCs w:val="22"/>
        </w:rPr>
        <w:t xml:space="preserve"> learners, these opportunities depend on environments that enable them to communicate, collaborate and express their identities. </w:t>
      </w:r>
      <w:r w:rsidRPr="00E8567C">
        <w:rPr>
          <w:rFonts w:ascii="Calibri" w:hAnsi="Calibri" w:cs="Calibri"/>
          <w:sz w:val="22"/>
          <w:szCs w:val="22"/>
        </w:rPr>
        <w:t>Interaction, dialogue and recognition of pupils’ linguistic and cultural experiences support language development, engagement and wellbeing.</w:t>
      </w:r>
      <w:r>
        <w:rPr>
          <w:rStyle w:val="FootnoteReference"/>
          <w:rFonts w:ascii="Calibri" w:hAnsi="Calibri" w:cs="Calibri"/>
          <w:sz w:val="22"/>
          <w:szCs w:val="22"/>
        </w:rPr>
        <w:footnoteReference w:id="10"/>
      </w:r>
      <w:r w:rsidRPr="00E8567C">
        <w:rPr>
          <w:rFonts w:ascii="Calibri" w:hAnsi="Calibri" w:cs="Calibri"/>
          <w:sz w:val="22"/>
          <w:szCs w:val="22"/>
        </w:rPr>
        <w:t xml:space="preserve"> Schools that value and make purposeful use of pupils' home languages alongside English </w:t>
      </w:r>
      <w:r w:rsidRPr="00E8567C">
        <w:rPr>
          <w:rFonts w:ascii="Calibri" w:hAnsi="Calibri" w:cs="Calibri"/>
          <w:sz w:val="22"/>
          <w:szCs w:val="22"/>
        </w:rPr>
        <w:t>strengthens</w:t>
      </w:r>
      <w:r w:rsidRPr="00E8567C">
        <w:rPr>
          <w:rFonts w:ascii="Calibri" w:hAnsi="Calibri" w:cs="Calibri"/>
          <w:sz w:val="22"/>
          <w:szCs w:val="22"/>
        </w:rPr>
        <w:t xml:space="preserve"> participation and partnerships with families</w:t>
      </w:r>
      <w:r w:rsidRPr="00E8567C">
        <w:rPr>
          <w:rFonts w:ascii="Calibri" w:hAnsi="Calibri" w:cs="Calibri"/>
          <w:sz w:val="22"/>
          <w:szCs w:val="22"/>
        </w:rPr>
        <w:t xml:space="preserve">. </w:t>
      </w:r>
    </w:p>
    <w:p w:rsidR="00841635" w:rsidRPr="00E8567C" w:rsidP="0020398F">
      <w:pPr>
        <w:rPr>
          <w:rFonts w:ascii="Calibri" w:hAnsi="Calibri" w:cs="Calibri"/>
          <w:sz w:val="22"/>
          <w:szCs w:val="22"/>
        </w:rPr>
      </w:pPr>
      <w:r w:rsidRPr="00E8567C">
        <w:rPr>
          <w:rFonts w:ascii="Calibri" w:hAnsi="Calibri" w:cs="Calibri"/>
          <w:sz w:val="22"/>
          <w:szCs w:val="22"/>
        </w:rPr>
        <w:t xml:space="preserve">Enrichment provides important opportunities for </w:t>
      </w:r>
      <w:r w:rsidRPr="00E8567C">
        <w:rPr>
          <w:rFonts w:ascii="Calibri" w:hAnsi="Calibri" w:cs="Calibri"/>
          <w:sz w:val="22"/>
          <w:szCs w:val="22"/>
        </w:rPr>
        <w:t xml:space="preserve">EAL </w:t>
      </w:r>
      <w:r w:rsidRPr="00E8567C">
        <w:rPr>
          <w:rFonts w:ascii="Calibri" w:hAnsi="Calibri" w:cs="Calibri"/>
          <w:sz w:val="22"/>
          <w:szCs w:val="22"/>
        </w:rPr>
        <w:t>learners to demonstrate their strengths, build relationships and contribute to school communities before they have fully developed English</w:t>
      </w:r>
      <w:r w:rsidRPr="00E8567C">
        <w:rPr>
          <w:rFonts w:ascii="Calibri" w:hAnsi="Calibri" w:cs="Calibri"/>
          <w:sz w:val="22"/>
          <w:szCs w:val="22"/>
        </w:rPr>
        <w:t xml:space="preserve">. </w:t>
      </w:r>
      <w:r w:rsidRPr="00E8567C">
        <w:rPr>
          <w:rFonts w:ascii="Calibri" w:hAnsi="Calibri" w:cs="Calibri"/>
          <w:sz w:val="22"/>
          <w:szCs w:val="22"/>
        </w:rPr>
        <w:t>E</w:t>
      </w:r>
      <w:r w:rsidRPr="00E8567C">
        <w:rPr>
          <w:rFonts w:ascii="Calibri" w:hAnsi="Calibri" w:cs="Calibri"/>
          <w:sz w:val="22"/>
          <w:szCs w:val="22"/>
        </w:rPr>
        <w:t>quitable access to enrichment should</w:t>
      </w:r>
      <w:r w:rsidRPr="00E8567C">
        <w:rPr>
          <w:rFonts w:ascii="Calibri" w:hAnsi="Calibri" w:cs="Calibri"/>
          <w:sz w:val="22"/>
          <w:szCs w:val="22"/>
        </w:rPr>
        <w:t xml:space="preserve"> therefore</w:t>
      </w:r>
      <w:r w:rsidRPr="00E8567C">
        <w:rPr>
          <w:rFonts w:ascii="Calibri" w:hAnsi="Calibri" w:cs="Calibri"/>
          <w:sz w:val="22"/>
          <w:szCs w:val="22"/>
        </w:rPr>
        <w:t xml:space="preserve"> be recognised as a core element of inclusive practice.</w:t>
      </w:r>
    </w:p>
    <w:p w:rsidR="00841635" w:rsidRPr="00E8567C" w:rsidP="0020398F">
      <w:pPr>
        <w:rPr>
          <w:rFonts w:ascii="Calibri" w:hAnsi="Calibri" w:cs="Calibri"/>
          <w:sz w:val="22"/>
          <w:szCs w:val="22"/>
        </w:rPr>
      </w:pPr>
      <w:r w:rsidRPr="00E8567C">
        <w:rPr>
          <w:rFonts w:ascii="Calibri" w:hAnsi="Calibri" w:cs="Calibri"/>
          <w:sz w:val="22"/>
          <w:szCs w:val="22"/>
        </w:rPr>
        <w:t>Schools</w:t>
      </w:r>
      <w:r w:rsidRPr="00E8567C">
        <w:rPr>
          <w:rFonts w:ascii="Calibri" w:hAnsi="Calibri" w:cs="Calibri"/>
          <w:sz w:val="22"/>
          <w:szCs w:val="22"/>
        </w:rPr>
        <w:t xml:space="preserve"> increasingly report growing anti-migrant sentiment, rising incidents of racism and hostility towards children and families because they are new to the country or speak with an accent, and significant concerns about misinformation circulating through local social media and community forums. </w:t>
      </w:r>
      <w:r w:rsidRPr="00E8567C">
        <w:rPr>
          <w:rFonts w:ascii="Calibri" w:hAnsi="Calibri" w:cs="Calibri"/>
          <w:sz w:val="22"/>
          <w:szCs w:val="22"/>
        </w:rPr>
        <w:t xml:space="preserve">These pressures create </w:t>
      </w:r>
      <w:r w:rsidRPr="00E8567C">
        <w:rPr>
          <w:rFonts w:ascii="Calibri" w:hAnsi="Calibri" w:cs="Calibri"/>
          <w:sz w:val="22"/>
          <w:szCs w:val="22"/>
        </w:rPr>
        <w:t xml:space="preserve">challenges </w:t>
      </w:r>
      <w:r w:rsidRPr="00E8567C">
        <w:rPr>
          <w:rFonts w:ascii="Calibri" w:hAnsi="Calibri" w:cs="Calibri"/>
          <w:sz w:val="22"/>
          <w:szCs w:val="22"/>
        </w:rPr>
        <w:t>for building</w:t>
      </w:r>
      <w:r w:rsidRPr="00E8567C">
        <w:rPr>
          <w:rFonts w:ascii="Calibri" w:hAnsi="Calibri" w:cs="Calibri"/>
          <w:sz w:val="22"/>
          <w:szCs w:val="22"/>
        </w:rPr>
        <w:t xml:space="preserve"> safe, welcoming and inclusive environments</w:t>
      </w:r>
      <w:r w:rsidRPr="00E8567C">
        <w:rPr>
          <w:rFonts w:ascii="Calibri" w:hAnsi="Calibri" w:cs="Calibri"/>
          <w:sz w:val="22"/>
          <w:szCs w:val="22"/>
        </w:rPr>
        <w:t xml:space="preserve">. </w:t>
      </w:r>
      <w:r w:rsidRPr="00E8567C">
        <w:rPr>
          <w:rFonts w:ascii="Calibri" w:hAnsi="Calibri" w:cs="Calibri"/>
          <w:sz w:val="22"/>
          <w:szCs w:val="22"/>
        </w:rPr>
        <w:t>Many schools</w:t>
      </w:r>
      <w:r w:rsidRPr="00E8567C">
        <w:rPr>
          <w:rFonts w:ascii="Calibri" w:hAnsi="Calibri" w:cs="Calibri"/>
          <w:sz w:val="22"/>
          <w:szCs w:val="22"/>
        </w:rPr>
        <w:t xml:space="preserve"> </w:t>
      </w:r>
      <w:r w:rsidRPr="00E8567C">
        <w:rPr>
          <w:rFonts w:ascii="Calibri" w:hAnsi="Calibri" w:cs="Calibri"/>
          <w:sz w:val="22"/>
          <w:szCs w:val="22"/>
        </w:rPr>
        <w:t>report feeling ill-equipped to respond when community tensions escalate. There is therefore a clear role for government in providing schools with practical, nationally endorsed guidance on communicating with families and local communities in situations where migration-related tensions arise.</w:t>
      </w:r>
    </w:p>
    <w:p w:rsidR="00841635" w:rsidRPr="00E8567C" w:rsidP="0020398F">
      <w:pPr>
        <w:rPr>
          <w:rFonts w:ascii="Calibri" w:hAnsi="Calibri" w:cs="Calibri"/>
          <w:sz w:val="22"/>
          <w:szCs w:val="22"/>
        </w:rPr>
      </w:pPr>
      <w:r w:rsidRPr="00E8567C">
        <w:rPr>
          <w:rFonts w:ascii="Calibri" w:hAnsi="Calibri" w:cs="Calibri"/>
          <w:sz w:val="22"/>
          <w:szCs w:val="22"/>
        </w:rPr>
        <w:t>Within schools, positive behaviour is more likely to emerge when pupils experience meaningful participation and a strong sense of belonging</w:t>
      </w:r>
      <w:r>
        <w:rPr>
          <w:rStyle w:val="FootnoteReference"/>
          <w:rFonts w:ascii="Calibri" w:hAnsi="Calibri" w:cs="Calibri"/>
          <w:sz w:val="22"/>
          <w:szCs w:val="22"/>
        </w:rPr>
        <w:footnoteReference w:id="11"/>
      </w:r>
      <w:r w:rsidRPr="00E8567C">
        <w:rPr>
          <w:rFonts w:ascii="Calibri" w:hAnsi="Calibri" w:cs="Calibri"/>
          <w:sz w:val="22"/>
          <w:szCs w:val="22"/>
        </w:rPr>
        <w:t xml:space="preserve">. Conversely, quietness, limited classroom talk or reduced participation may reflect the normal process of learning through an additional language rather than behavioural disengagement. Without sufficient understanding of bilingual language </w:t>
      </w:r>
      <w:r w:rsidRPr="00E8567C">
        <w:rPr>
          <w:rFonts w:ascii="Calibri" w:hAnsi="Calibri" w:cs="Calibri"/>
          <w:sz w:val="22"/>
          <w:szCs w:val="22"/>
        </w:rPr>
        <w:t>development, these behaviours can be misinterpreted, leading to inappropriate responses rather than effective support.</w:t>
      </w:r>
      <w:r>
        <w:rPr>
          <w:rStyle w:val="FootnoteReference"/>
          <w:rFonts w:ascii="Calibri" w:hAnsi="Calibri" w:cs="Calibri"/>
          <w:sz w:val="22"/>
          <w:szCs w:val="22"/>
        </w:rPr>
        <w:footnoteReference w:id="12"/>
      </w:r>
      <w:r w:rsidRPr="00E8567C">
        <w:rPr>
          <w:rFonts w:ascii="Calibri" w:hAnsi="Calibri" w:cs="Calibri"/>
          <w:sz w:val="22"/>
          <w:szCs w:val="22"/>
        </w:rPr>
        <w:t xml:space="preserve"> </w:t>
      </w:r>
    </w:p>
    <w:p w:rsidR="00841635" w:rsidRPr="00E8567C" w:rsidP="0020398F">
      <w:pPr>
        <w:rPr>
          <w:rFonts w:ascii="Calibri" w:hAnsi="Calibri" w:cs="Calibri"/>
          <w:b/>
          <w:bCs/>
          <w:sz w:val="22"/>
          <w:szCs w:val="22"/>
        </w:rPr>
      </w:pPr>
      <w:r w:rsidRPr="00E8567C">
        <w:rPr>
          <w:rFonts w:ascii="Calibri" w:hAnsi="Calibri" w:cs="Calibri"/>
          <w:b/>
          <w:bCs/>
          <w:sz w:val="22"/>
          <w:szCs w:val="22"/>
        </w:rPr>
        <w:t>Recommendations</w:t>
      </w:r>
    </w:p>
    <w:p w:rsidR="00841635" w:rsidRPr="00E8567C" w:rsidP="00041C82">
      <w:pPr>
        <w:numPr>
          <w:ilvl w:val="0"/>
          <w:numId w:val="1"/>
        </w:numPr>
        <w:rPr>
          <w:rFonts w:ascii="Calibri" w:hAnsi="Calibri" w:cs="Calibri"/>
          <w:sz w:val="22"/>
          <w:szCs w:val="22"/>
        </w:rPr>
      </w:pPr>
      <w:r w:rsidRPr="00E8567C">
        <w:rPr>
          <w:rFonts w:ascii="Calibri" w:hAnsi="Calibri" w:cs="Calibri"/>
          <w:sz w:val="22"/>
          <w:szCs w:val="22"/>
        </w:rPr>
        <w:t xml:space="preserve">The </w:t>
      </w:r>
      <w:r w:rsidRPr="00E8567C">
        <w:rPr>
          <w:rFonts w:ascii="Calibri" w:hAnsi="Calibri" w:cs="Calibri"/>
          <w:sz w:val="22"/>
          <w:szCs w:val="22"/>
        </w:rPr>
        <w:t>DfE</w:t>
      </w:r>
      <w:r w:rsidRPr="00E8567C">
        <w:rPr>
          <w:rFonts w:ascii="Calibri" w:hAnsi="Calibri" w:cs="Calibri"/>
          <w:sz w:val="22"/>
          <w:szCs w:val="22"/>
        </w:rPr>
        <w:t xml:space="preserve"> should embed the needs of EAL learners within its approach to inclusion by ensuring that school Inclusion Strategies extend beyond SEND and address language-related barriers to learning, participation and </w:t>
      </w:r>
      <w:r w:rsidRPr="00E8567C">
        <w:rPr>
          <w:rFonts w:ascii="Calibri" w:hAnsi="Calibri" w:cs="Calibri"/>
          <w:sz w:val="22"/>
          <w:szCs w:val="22"/>
        </w:rPr>
        <w:t>belonging.</w:t>
      </w:r>
    </w:p>
    <w:p w:rsidR="00841635" w:rsidRPr="00E8567C" w:rsidP="00CE58E1">
      <w:pPr>
        <w:numPr>
          <w:ilvl w:val="0"/>
          <w:numId w:val="15"/>
        </w:numPr>
        <w:rPr>
          <w:rFonts w:ascii="Calibri" w:hAnsi="Calibri" w:cs="Calibri"/>
          <w:sz w:val="22"/>
          <w:szCs w:val="22"/>
        </w:rPr>
      </w:pPr>
      <w:r w:rsidRPr="00E8567C">
        <w:rPr>
          <w:rFonts w:ascii="Calibri" w:hAnsi="Calibri" w:cs="Calibri"/>
          <w:sz w:val="22"/>
          <w:szCs w:val="22"/>
        </w:rPr>
        <w:t xml:space="preserve">School </w:t>
      </w:r>
      <w:r w:rsidRPr="00E8567C">
        <w:rPr>
          <w:rFonts w:ascii="Calibri" w:hAnsi="Calibri" w:cs="Calibri"/>
          <w:sz w:val="22"/>
          <w:szCs w:val="22"/>
        </w:rPr>
        <w:t>l</w:t>
      </w:r>
      <w:r w:rsidRPr="00E8567C">
        <w:rPr>
          <w:rFonts w:ascii="Calibri" w:hAnsi="Calibri" w:cs="Calibri"/>
          <w:sz w:val="22"/>
          <w:szCs w:val="22"/>
        </w:rPr>
        <w:t xml:space="preserve">eaders </w:t>
      </w:r>
      <w:r w:rsidRPr="00E8567C">
        <w:rPr>
          <w:rFonts w:ascii="Calibri" w:hAnsi="Calibri" w:cs="Calibri"/>
          <w:sz w:val="22"/>
          <w:szCs w:val="22"/>
        </w:rPr>
        <w:t>should</w:t>
      </w:r>
      <w:r w:rsidRPr="00E8567C">
        <w:rPr>
          <w:rFonts w:ascii="Calibri" w:hAnsi="Calibri" w:cs="Calibri"/>
          <w:sz w:val="22"/>
          <w:szCs w:val="22"/>
        </w:rPr>
        <w:t xml:space="preserve"> </w:t>
      </w:r>
      <w:r w:rsidRPr="00E8567C">
        <w:rPr>
          <w:rFonts w:ascii="Calibri" w:hAnsi="Calibri" w:cs="Calibri"/>
          <w:sz w:val="22"/>
          <w:szCs w:val="22"/>
        </w:rPr>
        <w:t>e</w:t>
      </w:r>
      <w:r w:rsidRPr="00E8567C">
        <w:rPr>
          <w:rFonts w:ascii="Calibri" w:hAnsi="Calibri" w:cs="Calibri"/>
          <w:sz w:val="22"/>
          <w:szCs w:val="22"/>
        </w:rPr>
        <w:t xml:space="preserve">nsure the enrichment entitlement is delivered through inclusive practice that removes barriers to participation for </w:t>
      </w:r>
      <w:r w:rsidRPr="00E8567C">
        <w:rPr>
          <w:rFonts w:ascii="Calibri" w:hAnsi="Calibri" w:cs="Calibri"/>
          <w:sz w:val="22"/>
          <w:szCs w:val="22"/>
        </w:rPr>
        <w:t>EAL</w:t>
      </w:r>
      <w:r w:rsidRPr="00E8567C">
        <w:rPr>
          <w:rFonts w:ascii="Calibri" w:hAnsi="Calibri" w:cs="Calibri"/>
          <w:sz w:val="22"/>
          <w:szCs w:val="22"/>
        </w:rPr>
        <w:t xml:space="preserve"> </w:t>
      </w:r>
      <w:r w:rsidRPr="00E8567C">
        <w:rPr>
          <w:rFonts w:ascii="Calibri" w:hAnsi="Calibri" w:cs="Calibri"/>
          <w:sz w:val="22"/>
          <w:szCs w:val="22"/>
        </w:rPr>
        <w:t>learners and enables them to develop relationships, build confidence, and contribute through their languages, cultures and lived experiences.</w:t>
      </w:r>
    </w:p>
    <w:p w:rsidR="00841635" w:rsidRPr="00E8567C" w:rsidP="002A4892">
      <w:pPr>
        <w:numPr>
          <w:ilvl w:val="0"/>
          <w:numId w:val="15"/>
        </w:numPr>
        <w:rPr>
          <w:rFonts w:ascii="Calibri" w:hAnsi="Calibri" w:cs="Calibri"/>
          <w:sz w:val="22"/>
          <w:szCs w:val="22"/>
        </w:rPr>
      </w:pPr>
      <w:r w:rsidRPr="00E8567C">
        <w:rPr>
          <w:rFonts w:ascii="Calibri" w:hAnsi="Calibri" w:cs="Calibri"/>
          <w:sz w:val="22"/>
          <w:szCs w:val="22"/>
        </w:rPr>
        <w:t>School leaders should s</w:t>
      </w:r>
      <w:r w:rsidRPr="00E8567C">
        <w:rPr>
          <w:rFonts w:ascii="Calibri" w:hAnsi="Calibri" w:cs="Calibri"/>
          <w:sz w:val="22"/>
          <w:szCs w:val="22"/>
        </w:rPr>
        <w:t xml:space="preserve">trengthen existing inclusion, behaviour and personal development guidance to include language-aware approaches for </w:t>
      </w:r>
      <w:r w:rsidRPr="00E8567C">
        <w:rPr>
          <w:rFonts w:ascii="Calibri" w:hAnsi="Calibri" w:cs="Calibri"/>
          <w:sz w:val="22"/>
          <w:szCs w:val="22"/>
        </w:rPr>
        <w:t>EAL</w:t>
      </w:r>
      <w:r w:rsidRPr="00E8567C">
        <w:rPr>
          <w:rFonts w:ascii="Calibri" w:hAnsi="Calibri" w:cs="Calibri"/>
          <w:sz w:val="22"/>
          <w:szCs w:val="22"/>
        </w:rPr>
        <w:t xml:space="preserve"> </w:t>
      </w:r>
      <w:r w:rsidRPr="00E8567C">
        <w:rPr>
          <w:rFonts w:ascii="Calibri" w:hAnsi="Calibri" w:cs="Calibri"/>
          <w:sz w:val="22"/>
          <w:szCs w:val="22"/>
        </w:rPr>
        <w:t>learners</w:t>
      </w:r>
      <w:r w:rsidRPr="00E8567C">
        <w:rPr>
          <w:rFonts w:ascii="Calibri" w:hAnsi="Calibri" w:cs="Calibri"/>
          <w:sz w:val="22"/>
          <w:szCs w:val="22"/>
        </w:rPr>
        <w:t xml:space="preserve"> ensuring staff understand bilingual language development and classroom behaviour in the context of English language development.</w:t>
      </w:r>
    </w:p>
    <w:p w:rsidR="00841635" w:rsidRPr="00E8567C" w:rsidP="002A4892">
      <w:pPr>
        <w:numPr>
          <w:ilvl w:val="0"/>
          <w:numId w:val="15"/>
        </w:numPr>
        <w:rPr>
          <w:rFonts w:ascii="Calibri" w:hAnsi="Calibri" w:cs="Calibri"/>
          <w:sz w:val="22"/>
          <w:szCs w:val="22"/>
        </w:rPr>
      </w:pPr>
      <w:r w:rsidRPr="00E8567C">
        <w:rPr>
          <w:rFonts w:ascii="Calibri" w:hAnsi="Calibri" w:cs="Calibri"/>
          <w:sz w:val="22"/>
          <w:szCs w:val="22"/>
        </w:rPr>
        <w:t>The DfE should develop and disseminate practical communications guidance to support schools in responding to community tensions</w:t>
      </w:r>
      <w:r w:rsidRPr="00E8567C">
        <w:rPr>
          <w:rFonts w:ascii="Calibri" w:hAnsi="Calibri" w:cs="Calibri"/>
          <w:sz w:val="22"/>
          <w:szCs w:val="22"/>
        </w:rPr>
        <w:t xml:space="preserve"> and </w:t>
      </w:r>
      <w:r w:rsidRPr="00E8567C">
        <w:rPr>
          <w:rFonts w:ascii="Calibri" w:hAnsi="Calibri" w:cs="Calibri"/>
          <w:sz w:val="22"/>
          <w:szCs w:val="22"/>
        </w:rPr>
        <w:t xml:space="preserve">misinformation related to migration and asylum. </w:t>
      </w:r>
      <w:r w:rsidRPr="00E8567C">
        <w:rPr>
          <w:rFonts w:ascii="Calibri" w:hAnsi="Calibri" w:cs="Calibri"/>
          <w:sz w:val="22"/>
          <w:szCs w:val="22"/>
        </w:rPr>
        <w:t>Guidance</w:t>
      </w:r>
      <w:r w:rsidRPr="00E8567C">
        <w:rPr>
          <w:rFonts w:ascii="Calibri" w:hAnsi="Calibri" w:cs="Calibri"/>
          <w:sz w:val="22"/>
          <w:szCs w:val="22"/>
        </w:rPr>
        <w:t xml:space="preserve"> should help schools communicate confidently with parents and local communities while promoting inclusive, safe and welcoming school environments.</w:t>
      </w:r>
    </w:p>
    <w:p w:rsidR="00841635" w:rsidRPr="00E8567C" w:rsidP="00955BBA">
      <w:pPr>
        <w:rPr>
          <w:rFonts w:ascii="Calibri" w:hAnsi="Calibri" w:cs="Calibri"/>
          <w:b/>
          <w:bCs/>
          <w:sz w:val="22"/>
          <w:szCs w:val="22"/>
        </w:rPr>
      </w:pPr>
      <w:r w:rsidRPr="00E8567C">
        <w:rPr>
          <w:rFonts w:ascii="Calibri" w:hAnsi="Calibri" w:cs="Calibri"/>
          <w:b/>
          <w:bCs/>
          <w:sz w:val="22"/>
          <w:szCs w:val="22"/>
        </w:rPr>
        <w:t>Reducing disadvantage gaps</w:t>
      </w:r>
    </w:p>
    <w:p w:rsidR="00841635" w:rsidRPr="00E8567C" w:rsidP="00FD7C1D">
      <w:pPr>
        <w:rPr>
          <w:rFonts w:ascii="Calibri" w:hAnsi="Calibri" w:cs="Calibri"/>
          <w:sz w:val="22"/>
          <w:szCs w:val="22"/>
        </w:rPr>
      </w:pPr>
      <w:r w:rsidRPr="00E8567C">
        <w:rPr>
          <w:rFonts w:ascii="Calibri" w:hAnsi="Calibri" w:cs="Calibri"/>
          <w:sz w:val="22"/>
          <w:szCs w:val="22"/>
        </w:rPr>
        <w:t>Reducing disadvantage gaps requires policy to recognise that socioeconomic disadvantage and English language proficiency are distinct, but often overlapping, barriers to educational achievement.</w:t>
      </w:r>
      <w:r w:rsidRPr="00E8567C">
        <w:rPr>
          <w:rFonts w:ascii="Calibri" w:eastAsia="Times New Roman" w:hAnsi="Calibri" w:cs="Calibri"/>
          <w:kern w:val="0"/>
          <w:sz w:val="22"/>
          <w:szCs w:val="22"/>
          <w:lang w:eastAsia="en-GB"/>
        </w:rPr>
        <w:t xml:space="preserve"> </w:t>
      </w:r>
      <w:r w:rsidRPr="00E8567C">
        <w:rPr>
          <w:rFonts w:ascii="Calibri" w:hAnsi="Calibri" w:cs="Calibri"/>
          <w:sz w:val="22"/>
          <w:szCs w:val="22"/>
        </w:rPr>
        <w:t>While EAL pupils broadly reflect the wider population in terms of gender, birth season and FSM eligibility, they are more likely than monolingual English-speaking peers to live in areas of higher neighbourhood deprivation</w:t>
      </w:r>
      <w:r>
        <w:rPr>
          <w:rStyle w:val="FootnoteReference"/>
          <w:rFonts w:ascii="Calibri" w:hAnsi="Calibri" w:cs="Calibri"/>
          <w:sz w:val="22"/>
          <w:szCs w:val="22"/>
        </w:rPr>
        <w:footnoteReference w:id="13"/>
      </w:r>
      <w:r w:rsidRPr="00E8567C">
        <w:rPr>
          <w:rFonts w:ascii="Calibri" w:hAnsi="Calibri" w:cs="Calibri"/>
          <w:sz w:val="22"/>
          <w:szCs w:val="22"/>
        </w:rPr>
        <w:t>. As reforms seek to target disadvantage funding more effectively, they should not inadvertently reduce support for multilingual learners whose primary barrier to learning is access to the language of instruction rather than household income.</w:t>
      </w:r>
    </w:p>
    <w:p w:rsidR="00841635" w:rsidRPr="00E8567C" w:rsidP="00FD7C1D">
      <w:pPr>
        <w:rPr>
          <w:rFonts w:ascii="Calibri" w:hAnsi="Calibri" w:cs="Calibri"/>
          <w:sz w:val="22"/>
          <w:szCs w:val="22"/>
        </w:rPr>
      </w:pPr>
      <w:r w:rsidRPr="00E8567C">
        <w:rPr>
          <w:rFonts w:ascii="Calibri" w:hAnsi="Calibri" w:cs="Calibri"/>
          <w:sz w:val="22"/>
          <w:szCs w:val="22"/>
        </w:rPr>
        <w:t xml:space="preserve">The additional funding for pupils who use EAL in the NFF has not been increased at the same rate as for other pupils. </w:t>
      </w:r>
      <w:r w:rsidRPr="00E8567C">
        <w:rPr>
          <w:rFonts w:ascii="Calibri" w:hAnsi="Calibri" w:cs="Calibri"/>
          <w:sz w:val="22"/>
          <w:szCs w:val="22"/>
        </w:rPr>
        <w:t>Analysis</w:t>
      </w:r>
      <w:r w:rsidRPr="00E8567C">
        <w:rPr>
          <w:rFonts w:ascii="Calibri" w:hAnsi="Calibri" w:cs="Calibri"/>
          <w:sz w:val="22"/>
          <w:szCs w:val="22"/>
        </w:rPr>
        <w:t xml:space="preserve"> shows that since 2017, pupils that use EAL have received increases at half the rate of other pupils in both primary and secondary schools</w:t>
      </w:r>
      <w:r w:rsidRPr="00E8567C">
        <w:rPr>
          <w:rStyle w:val="FootnoteReference"/>
          <w:rFonts w:ascii="Calibri" w:hAnsi="Calibri" w:cs="Calibri"/>
          <w:sz w:val="22"/>
          <w:szCs w:val="22"/>
        </w:rPr>
        <w:t xml:space="preserve"> </w:t>
      </w:r>
      <w:r>
        <w:rPr>
          <w:rStyle w:val="FootnoteReference"/>
          <w:rFonts w:ascii="Calibri" w:hAnsi="Calibri" w:cs="Calibri"/>
          <w:sz w:val="22"/>
          <w:szCs w:val="22"/>
        </w:rPr>
        <w:footnoteReference w:id="14"/>
      </w:r>
      <w:r w:rsidRPr="00E8567C">
        <w:rPr>
          <w:rFonts w:ascii="Calibri" w:hAnsi="Calibri" w:cs="Calibri"/>
          <w:sz w:val="22"/>
          <w:szCs w:val="22"/>
        </w:rPr>
        <w:t>. EAL funding is limited to pupils' first three years in state-funded school</w:t>
      </w:r>
      <w:r w:rsidRPr="00E8567C">
        <w:rPr>
          <w:rFonts w:ascii="Calibri" w:hAnsi="Calibri" w:cs="Calibri"/>
          <w:sz w:val="22"/>
          <w:szCs w:val="22"/>
        </w:rPr>
        <w:t>s</w:t>
      </w:r>
      <w:r w:rsidRPr="00E8567C">
        <w:rPr>
          <w:rFonts w:ascii="Calibri" w:hAnsi="Calibri" w:cs="Calibri"/>
          <w:sz w:val="22"/>
          <w:szCs w:val="22"/>
        </w:rPr>
        <w:t>, is not ring-fenced, and schools are not required to demonstrate how it is used.</w:t>
      </w:r>
    </w:p>
    <w:p w:rsidR="00841635" w:rsidRPr="00E8567C" w:rsidP="002D64C6">
      <w:pPr>
        <w:rPr>
          <w:rFonts w:ascii="Calibri" w:hAnsi="Calibri" w:cs="Calibri"/>
          <w:sz w:val="22"/>
          <w:szCs w:val="22"/>
        </w:rPr>
      </w:pPr>
      <w:r w:rsidRPr="00E8567C">
        <w:rPr>
          <w:rFonts w:ascii="Calibri" w:hAnsi="Calibri" w:cs="Calibri"/>
          <w:sz w:val="22"/>
          <w:szCs w:val="22"/>
        </w:rPr>
        <w:t>EAL learners benefit from high-quality teaching that develops academic language alongside subject knowledge, supported by assessment of English proficiency and teacher expertise</w:t>
      </w:r>
      <w:r w:rsidRPr="00E8567C">
        <w:rPr>
          <w:rFonts w:ascii="Calibri" w:hAnsi="Calibri" w:cs="Calibri"/>
          <w:sz w:val="22"/>
          <w:szCs w:val="22"/>
        </w:rPr>
        <w:t>.</w:t>
      </w:r>
      <w:r>
        <w:rPr>
          <w:rStyle w:val="FootnoteReference"/>
          <w:rFonts w:ascii="Calibri" w:hAnsi="Calibri" w:cs="Calibri"/>
          <w:sz w:val="22"/>
          <w:szCs w:val="22"/>
        </w:rPr>
        <w:footnoteReference w:id="15"/>
      </w:r>
      <w:r w:rsidRPr="00E8567C">
        <w:rPr>
          <w:rFonts w:ascii="Calibri" w:hAnsi="Calibri" w:cs="Calibri"/>
          <w:sz w:val="22"/>
          <w:szCs w:val="22"/>
        </w:rPr>
        <w:t xml:space="preserve"> </w:t>
      </w:r>
    </w:p>
    <w:p w:rsidR="00841635" w:rsidRPr="00E8567C" w:rsidP="00955BBA">
      <w:pPr>
        <w:rPr>
          <w:rFonts w:ascii="Calibri" w:hAnsi="Calibri" w:cs="Calibri"/>
          <w:b/>
          <w:bCs/>
          <w:sz w:val="22"/>
          <w:szCs w:val="22"/>
        </w:rPr>
      </w:pPr>
      <w:r w:rsidRPr="00E8567C">
        <w:rPr>
          <w:rFonts w:ascii="Calibri" w:hAnsi="Calibri" w:cs="Calibri"/>
          <w:b/>
          <w:bCs/>
          <w:sz w:val="22"/>
          <w:szCs w:val="22"/>
        </w:rPr>
        <w:t>Recommendations</w:t>
      </w:r>
    </w:p>
    <w:p w:rsidR="00841635" w:rsidRPr="00E8567C" w:rsidP="00955BBA">
      <w:pPr>
        <w:numPr>
          <w:ilvl w:val="0"/>
          <w:numId w:val="7"/>
        </w:numPr>
        <w:rPr>
          <w:rFonts w:ascii="Calibri" w:hAnsi="Calibri" w:cs="Calibri"/>
          <w:sz w:val="22"/>
          <w:szCs w:val="22"/>
        </w:rPr>
      </w:pPr>
      <w:r w:rsidRPr="00E8567C">
        <w:rPr>
          <w:rFonts w:ascii="Calibri" w:hAnsi="Calibri" w:cs="Calibri"/>
          <w:sz w:val="22"/>
          <w:szCs w:val="22"/>
        </w:rPr>
        <w:t xml:space="preserve">The DfE should recognise English language proficiency as a distinct educational need within disadvantage policy by ensuring it is </w:t>
      </w:r>
      <w:r w:rsidRPr="00E8567C">
        <w:rPr>
          <w:rFonts w:ascii="Calibri" w:hAnsi="Calibri" w:cs="Calibri"/>
          <w:sz w:val="22"/>
          <w:szCs w:val="22"/>
        </w:rPr>
        <w:t xml:space="preserve">considered </w:t>
      </w:r>
      <w:r w:rsidRPr="00E8567C">
        <w:rPr>
          <w:rFonts w:ascii="Calibri" w:hAnsi="Calibri" w:cs="Calibri"/>
          <w:sz w:val="22"/>
          <w:szCs w:val="22"/>
        </w:rPr>
        <w:t xml:space="preserve">alongside socioeconomic indicators </w:t>
      </w:r>
      <w:r w:rsidRPr="00E8567C">
        <w:rPr>
          <w:rFonts w:ascii="Calibri" w:hAnsi="Calibri" w:cs="Calibri"/>
          <w:sz w:val="22"/>
          <w:szCs w:val="22"/>
        </w:rPr>
        <w:t>when</w:t>
      </w:r>
      <w:r w:rsidRPr="00E8567C">
        <w:rPr>
          <w:rFonts w:ascii="Calibri" w:hAnsi="Calibri" w:cs="Calibri"/>
          <w:sz w:val="22"/>
          <w:szCs w:val="22"/>
        </w:rPr>
        <w:t xml:space="preserve"> identify</w:t>
      </w:r>
      <w:r w:rsidRPr="00E8567C">
        <w:rPr>
          <w:rFonts w:ascii="Calibri" w:hAnsi="Calibri" w:cs="Calibri"/>
          <w:sz w:val="22"/>
          <w:szCs w:val="22"/>
        </w:rPr>
        <w:t>ing</w:t>
      </w:r>
      <w:r w:rsidRPr="00E8567C">
        <w:rPr>
          <w:rFonts w:ascii="Calibri" w:hAnsi="Calibri" w:cs="Calibri"/>
          <w:sz w:val="22"/>
          <w:szCs w:val="22"/>
        </w:rPr>
        <w:t xml:space="preserve"> pupils requiring additional support.</w:t>
      </w:r>
    </w:p>
    <w:p w:rsidR="00841635" w:rsidRPr="00E8567C" w:rsidP="00DE14AA">
      <w:pPr>
        <w:numPr>
          <w:ilvl w:val="0"/>
          <w:numId w:val="7"/>
        </w:numPr>
        <w:rPr>
          <w:rFonts w:ascii="Calibri" w:hAnsi="Calibri" w:cs="Calibri"/>
          <w:sz w:val="22"/>
          <w:szCs w:val="22"/>
        </w:rPr>
      </w:pPr>
      <w:r w:rsidRPr="00E8567C">
        <w:rPr>
          <w:rFonts w:ascii="Calibri" w:hAnsi="Calibri" w:cs="Calibri"/>
          <w:sz w:val="22"/>
          <w:szCs w:val="22"/>
        </w:rPr>
        <w:t xml:space="preserve">The </w:t>
      </w:r>
      <w:r w:rsidRPr="00E8567C">
        <w:rPr>
          <w:rFonts w:ascii="Calibri" w:hAnsi="Calibri" w:cs="Calibri"/>
          <w:sz w:val="22"/>
          <w:szCs w:val="22"/>
        </w:rPr>
        <w:t>DfE</w:t>
      </w:r>
      <w:r w:rsidRPr="00E8567C">
        <w:rPr>
          <w:rFonts w:ascii="Calibri" w:hAnsi="Calibri" w:cs="Calibri"/>
          <w:sz w:val="22"/>
          <w:szCs w:val="22"/>
        </w:rPr>
        <w:t xml:space="preserve"> should maintain dedicated EAL funding</w:t>
      </w:r>
      <w:r w:rsidRPr="00E8567C">
        <w:rPr>
          <w:rFonts w:ascii="Calibri" w:hAnsi="Calibri" w:cs="Calibri"/>
          <w:sz w:val="22"/>
          <w:szCs w:val="22"/>
        </w:rPr>
        <w:t xml:space="preserve"> in the NFF</w:t>
      </w:r>
      <w:r w:rsidRPr="00E8567C">
        <w:rPr>
          <w:rFonts w:ascii="Calibri" w:hAnsi="Calibri" w:cs="Calibri"/>
          <w:sz w:val="22"/>
          <w:szCs w:val="22"/>
        </w:rPr>
        <w:t xml:space="preserve"> and review whether greater transparency or ring-fencing is needed to ensure resources intended for pupils with EAL are used effectively. </w:t>
      </w:r>
    </w:p>
    <w:p w:rsidR="00841635" w:rsidRPr="00E8567C" w:rsidP="00DE14AA">
      <w:pPr>
        <w:numPr>
          <w:ilvl w:val="0"/>
          <w:numId w:val="7"/>
        </w:numPr>
        <w:rPr>
          <w:rFonts w:ascii="Calibri" w:hAnsi="Calibri" w:cs="Calibri"/>
          <w:sz w:val="22"/>
          <w:szCs w:val="22"/>
        </w:rPr>
      </w:pPr>
      <w:r w:rsidRPr="00E8567C">
        <w:rPr>
          <w:rFonts w:ascii="Calibri" w:hAnsi="Calibri" w:cs="Calibri"/>
          <w:sz w:val="22"/>
          <w:szCs w:val="22"/>
        </w:rPr>
        <w:t>The DfE should e</w:t>
      </w:r>
      <w:r w:rsidRPr="00E8567C">
        <w:rPr>
          <w:rFonts w:ascii="Calibri" w:hAnsi="Calibri" w:cs="Calibri"/>
          <w:sz w:val="22"/>
          <w:szCs w:val="22"/>
        </w:rPr>
        <w:t>mbed multilingual learners within evidence-based approaches to reducing disadvantage by ensuring disadvantage strategies and external reviews consider English language proficiency assessment, effective EAL pedagogy and staff expertise.</w:t>
      </w:r>
    </w:p>
    <w:p w:rsidR="00841635" w:rsidRPr="00E8567C" w:rsidP="00955BBA">
      <w:pPr>
        <w:rPr>
          <w:rFonts w:ascii="Calibri" w:hAnsi="Calibri" w:cs="Calibri"/>
          <w:b/>
          <w:bCs/>
          <w:sz w:val="22"/>
          <w:szCs w:val="22"/>
        </w:rPr>
      </w:pPr>
      <w:r w:rsidRPr="00E8567C">
        <w:rPr>
          <w:rFonts w:ascii="Calibri" w:hAnsi="Calibri" w:cs="Calibri"/>
          <w:b/>
          <w:bCs/>
          <w:sz w:val="22"/>
          <w:szCs w:val="22"/>
        </w:rPr>
        <w:t>School admissions</w:t>
      </w:r>
    </w:p>
    <w:p w:rsidR="00841635" w:rsidRPr="00E8567C" w:rsidP="00955BBA">
      <w:pPr>
        <w:rPr>
          <w:rFonts w:ascii="Calibri" w:hAnsi="Calibri" w:cs="Calibri"/>
          <w:sz w:val="22"/>
          <w:szCs w:val="22"/>
        </w:rPr>
      </w:pPr>
      <w:r w:rsidRPr="00E8567C">
        <w:rPr>
          <w:rFonts w:ascii="Calibri" w:hAnsi="Calibri" w:cs="Calibri"/>
          <w:sz w:val="22"/>
          <w:szCs w:val="22"/>
        </w:rPr>
        <w:t xml:space="preserve">The proposed reforms to the School Admissions Code present an important opportunity to improve equity for </w:t>
      </w:r>
      <w:r w:rsidRPr="00E8567C">
        <w:rPr>
          <w:rFonts w:ascii="Calibri" w:hAnsi="Calibri" w:cs="Calibri"/>
          <w:sz w:val="22"/>
          <w:szCs w:val="22"/>
        </w:rPr>
        <w:t xml:space="preserve">EAL </w:t>
      </w:r>
      <w:r w:rsidRPr="00E8567C">
        <w:rPr>
          <w:rFonts w:ascii="Calibri" w:hAnsi="Calibri" w:cs="Calibri"/>
          <w:sz w:val="22"/>
          <w:szCs w:val="22"/>
        </w:rPr>
        <w:t>learners. Evidence shows that newly arrived pupils are disproportionately affected by delays and inconsistencies in admissions processes, particularly when entering the education system outside the normal admissions cycle.</w:t>
      </w:r>
      <w:r>
        <w:rPr>
          <w:rStyle w:val="FootnoteReference"/>
          <w:rFonts w:ascii="Calibri" w:hAnsi="Calibri" w:cs="Calibri"/>
          <w:sz w:val="22"/>
          <w:szCs w:val="22"/>
        </w:rPr>
        <w:footnoteReference w:id="16"/>
      </w:r>
      <w:r w:rsidRPr="00E8567C">
        <w:rPr>
          <w:rFonts w:ascii="Calibri" w:hAnsi="Calibri" w:cs="Calibri"/>
          <w:sz w:val="22"/>
          <w:szCs w:val="22"/>
        </w:rPr>
        <w:t xml:space="preserve"> Timely access to education is essential for educational attainment, language development, wellbeing and successful integration into school communities.</w:t>
      </w:r>
    </w:p>
    <w:p w:rsidR="00841635" w:rsidRPr="00E8567C" w:rsidP="00955BBA">
      <w:pPr>
        <w:rPr>
          <w:rFonts w:ascii="Calibri" w:hAnsi="Calibri" w:cs="Calibri"/>
          <w:sz w:val="22"/>
          <w:szCs w:val="22"/>
        </w:rPr>
      </w:pPr>
      <w:r w:rsidRPr="00E8567C">
        <w:rPr>
          <w:rFonts w:ascii="Calibri" w:hAnsi="Calibri" w:cs="Calibri"/>
          <w:sz w:val="22"/>
          <w:szCs w:val="22"/>
        </w:rPr>
        <w:t>C</w:t>
      </w:r>
      <w:r w:rsidRPr="00E8567C">
        <w:rPr>
          <w:rFonts w:ascii="Calibri" w:hAnsi="Calibri" w:cs="Calibri"/>
          <w:sz w:val="22"/>
          <w:szCs w:val="22"/>
        </w:rPr>
        <w:t xml:space="preserve">urrent arrangements do not consistently meet the needs of newly arrived </w:t>
      </w:r>
      <w:r w:rsidRPr="00E8567C">
        <w:rPr>
          <w:rFonts w:ascii="Calibri" w:hAnsi="Calibri" w:cs="Calibri"/>
          <w:sz w:val="22"/>
          <w:szCs w:val="22"/>
        </w:rPr>
        <w:t>multilingual</w:t>
      </w:r>
      <w:r w:rsidRPr="00E8567C">
        <w:rPr>
          <w:rFonts w:ascii="Calibri" w:hAnsi="Calibri" w:cs="Calibri"/>
          <w:sz w:val="22"/>
          <w:szCs w:val="22"/>
        </w:rPr>
        <w:t xml:space="preserve"> learners. Delays in securing a school place can result in prolonged periods out of education, disrupting both curriculum access and English language development.</w:t>
      </w:r>
      <w:r>
        <w:rPr>
          <w:rStyle w:val="FootnoteReference"/>
          <w:rFonts w:ascii="Calibri" w:hAnsi="Calibri" w:cs="Calibri"/>
          <w:sz w:val="22"/>
          <w:szCs w:val="22"/>
        </w:rPr>
        <w:footnoteReference w:id="17"/>
      </w:r>
      <w:r w:rsidRPr="00E8567C">
        <w:rPr>
          <w:rFonts w:ascii="Calibri" w:hAnsi="Calibri" w:cs="Calibri"/>
          <w:sz w:val="22"/>
          <w:szCs w:val="22"/>
        </w:rPr>
        <w:t xml:space="preserve"> </w:t>
      </w:r>
    </w:p>
    <w:p w:rsidR="00841635" w:rsidRPr="00E8567C" w:rsidP="00955BBA">
      <w:pPr>
        <w:rPr>
          <w:rFonts w:ascii="Calibri" w:hAnsi="Calibri" w:cs="Calibri"/>
          <w:sz w:val="22"/>
          <w:szCs w:val="22"/>
        </w:rPr>
      </w:pPr>
      <w:r w:rsidRPr="00E8567C">
        <w:rPr>
          <w:rFonts w:ascii="Calibri" w:hAnsi="Calibri" w:cs="Calibri"/>
          <w:sz w:val="22"/>
          <w:szCs w:val="22"/>
        </w:rPr>
        <w:t>Admissions processes must be transparent and accessible</w:t>
      </w:r>
      <w:r w:rsidRPr="00E8567C">
        <w:rPr>
          <w:rFonts w:ascii="Calibri" w:hAnsi="Calibri" w:cs="Calibri"/>
          <w:sz w:val="22"/>
          <w:szCs w:val="22"/>
        </w:rPr>
        <w:t xml:space="preserve">. </w:t>
      </w:r>
      <w:r w:rsidRPr="00E8567C">
        <w:rPr>
          <w:rFonts w:ascii="Calibri" w:hAnsi="Calibri" w:cs="Calibri"/>
          <w:sz w:val="22"/>
          <w:szCs w:val="22"/>
        </w:rPr>
        <w:t>Families</w:t>
      </w:r>
      <w:r w:rsidRPr="00E8567C">
        <w:rPr>
          <w:rFonts w:ascii="Calibri" w:hAnsi="Calibri" w:cs="Calibri"/>
          <w:sz w:val="22"/>
          <w:szCs w:val="22"/>
        </w:rPr>
        <w:t xml:space="preserve"> who are unfamiliar with the education system or have limited English proficiency may face barriers in understanding admissions procedures</w:t>
      </w:r>
      <w:r w:rsidRPr="00E8567C">
        <w:rPr>
          <w:rFonts w:ascii="Calibri" w:hAnsi="Calibri" w:cs="Calibri"/>
          <w:sz w:val="22"/>
          <w:szCs w:val="22"/>
        </w:rPr>
        <w:t xml:space="preserve"> </w:t>
      </w:r>
      <w:r w:rsidRPr="00E8567C">
        <w:rPr>
          <w:rFonts w:ascii="Calibri" w:hAnsi="Calibri" w:cs="Calibri"/>
          <w:sz w:val="22"/>
          <w:szCs w:val="22"/>
        </w:rPr>
        <w:t>and fair access protocols.</w:t>
      </w:r>
      <w:r>
        <w:rPr>
          <w:rStyle w:val="FootnoteReference"/>
          <w:rFonts w:ascii="Calibri" w:hAnsi="Calibri" w:cs="Calibri"/>
          <w:sz w:val="22"/>
          <w:szCs w:val="22"/>
        </w:rPr>
        <w:footnoteReference w:id="18"/>
      </w:r>
      <w:r w:rsidRPr="00E8567C">
        <w:rPr>
          <w:rFonts w:ascii="Calibri" w:hAnsi="Calibri" w:cs="Calibri"/>
          <w:sz w:val="22"/>
          <w:szCs w:val="22"/>
        </w:rPr>
        <w:t xml:space="preserve"> </w:t>
      </w:r>
      <w:r w:rsidRPr="00E8567C">
        <w:rPr>
          <w:rFonts w:ascii="Calibri" w:hAnsi="Calibri" w:cs="Calibri"/>
          <w:sz w:val="22"/>
          <w:szCs w:val="22"/>
        </w:rPr>
        <w:t>Multilingual information and interpretation support are essential to equitable access.</w:t>
      </w:r>
    </w:p>
    <w:p w:rsidR="00841635" w:rsidRPr="00E8567C" w:rsidP="00955BBA">
      <w:pPr>
        <w:rPr>
          <w:rFonts w:ascii="Calibri" w:hAnsi="Calibri" w:cs="Calibri"/>
          <w:sz w:val="22"/>
          <w:szCs w:val="22"/>
        </w:rPr>
      </w:pPr>
      <w:r w:rsidRPr="00E8567C">
        <w:rPr>
          <w:rFonts w:ascii="Calibri" w:hAnsi="Calibri" w:cs="Calibri"/>
          <w:sz w:val="22"/>
          <w:szCs w:val="22"/>
        </w:rPr>
        <w:t xml:space="preserve">Effective in-year admissions are particularly important for </w:t>
      </w:r>
      <w:r w:rsidRPr="00E8567C">
        <w:rPr>
          <w:rFonts w:ascii="Calibri" w:hAnsi="Calibri" w:cs="Calibri"/>
          <w:sz w:val="22"/>
          <w:szCs w:val="22"/>
        </w:rPr>
        <w:t xml:space="preserve">EAL </w:t>
      </w:r>
      <w:r w:rsidRPr="00E8567C">
        <w:rPr>
          <w:rFonts w:ascii="Calibri" w:hAnsi="Calibri" w:cs="Calibri"/>
          <w:sz w:val="22"/>
          <w:szCs w:val="22"/>
        </w:rPr>
        <w:t>learners, many of whom arrive during the academic year. Delays in placement can have lasting consequences for educational progress and integration</w:t>
      </w:r>
      <w:r w:rsidRPr="00E8567C">
        <w:rPr>
          <w:rFonts w:ascii="Calibri" w:hAnsi="Calibri" w:cs="Calibri"/>
          <w:sz w:val="22"/>
          <w:szCs w:val="22"/>
        </w:rPr>
        <w:t>.</w:t>
      </w:r>
      <w:r w:rsidRPr="00E8567C">
        <w:rPr>
          <w:rFonts w:ascii="Calibri" w:hAnsi="Calibri" w:cs="Calibri"/>
          <w:sz w:val="22"/>
          <w:szCs w:val="22"/>
        </w:rPr>
        <w:t xml:space="preserve"> </w:t>
      </w:r>
      <w:r w:rsidRPr="00E8567C">
        <w:rPr>
          <w:rFonts w:ascii="Calibri" w:hAnsi="Calibri" w:cs="Calibri"/>
          <w:sz w:val="22"/>
          <w:szCs w:val="22"/>
        </w:rPr>
        <w:t>Stronger national expectations</w:t>
      </w:r>
      <w:r w:rsidRPr="00E8567C">
        <w:rPr>
          <w:rFonts w:ascii="Calibri" w:hAnsi="Calibri" w:cs="Calibri"/>
          <w:sz w:val="22"/>
          <w:szCs w:val="22"/>
        </w:rPr>
        <w:t xml:space="preserve"> and</w:t>
      </w:r>
      <w:r w:rsidRPr="00E8567C">
        <w:rPr>
          <w:rFonts w:ascii="Calibri" w:hAnsi="Calibri" w:cs="Calibri"/>
          <w:sz w:val="22"/>
          <w:szCs w:val="22"/>
        </w:rPr>
        <w:t xml:space="preserve"> accountability would reduce geographical variation and ensure that all newly arrived pupils can access education promptly</w:t>
      </w:r>
      <w:r w:rsidRPr="00E8567C">
        <w:rPr>
          <w:rFonts w:ascii="Calibri" w:hAnsi="Calibri" w:cs="Calibri"/>
          <w:sz w:val="22"/>
          <w:szCs w:val="22"/>
        </w:rPr>
        <w:t>.</w:t>
      </w:r>
      <w:r>
        <w:rPr>
          <w:rStyle w:val="FootnoteReference"/>
          <w:rFonts w:ascii="Calibri" w:hAnsi="Calibri" w:cs="Calibri"/>
          <w:sz w:val="22"/>
          <w:szCs w:val="22"/>
        </w:rPr>
        <w:footnoteReference w:id="19"/>
      </w:r>
      <w:r w:rsidRPr="00E8567C">
        <w:rPr>
          <w:rFonts w:ascii="Calibri" w:hAnsi="Calibri" w:cs="Calibri"/>
          <w:sz w:val="22"/>
          <w:szCs w:val="22"/>
        </w:rPr>
        <w:t xml:space="preserve"> </w:t>
      </w:r>
      <w:r>
        <w:rPr>
          <w:rStyle w:val="FootnoteReference"/>
          <w:rFonts w:ascii="Calibri" w:hAnsi="Calibri" w:cs="Calibri"/>
          <w:sz w:val="22"/>
          <w:szCs w:val="22"/>
        </w:rPr>
        <w:footnoteReference w:id="20"/>
      </w:r>
      <w:r w:rsidRPr="00E8567C">
        <w:rPr>
          <w:rFonts w:ascii="Calibri" w:hAnsi="Calibri" w:cs="Calibri"/>
          <w:sz w:val="22"/>
          <w:szCs w:val="22"/>
        </w:rPr>
        <w:t xml:space="preserve"> </w:t>
      </w:r>
    </w:p>
    <w:p w:rsidR="00841635" w:rsidRPr="00E8567C" w:rsidP="00955BBA">
      <w:pPr>
        <w:rPr>
          <w:rFonts w:ascii="Calibri" w:hAnsi="Calibri" w:cs="Calibri"/>
          <w:sz w:val="22"/>
          <w:szCs w:val="22"/>
        </w:rPr>
      </w:pPr>
      <w:r w:rsidRPr="00E8567C">
        <w:rPr>
          <w:rFonts w:ascii="Calibri" w:hAnsi="Calibri" w:cs="Calibri"/>
          <w:b/>
          <w:bCs/>
          <w:sz w:val="22"/>
          <w:szCs w:val="22"/>
        </w:rPr>
        <w:t>Recommendati</w:t>
      </w:r>
      <w:r w:rsidRPr="00E8567C">
        <w:rPr>
          <w:rFonts w:ascii="Calibri" w:hAnsi="Calibri" w:cs="Calibri"/>
          <w:b/>
          <w:bCs/>
          <w:sz w:val="22"/>
          <w:szCs w:val="22"/>
        </w:rPr>
        <w:t>ons</w:t>
      </w:r>
    </w:p>
    <w:p w:rsidR="00841635" w:rsidRPr="00E8567C" w:rsidP="0093283F">
      <w:pPr>
        <w:pStyle w:val="ListParagraph"/>
        <w:numPr>
          <w:ilvl w:val="0"/>
          <w:numId w:val="10"/>
        </w:numPr>
        <w:rPr>
          <w:rFonts w:ascii="Calibri" w:hAnsi="Calibri" w:cs="Calibri"/>
          <w:sz w:val="22"/>
          <w:szCs w:val="22"/>
        </w:rPr>
      </w:pPr>
      <w:r w:rsidRPr="00E8567C">
        <w:rPr>
          <w:rFonts w:ascii="Calibri" w:hAnsi="Calibri" w:cs="Calibri"/>
          <w:sz w:val="22"/>
          <w:szCs w:val="22"/>
        </w:rPr>
        <w:t>The DfE should s</w:t>
      </w:r>
      <w:r w:rsidRPr="00E8567C">
        <w:rPr>
          <w:rFonts w:ascii="Calibri" w:hAnsi="Calibri" w:cs="Calibri"/>
          <w:sz w:val="22"/>
          <w:szCs w:val="22"/>
        </w:rPr>
        <w:t xml:space="preserve">trengthen the national admissions framework by promoting timely school placement and ensuring admissions information is accessible through translation and interpretation where needed. </w:t>
      </w:r>
    </w:p>
    <w:p w:rsidR="00841635" w:rsidRPr="00E8567C" w:rsidP="0093283F">
      <w:pPr>
        <w:pStyle w:val="ListParagraph"/>
        <w:numPr>
          <w:ilvl w:val="0"/>
          <w:numId w:val="10"/>
        </w:numPr>
        <w:rPr>
          <w:rFonts w:ascii="Calibri" w:hAnsi="Calibri" w:cs="Calibri"/>
          <w:sz w:val="22"/>
          <w:szCs w:val="22"/>
        </w:rPr>
      </w:pPr>
      <w:r w:rsidRPr="00E8567C">
        <w:rPr>
          <w:rFonts w:ascii="Calibri" w:hAnsi="Calibri" w:cs="Calibri"/>
          <w:sz w:val="22"/>
          <w:szCs w:val="22"/>
        </w:rPr>
        <w:t>The DfE should amend the School Admissions Code to explicitly recognise newly arrived multilingual learners within in-year admissions and fair access arrangements, supporting equitable decision-making and consistent practice across local authorities.</w:t>
      </w:r>
    </w:p>
    <w:p w:rsidR="00841635" w:rsidRPr="00E8567C" w:rsidP="0093283F">
      <w:pPr>
        <w:pStyle w:val="ListParagraph"/>
        <w:numPr>
          <w:ilvl w:val="0"/>
          <w:numId w:val="10"/>
        </w:numPr>
        <w:rPr>
          <w:rFonts w:ascii="Calibri" w:hAnsi="Calibri" w:cs="Calibri"/>
          <w:sz w:val="22"/>
          <w:szCs w:val="22"/>
        </w:rPr>
      </w:pPr>
      <w:r w:rsidRPr="00E8567C">
        <w:rPr>
          <w:rFonts w:ascii="Calibri" w:hAnsi="Calibri" w:cs="Calibri"/>
          <w:sz w:val="22"/>
          <w:szCs w:val="22"/>
        </w:rPr>
        <w:t xml:space="preserve">Local authorities, </w:t>
      </w:r>
      <w:r w:rsidRPr="00E8567C">
        <w:rPr>
          <w:rFonts w:ascii="Calibri" w:hAnsi="Calibri" w:cs="Calibri"/>
          <w:sz w:val="22"/>
          <w:szCs w:val="22"/>
        </w:rPr>
        <w:t xml:space="preserve">and </w:t>
      </w:r>
      <w:r w:rsidRPr="00E8567C">
        <w:rPr>
          <w:rFonts w:ascii="Calibri" w:hAnsi="Calibri" w:cs="Calibri"/>
          <w:sz w:val="22"/>
          <w:szCs w:val="22"/>
        </w:rPr>
        <w:t>academy trusts should e</w:t>
      </w:r>
      <w:r w:rsidRPr="00E8567C">
        <w:rPr>
          <w:rFonts w:ascii="Calibri" w:hAnsi="Calibri" w:cs="Calibri"/>
          <w:sz w:val="22"/>
          <w:szCs w:val="22"/>
        </w:rPr>
        <w:t>nsure admissions, complaints and parental engagement systems are accessible to multilingual families through the routine provision of translated information, interpretation and inclusive communication practices.</w:t>
      </w:r>
    </w:p>
    <w:p w:rsidR="00841635" w:rsidRPr="00E8567C" w:rsidP="00955BBA">
      <w:pPr>
        <w:rPr>
          <w:rFonts w:ascii="Calibri" w:hAnsi="Calibri" w:cs="Calibri"/>
          <w:sz w:val="22"/>
          <w:szCs w:val="22"/>
        </w:rPr>
      </w:pPr>
    </w:p>
    <w:p w:rsidR="00841635" w:rsidRPr="00E8567C" w:rsidP="00955BBA">
      <w:pPr>
        <w:rPr>
          <w:rFonts w:ascii="Calibri" w:hAnsi="Calibri" w:cs="Calibri"/>
          <w:sz w:val="22"/>
          <w:szCs w:val="22"/>
        </w:rPr>
      </w:pPr>
    </w:p>
    <w:p w:rsidR="00841635" w:rsidRPr="00E8567C" w:rsidP="00955BBA">
      <w:pPr>
        <w:rPr>
          <w:rFonts w:ascii="Calibri" w:hAnsi="Calibri" w:cs="Calibri"/>
          <w:b/>
          <w:bCs/>
          <w:sz w:val="22"/>
          <w:szCs w:val="22"/>
        </w:rPr>
      </w:pPr>
      <w:r w:rsidRPr="00E8567C">
        <w:rPr>
          <w:rFonts w:ascii="Calibri" w:hAnsi="Calibri" w:cs="Calibri"/>
          <w:b/>
          <w:bCs/>
          <w:sz w:val="22"/>
          <w:szCs w:val="22"/>
        </w:rPr>
        <w:t>Workforce reforms</w:t>
      </w:r>
    </w:p>
    <w:p w:rsidR="00841635" w:rsidRPr="00E8567C" w:rsidP="00955BBA">
      <w:pPr>
        <w:rPr>
          <w:rFonts w:ascii="Calibri" w:hAnsi="Calibri" w:cs="Calibri"/>
          <w:sz w:val="22"/>
          <w:szCs w:val="22"/>
        </w:rPr>
      </w:pPr>
      <w:r w:rsidRPr="00E8567C">
        <w:rPr>
          <w:rFonts w:ascii="Calibri" w:hAnsi="Calibri" w:cs="Calibri"/>
          <w:sz w:val="22"/>
          <w:szCs w:val="22"/>
        </w:rPr>
        <w:t xml:space="preserve">Delivering the ambitions of </w:t>
      </w:r>
      <w:r w:rsidRPr="00E8567C">
        <w:rPr>
          <w:rFonts w:ascii="Calibri" w:hAnsi="Calibri" w:cs="Calibri"/>
          <w:sz w:val="22"/>
          <w:szCs w:val="22"/>
        </w:rPr>
        <w:t xml:space="preserve">the White Paper </w:t>
      </w:r>
      <w:r w:rsidRPr="00E8567C">
        <w:rPr>
          <w:rFonts w:ascii="Calibri" w:hAnsi="Calibri" w:cs="Calibri"/>
          <w:sz w:val="22"/>
          <w:szCs w:val="22"/>
        </w:rPr>
        <w:t>requires</w:t>
      </w:r>
      <w:r w:rsidRPr="00E8567C">
        <w:rPr>
          <w:rFonts w:ascii="Calibri" w:hAnsi="Calibri" w:cs="Calibri"/>
          <w:i/>
          <w:iCs/>
          <w:sz w:val="22"/>
          <w:szCs w:val="22"/>
        </w:rPr>
        <w:t xml:space="preserve"> </w:t>
      </w:r>
      <w:r w:rsidRPr="00E8567C">
        <w:rPr>
          <w:rFonts w:ascii="Calibri" w:hAnsi="Calibri" w:cs="Calibri"/>
          <w:sz w:val="22"/>
          <w:szCs w:val="22"/>
        </w:rPr>
        <w:t>a</w:t>
      </w:r>
      <w:r w:rsidRPr="00E8567C">
        <w:rPr>
          <w:rFonts w:ascii="Calibri" w:hAnsi="Calibri" w:cs="Calibri"/>
          <w:sz w:val="22"/>
          <w:szCs w:val="22"/>
        </w:rPr>
        <w:t xml:space="preserve"> workforce equipped to meet the needs of an increasingly multilingual pupil population. With </w:t>
      </w:r>
      <w:r w:rsidRPr="00E8567C">
        <w:rPr>
          <w:rFonts w:ascii="Calibri" w:hAnsi="Calibri" w:cs="Calibri"/>
          <w:sz w:val="22"/>
          <w:szCs w:val="22"/>
        </w:rPr>
        <w:t xml:space="preserve">21.6% of </w:t>
      </w:r>
      <w:r w:rsidRPr="00E8567C">
        <w:rPr>
          <w:rFonts w:ascii="Calibri" w:hAnsi="Calibri" w:cs="Calibri"/>
          <w:sz w:val="22"/>
          <w:szCs w:val="22"/>
        </w:rPr>
        <w:t xml:space="preserve">pupils </w:t>
      </w:r>
      <w:r w:rsidRPr="00E8567C">
        <w:rPr>
          <w:rFonts w:ascii="Calibri" w:hAnsi="Calibri" w:cs="Calibri"/>
          <w:sz w:val="22"/>
          <w:szCs w:val="22"/>
        </w:rPr>
        <w:t xml:space="preserve">using </w:t>
      </w:r>
      <w:r w:rsidRPr="00E8567C">
        <w:rPr>
          <w:rFonts w:ascii="Calibri" w:hAnsi="Calibri" w:cs="Calibri"/>
          <w:sz w:val="22"/>
          <w:szCs w:val="22"/>
        </w:rPr>
        <w:t>EAL,</w:t>
      </w:r>
      <w:r w:rsidRPr="00E8567C">
        <w:rPr>
          <w:rFonts w:ascii="Calibri" w:hAnsi="Calibri" w:cs="Calibri"/>
          <w:sz w:val="22"/>
          <w:szCs w:val="22"/>
        </w:rPr>
        <w:t xml:space="preserve"> w</w:t>
      </w:r>
      <w:r w:rsidRPr="00E8567C">
        <w:rPr>
          <w:rFonts w:ascii="Calibri" w:hAnsi="Calibri" w:cs="Calibri"/>
          <w:sz w:val="22"/>
          <w:szCs w:val="22"/>
        </w:rPr>
        <w:t>orkforce reform must therefore strengthen both recruitment and the capacity to support language development alongside curriculum access.</w:t>
      </w:r>
      <w:r>
        <w:rPr>
          <w:rStyle w:val="FootnoteReference"/>
          <w:rFonts w:ascii="Calibri" w:hAnsi="Calibri" w:cs="Calibri"/>
          <w:sz w:val="22"/>
          <w:szCs w:val="22"/>
        </w:rPr>
        <w:footnoteReference w:id="21"/>
      </w:r>
      <w:r w:rsidRPr="00E8567C">
        <w:rPr>
          <w:rFonts w:ascii="Calibri" w:hAnsi="Calibri" w:cs="Calibri"/>
          <w:sz w:val="22"/>
          <w:szCs w:val="22"/>
        </w:rPr>
        <w:t xml:space="preserve"> </w:t>
      </w:r>
    </w:p>
    <w:p w:rsidR="00841635" w:rsidRPr="00E8567C" w:rsidP="00955BBA">
      <w:pPr>
        <w:rPr>
          <w:rFonts w:ascii="Calibri" w:hAnsi="Calibri" w:cs="Calibri"/>
          <w:sz w:val="22"/>
          <w:szCs w:val="22"/>
        </w:rPr>
      </w:pPr>
      <w:r w:rsidRPr="00E8567C">
        <w:rPr>
          <w:rFonts w:ascii="Calibri" w:hAnsi="Calibri" w:cs="Calibri"/>
          <w:sz w:val="22"/>
          <w:szCs w:val="22"/>
        </w:rPr>
        <w:t>The D</w:t>
      </w:r>
      <w:r w:rsidRPr="00E8567C">
        <w:rPr>
          <w:rFonts w:ascii="Calibri" w:hAnsi="Calibri" w:cs="Calibri"/>
          <w:sz w:val="22"/>
          <w:szCs w:val="22"/>
        </w:rPr>
        <w:t>fE</w:t>
      </w:r>
      <w:r w:rsidRPr="00E8567C">
        <w:rPr>
          <w:rFonts w:ascii="Calibri" w:hAnsi="Calibri" w:cs="Calibri"/>
          <w:sz w:val="22"/>
          <w:szCs w:val="22"/>
        </w:rPr>
        <w:t xml:space="preserve">'s </w:t>
      </w:r>
      <w:r w:rsidRPr="00E8567C">
        <w:rPr>
          <w:rFonts w:ascii="Calibri" w:hAnsi="Calibri" w:cs="Calibri"/>
          <w:i/>
          <w:iCs/>
          <w:sz w:val="22"/>
          <w:szCs w:val="22"/>
        </w:rPr>
        <w:t>Working Lives of Teachers and Leaders</w:t>
      </w:r>
      <w:r w:rsidRPr="00E8567C">
        <w:rPr>
          <w:rFonts w:ascii="Calibri" w:hAnsi="Calibri" w:cs="Calibri"/>
          <w:sz w:val="22"/>
          <w:szCs w:val="22"/>
        </w:rPr>
        <w:t xml:space="preserve"> survey identifies workload and confidence in meeting pupil needs as key drivers of teacher retention and job satisfaction. Yet only 45% of Early Career Teachers report feeling prepared to teach effectively in multilingual classrooms.</w:t>
      </w:r>
      <w:r>
        <w:rPr>
          <w:rStyle w:val="FootnoteReference"/>
          <w:rFonts w:ascii="Calibri" w:hAnsi="Calibri" w:cs="Calibri"/>
          <w:sz w:val="22"/>
          <w:szCs w:val="22"/>
        </w:rPr>
        <w:footnoteReference w:id="22"/>
      </w:r>
      <w:r w:rsidRPr="00E8567C">
        <w:rPr>
          <w:rFonts w:ascii="Calibri" w:hAnsi="Calibri" w:cs="Calibri"/>
          <w:sz w:val="22"/>
          <w:szCs w:val="22"/>
        </w:rPr>
        <w:t xml:space="preserve"> OECD TALIS findings identify linguistically diverse classrooms as a professional development priority.</w:t>
      </w:r>
      <w:r>
        <w:rPr>
          <w:rStyle w:val="FootnoteReference"/>
          <w:rFonts w:ascii="Calibri" w:hAnsi="Calibri" w:cs="Calibri"/>
          <w:sz w:val="22"/>
          <w:szCs w:val="22"/>
        </w:rPr>
        <w:footnoteReference w:id="23"/>
      </w:r>
      <w:r w:rsidRPr="00E8567C">
        <w:rPr>
          <w:rFonts w:ascii="Calibri" w:hAnsi="Calibri" w:cs="Calibri"/>
          <w:sz w:val="22"/>
          <w:szCs w:val="22"/>
        </w:rPr>
        <w:t xml:space="preserve"> Together, this evidence highlights a gap between workforce expectations and classroom realities.</w:t>
      </w:r>
    </w:p>
    <w:p w:rsidR="00841635" w:rsidRPr="00E8567C" w:rsidP="00955BBA">
      <w:pPr>
        <w:rPr>
          <w:rFonts w:ascii="Calibri" w:hAnsi="Calibri" w:cs="Calibri"/>
          <w:sz w:val="22"/>
          <w:szCs w:val="22"/>
        </w:rPr>
      </w:pPr>
      <w:r w:rsidRPr="00E8567C">
        <w:rPr>
          <w:rFonts w:ascii="Calibri" w:hAnsi="Calibri" w:cs="Calibri"/>
          <w:sz w:val="22"/>
          <w:szCs w:val="22"/>
        </w:rPr>
        <w:t xml:space="preserve">Limited understanding of bilingual language development contributes to this challenge. Where staff lack confidence, English language acquisition may be mistaken for </w:t>
      </w:r>
      <w:r w:rsidRPr="00E8567C">
        <w:rPr>
          <w:rFonts w:ascii="Calibri" w:hAnsi="Calibri" w:cs="Calibri"/>
          <w:sz w:val="22"/>
          <w:szCs w:val="22"/>
        </w:rPr>
        <w:t>SEN</w:t>
      </w:r>
      <w:r w:rsidRPr="00E8567C">
        <w:rPr>
          <w:rFonts w:ascii="Calibri" w:hAnsi="Calibri" w:cs="Calibri"/>
          <w:sz w:val="22"/>
          <w:szCs w:val="22"/>
        </w:rPr>
        <w:t>,</w:t>
      </w:r>
      <w:r w:rsidRPr="00E8567C">
        <w:rPr>
          <w:rFonts w:ascii="Calibri" w:hAnsi="Calibri" w:cs="Calibri"/>
          <w:sz w:val="22"/>
          <w:szCs w:val="22"/>
        </w:rPr>
        <w:t xml:space="preserve"> </w:t>
      </w:r>
      <w:r w:rsidRPr="00E8567C">
        <w:rPr>
          <w:rFonts w:ascii="Calibri" w:hAnsi="Calibri" w:cs="Calibri"/>
          <w:sz w:val="22"/>
          <w:szCs w:val="22"/>
        </w:rPr>
        <w:t xml:space="preserve">while genuine underlying needs may also be overlooked. Evidence from The Bell Foundation shows that this contributes to inconsistent identification, assessment and provision for </w:t>
      </w:r>
      <w:r w:rsidRPr="00E8567C">
        <w:rPr>
          <w:rFonts w:ascii="Calibri" w:hAnsi="Calibri" w:cs="Calibri"/>
          <w:sz w:val="22"/>
          <w:szCs w:val="22"/>
        </w:rPr>
        <w:t>EAL</w:t>
      </w:r>
      <w:r w:rsidRPr="00E8567C">
        <w:rPr>
          <w:rFonts w:ascii="Calibri" w:hAnsi="Calibri" w:cs="Calibri"/>
          <w:sz w:val="22"/>
          <w:szCs w:val="22"/>
        </w:rPr>
        <w:t xml:space="preserve"> learners.</w:t>
      </w:r>
      <w:r>
        <w:rPr>
          <w:rStyle w:val="FootnoteReference"/>
          <w:rFonts w:ascii="Calibri" w:hAnsi="Calibri" w:cs="Calibri"/>
          <w:sz w:val="22"/>
          <w:szCs w:val="22"/>
        </w:rPr>
        <w:footnoteReference w:id="24"/>
      </w:r>
    </w:p>
    <w:p w:rsidR="00841635" w:rsidRPr="00E8567C" w:rsidP="00955BBA">
      <w:pPr>
        <w:rPr>
          <w:rFonts w:ascii="Calibri" w:hAnsi="Calibri" w:cs="Calibri"/>
          <w:sz w:val="22"/>
          <w:szCs w:val="22"/>
        </w:rPr>
      </w:pPr>
      <w:r w:rsidRPr="00E8567C">
        <w:rPr>
          <w:rFonts w:ascii="Calibri" w:hAnsi="Calibri" w:cs="Calibri"/>
          <w:sz w:val="22"/>
          <w:szCs w:val="22"/>
        </w:rPr>
        <w:t>Specialist EAL expertise improves assessment, staff confidence and decision-making, reducing unnecessary referrals and workload while strengthening provision.</w:t>
      </w:r>
      <w:r>
        <w:rPr>
          <w:rStyle w:val="FootnoteReference"/>
          <w:rFonts w:ascii="Calibri" w:hAnsi="Calibri" w:cs="Calibri"/>
          <w:sz w:val="22"/>
          <w:szCs w:val="22"/>
        </w:rPr>
        <w:footnoteReference w:id="25"/>
      </w:r>
      <w:r w:rsidRPr="00E8567C">
        <w:rPr>
          <w:rFonts w:ascii="Calibri" w:hAnsi="Calibri" w:cs="Calibri"/>
          <w:sz w:val="22"/>
          <w:szCs w:val="22"/>
        </w:rPr>
        <w:t xml:space="preserve"> </w:t>
      </w:r>
    </w:p>
    <w:p w:rsidR="00841635" w:rsidRPr="00E8567C" w:rsidP="00955BBA">
      <w:pPr>
        <w:rPr>
          <w:rFonts w:ascii="Calibri" w:hAnsi="Calibri" w:cs="Calibri"/>
          <w:sz w:val="22"/>
          <w:szCs w:val="22"/>
        </w:rPr>
      </w:pPr>
      <w:r w:rsidRPr="00E8567C">
        <w:rPr>
          <w:rFonts w:ascii="Calibri" w:hAnsi="Calibri" w:cs="Calibri"/>
          <w:sz w:val="22"/>
          <w:szCs w:val="22"/>
        </w:rPr>
        <w:t xml:space="preserve">As digital and AI tools become more widely used, workforce development should ensure their effective application with </w:t>
      </w:r>
      <w:r w:rsidRPr="00E8567C">
        <w:rPr>
          <w:rFonts w:ascii="Calibri" w:hAnsi="Calibri" w:cs="Calibri"/>
          <w:sz w:val="22"/>
          <w:szCs w:val="22"/>
        </w:rPr>
        <w:t xml:space="preserve">EAL </w:t>
      </w:r>
      <w:r w:rsidRPr="00E8567C">
        <w:rPr>
          <w:rFonts w:ascii="Calibri" w:hAnsi="Calibri" w:cs="Calibri"/>
          <w:sz w:val="22"/>
          <w:szCs w:val="22"/>
        </w:rPr>
        <w:t xml:space="preserve">learners. </w:t>
      </w:r>
      <w:r w:rsidRPr="00E8567C">
        <w:rPr>
          <w:rFonts w:ascii="Calibri" w:hAnsi="Calibri" w:cs="Calibri"/>
          <w:sz w:val="22"/>
          <w:szCs w:val="22"/>
        </w:rPr>
        <w:t>These technologies require professional oversight to minimise bias and support professional judgement</w:t>
      </w:r>
      <w:r w:rsidRPr="00E8567C">
        <w:rPr>
          <w:rFonts w:ascii="Calibri" w:hAnsi="Calibri" w:cs="Calibri"/>
          <w:sz w:val="22"/>
          <w:szCs w:val="22"/>
        </w:rPr>
        <w:t>.</w:t>
      </w:r>
      <w:r>
        <w:rPr>
          <w:rStyle w:val="FootnoteReference"/>
          <w:rFonts w:ascii="Calibri" w:hAnsi="Calibri" w:cs="Calibri"/>
          <w:sz w:val="22"/>
          <w:szCs w:val="22"/>
        </w:rPr>
        <w:footnoteReference w:id="26"/>
      </w:r>
    </w:p>
    <w:p w:rsidR="00841635" w:rsidRPr="00E8567C" w:rsidP="00955BBA">
      <w:pPr>
        <w:rPr>
          <w:rFonts w:ascii="Calibri" w:hAnsi="Calibri" w:cs="Calibri"/>
          <w:sz w:val="22"/>
          <w:szCs w:val="22"/>
        </w:rPr>
      </w:pPr>
      <w:r w:rsidRPr="00E8567C">
        <w:rPr>
          <w:rFonts w:ascii="Calibri" w:hAnsi="Calibri" w:cs="Calibri"/>
          <w:sz w:val="22"/>
          <w:szCs w:val="22"/>
        </w:rPr>
        <w:t>A secure understanding of language development is essential to improving equity, reducing unnecessary system burden and ensuring all children can access learning on fair terms.</w:t>
      </w:r>
    </w:p>
    <w:p w:rsidR="00841635" w:rsidRPr="00E8567C" w:rsidP="00955BBA">
      <w:pPr>
        <w:rPr>
          <w:rFonts w:ascii="Calibri" w:hAnsi="Calibri" w:cs="Calibri"/>
          <w:b/>
          <w:bCs/>
          <w:sz w:val="22"/>
          <w:szCs w:val="22"/>
        </w:rPr>
      </w:pPr>
      <w:r w:rsidRPr="00E8567C">
        <w:rPr>
          <w:rFonts w:ascii="Calibri" w:hAnsi="Calibri" w:cs="Calibri"/>
          <w:b/>
          <w:bCs/>
          <w:sz w:val="22"/>
          <w:szCs w:val="22"/>
        </w:rPr>
        <w:t>Recommendations</w:t>
      </w:r>
    </w:p>
    <w:p w:rsidR="00841635" w:rsidRPr="00E8567C" w:rsidP="00F82A89">
      <w:pPr>
        <w:pStyle w:val="ListParagraph"/>
        <w:numPr>
          <w:ilvl w:val="0"/>
          <w:numId w:val="9"/>
        </w:numPr>
        <w:rPr>
          <w:rFonts w:ascii="Calibri" w:hAnsi="Calibri" w:cs="Calibri"/>
          <w:sz w:val="22"/>
          <w:szCs w:val="22"/>
        </w:rPr>
      </w:pPr>
      <w:r w:rsidRPr="00E8567C">
        <w:rPr>
          <w:rFonts w:ascii="Calibri" w:hAnsi="Calibri" w:cs="Calibri"/>
          <w:sz w:val="22"/>
          <w:szCs w:val="22"/>
        </w:rPr>
        <w:t xml:space="preserve">Embed multilingualism, language development and effective use of English language proficiency assessment throughout teacher development reforms, including ITT, the ECF, NPQs and leadership development, strengthening teachers' capacity to support </w:t>
      </w:r>
      <w:r w:rsidRPr="00E8567C">
        <w:rPr>
          <w:rFonts w:ascii="Calibri" w:hAnsi="Calibri" w:cs="Calibri"/>
          <w:sz w:val="22"/>
          <w:szCs w:val="22"/>
        </w:rPr>
        <w:t xml:space="preserve">EAL </w:t>
      </w:r>
      <w:r w:rsidRPr="00E8567C">
        <w:rPr>
          <w:rFonts w:ascii="Calibri" w:hAnsi="Calibri" w:cs="Calibri"/>
          <w:sz w:val="22"/>
          <w:szCs w:val="22"/>
        </w:rPr>
        <w:t xml:space="preserve">learners and distinguish language acquisition from SEND. </w:t>
      </w:r>
    </w:p>
    <w:p w:rsidR="00841635" w:rsidRPr="00E8567C" w:rsidP="00F82A89">
      <w:pPr>
        <w:pStyle w:val="ListParagraph"/>
        <w:numPr>
          <w:ilvl w:val="0"/>
          <w:numId w:val="9"/>
        </w:numPr>
        <w:rPr>
          <w:rFonts w:ascii="Calibri" w:hAnsi="Calibri" w:cs="Calibri"/>
          <w:sz w:val="22"/>
          <w:szCs w:val="22"/>
        </w:rPr>
      </w:pPr>
      <w:r w:rsidRPr="00E8567C">
        <w:rPr>
          <w:rFonts w:ascii="Calibri" w:hAnsi="Calibri" w:cs="Calibri"/>
          <w:sz w:val="22"/>
          <w:szCs w:val="22"/>
        </w:rPr>
        <w:t>Strengthen workforce reforms by recognising specialist EAL expertise within national workforce planning, including school-based EAL leadership, bilingual staff and local authority EAL services, enabling schools to access consistent specialist support and build workforce confidence.</w:t>
      </w:r>
    </w:p>
    <w:p w:rsidR="00E8567C" w:rsidRPr="00E8567C" w:rsidP="00E8567C">
      <w:pPr>
        <w:rPr>
          <w:rFonts w:ascii="Calibri" w:hAnsi="Calibri" w:cs="Calibri"/>
          <w:sz w:val="22"/>
          <w:szCs w:val="22"/>
        </w:rPr>
      </w:pPr>
    </w:p>
    <w:p w:rsidR="00E8567C" w:rsidRPr="00E8567C" w:rsidP="00E8567C">
      <w:pPr>
        <w:rPr>
          <w:rFonts w:ascii="Calibri" w:hAnsi="Calibri" w:cs="Calibri"/>
          <w:sz w:val="22"/>
          <w:szCs w:val="22"/>
        </w:rPr>
      </w:pPr>
    </w:p>
    <w:p w:rsidR="00E8567C" w:rsidRPr="00E8567C" w:rsidP="00E8567C">
      <w:pPr>
        <w:rPr>
          <w:rFonts w:ascii="Calibri" w:hAnsi="Calibri" w:cs="Calibri"/>
          <w:i/>
          <w:iCs/>
          <w:sz w:val="22"/>
          <w:szCs w:val="22"/>
        </w:rPr>
      </w:pPr>
      <w:r w:rsidRPr="00E8567C">
        <w:rPr>
          <w:rFonts w:ascii="Calibri" w:hAnsi="Calibri" w:cs="Calibri"/>
          <w:i/>
          <w:iCs/>
          <w:sz w:val="22"/>
          <w:szCs w:val="22"/>
        </w:rPr>
        <w:t>September 2026</w:t>
      </w:r>
    </w:p>
    <w:p w:rsidR="00841635" w:rsidRPr="00E8567C" w:rsidP="0097312C">
      <w:pPr>
        <w:rPr>
          <w:rFonts w:ascii="Calibri" w:hAnsi="Calibri" w:cs="Calibri"/>
          <w:sz w:val="22"/>
          <w:szCs w:val="22"/>
        </w:rPr>
      </w:pPr>
    </w:p>
    <w:p w:rsidR="00841635" w:rsidRPr="00E8567C" w:rsidP="0097312C">
      <w:pPr>
        <w:rPr>
          <w:rFonts w:ascii="Calibri" w:hAnsi="Calibri" w:cs="Calibri"/>
          <w:i/>
          <w:iCs/>
          <w:sz w:val="22"/>
          <w:szCs w:val="22"/>
        </w:rPr>
      </w:pPr>
    </w:p>
    <w:p w:rsidR="00841635" w:rsidRPr="00E8567C">
      <w:pPr>
        <w:rPr>
          <w:rFonts w:ascii="Calibri" w:hAnsi="Calibri" w:cs="Calibri"/>
          <w:b/>
          <w:bCs/>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41635" w:rsidP="00485E36">
      <w:pPr>
        <w:spacing w:after="0" w:line="240" w:lineRule="auto"/>
      </w:pPr>
      <w:r>
        <w:separator/>
      </w:r>
    </w:p>
  </w:footnote>
  <w:footnote w:type="continuationSeparator" w:id="1">
    <w:p w:rsidR="00841635" w:rsidP="00485E36">
      <w:pPr>
        <w:spacing w:after="0" w:line="240" w:lineRule="auto"/>
      </w:pPr>
      <w:r>
        <w:continuationSeparator/>
      </w:r>
    </w:p>
  </w:footnote>
  <w:footnote w:id="2">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Steve Strand (2015; 2018); Steve Strand &amp; Ariel Lindorff (2021); Ariel Lindorff, Steve Strand &amp; Wayne Au (2025); The Bell Foundation (2025). Together this evidence demonstrates that English language proficiency is the strongest predictor of attainment for multilingual learners and supports the systematic assessment of English proficiency to identify need and inform teaching.</w:t>
      </w:r>
    </w:p>
  </w:footnote>
  <w:footnote w:id="3">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Lindorff, Strand &amp; Au (2025). National analysis demonstrates that English language proficiency explains more variation in attainment among multilingual learners than socioeconomic disadvantage, ethnicity or gender.</w:t>
      </w:r>
    </w:p>
  </w:footnote>
  <w:footnote w:id="4">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w:t>
      </w:r>
      <w:r w:rsidRPr="004A7C6D">
        <w:rPr>
          <w:rFonts w:ascii="Arial" w:hAnsi="Arial" w:cs="Arial"/>
          <w:sz w:val="16"/>
          <w:szCs w:val="16"/>
        </w:rPr>
        <w:t>See footnote 2</w:t>
      </w:r>
    </w:p>
  </w:footnote>
  <w:footnote w:id="5">
    <w:p w:rsidR="00841635">
      <w:pPr>
        <w:pStyle w:val="FootnoteText"/>
      </w:pPr>
      <w:r w:rsidRPr="004A7C6D">
        <w:rPr>
          <w:rStyle w:val="FootnoteReference"/>
          <w:rFonts w:ascii="Arial" w:hAnsi="Arial" w:cs="Arial"/>
          <w:sz w:val="16"/>
          <w:szCs w:val="16"/>
        </w:rPr>
        <w:footnoteRef/>
      </w:r>
      <w:r w:rsidRPr="004A7C6D">
        <w:rPr>
          <w:rFonts w:ascii="Arial" w:hAnsi="Arial" w:cs="Arial"/>
          <w:sz w:val="16"/>
          <w:szCs w:val="16"/>
        </w:rPr>
        <w:t xml:space="preserve"> </w:t>
      </w:r>
      <w:r w:rsidRPr="004A7C6D">
        <w:rPr>
          <w:rFonts w:ascii="Arial" w:hAnsi="Arial" w:cs="Arial"/>
          <w:sz w:val="16"/>
          <w:szCs w:val="16"/>
        </w:rPr>
        <w:t>See footnote 1</w:t>
      </w:r>
    </w:p>
  </w:footnote>
  <w:footnote w:id="6">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w:t>
      </w:r>
      <w:r w:rsidRPr="004A7C6D">
        <w:rPr>
          <w:rFonts w:ascii="Arial" w:hAnsi="Arial" w:cs="Arial"/>
          <w:sz w:val="16"/>
          <w:szCs w:val="16"/>
        </w:rPr>
        <w:t>Refugee Education UK (2023); Department for Education attendance statistics; The Bell Foundation evidence on multilingual learners. Together these sources show that attendance patterns vary considerably within the EAL population and that newly arrived and refugee-background pupils face particular barriers to regular attendance</w:t>
      </w:r>
    </w:p>
  </w:footnote>
  <w:footnote w:id="7">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w:t>
      </w:r>
      <w:r w:rsidRPr="004A7C6D">
        <w:rPr>
          <w:rFonts w:ascii="Arial" w:hAnsi="Arial" w:cs="Arial"/>
          <w:sz w:val="16"/>
          <w:szCs w:val="16"/>
        </w:rPr>
        <w:t>Organisation for Economic Co-operation and Development (2015). Research demonstrates that timely access to education, effective induction and inclusive school systems are important factors in successful participation and educational integration for migrant learners.</w:t>
      </w:r>
    </w:p>
  </w:footnote>
  <w:footnote w:id="8">
    <w:p w:rsidR="00841635">
      <w:pPr>
        <w:pStyle w:val="FootnoteText"/>
      </w:pPr>
      <w:r w:rsidRPr="004A7C6D">
        <w:rPr>
          <w:rStyle w:val="FootnoteReference"/>
          <w:rFonts w:ascii="Arial" w:hAnsi="Arial" w:cs="Arial"/>
          <w:sz w:val="16"/>
          <w:szCs w:val="16"/>
        </w:rPr>
        <w:footnoteRef/>
      </w:r>
      <w:r w:rsidRPr="004A7C6D">
        <w:rPr>
          <w:rFonts w:ascii="Arial" w:hAnsi="Arial" w:cs="Arial"/>
          <w:sz w:val="16"/>
          <w:szCs w:val="16"/>
        </w:rPr>
        <w:t xml:space="preserve"> See footnote 5</w:t>
      </w:r>
    </w:p>
  </w:footnote>
  <w:footnote w:id="9">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Sabine Little (2021); Jo McIntyre &amp; Kate Abrams (2021); Together this research demonstrates that recognising learners' identities, languages and lived experiences strengthens belonging, participation and wellbeing.</w:t>
      </w:r>
    </w:p>
  </w:footnote>
  <w:footnote w:id="10">
    <w:p w:rsidR="00841635" w:rsidRPr="004A7C6D" w:rsidP="004A7C6D">
      <w:pPr>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w:t>
      </w:r>
      <w:r w:rsidRPr="004A7C6D">
        <w:rPr>
          <w:rFonts w:ascii="Arial" w:hAnsi="Arial" w:cs="Arial"/>
          <w:sz w:val="16"/>
          <w:szCs w:val="16"/>
        </w:rPr>
        <w:t xml:space="preserve">Yongcan Liu (2023); Karen Forbes (2020; 2022); </w:t>
      </w:r>
      <w:r w:rsidRPr="004A7C6D">
        <w:rPr>
          <w:rFonts w:ascii="Arial" w:hAnsi="Arial" w:cs="Arial"/>
          <w:sz w:val="16"/>
          <w:szCs w:val="16"/>
        </w:rPr>
        <w:t xml:space="preserve">Michael </w:t>
      </w:r>
      <w:r w:rsidRPr="004A7C6D">
        <w:rPr>
          <w:rFonts w:ascii="Arial" w:hAnsi="Arial" w:cs="Arial"/>
          <w:sz w:val="16"/>
          <w:szCs w:val="16"/>
        </w:rPr>
        <w:t>Evans</w:t>
      </w:r>
      <w:r w:rsidRPr="004A7C6D">
        <w:rPr>
          <w:rFonts w:ascii="Arial" w:hAnsi="Arial" w:cs="Arial"/>
          <w:sz w:val="16"/>
          <w:szCs w:val="16"/>
        </w:rPr>
        <w:t xml:space="preserve"> et al. (20</w:t>
      </w:r>
      <w:r w:rsidRPr="004A7C6D">
        <w:rPr>
          <w:rFonts w:ascii="Arial" w:hAnsi="Arial" w:cs="Arial"/>
          <w:sz w:val="16"/>
          <w:szCs w:val="16"/>
        </w:rPr>
        <w:t>20</w:t>
      </w:r>
      <w:r w:rsidRPr="004A7C6D">
        <w:rPr>
          <w:rFonts w:ascii="Arial" w:hAnsi="Arial" w:cs="Arial"/>
          <w:sz w:val="16"/>
          <w:szCs w:val="16"/>
        </w:rPr>
        <w:t>); This body of work demonstrates that language development, participation and multilingual identity are mutually reinforcing, and that drawing on pupils' existing languages supports engagement and learning.</w:t>
      </w:r>
    </w:p>
  </w:footnote>
  <w:footnote w:id="11">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w:t>
      </w:r>
      <w:r w:rsidRPr="004A7C6D">
        <w:rPr>
          <w:rFonts w:ascii="Arial" w:hAnsi="Arial" w:cs="Arial"/>
          <w:sz w:val="16"/>
          <w:szCs w:val="16"/>
        </w:rPr>
        <w:t xml:space="preserve">Allen, K. A., et al. (2021). </w:t>
      </w:r>
      <w:r w:rsidRPr="004A7C6D">
        <w:rPr>
          <w:rFonts w:ascii="Arial" w:hAnsi="Arial" w:cs="Arial"/>
          <w:i/>
          <w:iCs/>
          <w:sz w:val="16"/>
          <w:szCs w:val="16"/>
        </w:rPr>
        <w:t>School belonging in adolescents: A systematic review.</w:t>
      </w:r>
      <w:r w:rsidRPr="004A7C6D">
        <w:rPr>
          <w:rFonts w:ascii="Arial" w:hAnsi="Arial" w:cs="Arial"/>
          <w:sz w:val="16"/>
          <w:szCs w:val="16"/>
        </w:rPr>
        <w:t xml:space="preserve"> Educational Psychology Review.</w:t>
      </w:r>
    </w:p>
  </w:footnote>
  <w:footnote w:id="12">
    <w:p w:rsidR="00841635" w:rsidRPr="004A7C6D" w:rsidP="005006A1">
      <w:pPr>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Lani Florian (2014; 2017); Education Endowment Foundation, </w:t>
      </w:r>
      <w:r w:rsidRPr="004A7C6D">
        <w:rPr>
          <w:rFonts w:ascii="Arial" w:hAnsi="Arial" w:cs="Arial"/>
          <w:i/>
          <w:iCs/>
          <w:sz w:val="16"/>
          <w:szCs w:val="16"/>
        </w:rPr>
        <w:t>Improving Behaviour in Schools</w:t>
      </w:r>
      <w:r w:rsidRPr="004A7C6D">
        <w:rPr>
          <w:rFonts w:ascii="Arial" w:hAnsi="Arial" w:cs="Arial"/>
          <w:sz w:val="16"/>
          <w:szCs w:val="16"/>
        </w:rPr>
        <w:t xml:space="preserve"> (2019); The Bell Foundation, </w:t>
      </w:r>
      <w:r w:rsidRPr="004A7C6D">
        <w:rPr>
          <w:rFonts w:ascii="Arial" w:hAnsi="Arial" w:cs="Arial"/>
          <w:i/>
          <w:iCs/>
          <w:sz w:val="16"/>
          <w:szCs w:val="16"/>
        </w:rPr>
        <w:t>EAL Assessment Framework</w:t>
      </w:r>
      <w:r w:rsidRPr="004A7C6D">
        <w:rPr>
          <w:rFonts w:ascii="Arial" w:hAnsi="Arial" w:cs="Arial"/>
          <w:sz w:val="16"/>
          <w:szCs w:val="16"/>
        </w:rPr>
        <w:t xml:space="preserve"> (2017). Together these sources support inclusive approaches that promote participation and highlight the importance of understanding English language development when interpreting pupils' engagement and behaviour.</w:t>
      </w:r>
    </w:p>
    <w:p w:rsidR="00841635">
      <w:pPr>
        <w:pStyle w:val="FootnoteText"/>
      </w:pPr>
    </w:p>
  </w:footnote>
  <w:footnote w:id="13">
    <w:p w:rsidR="00841635">
      <w:pPr>
        <w:pStyle w:val="FootnoteText"/>
      </w:pPr>
      <w:r>
        <w:rPr>
          <w:rStyle w:val="FootnoteReference"/>
        </w:rPr>
        <w:footnoteRef/>
      </w:r>
      <w:r>
        <w:t xml:space="preserve"> </w:t>
      </w:r>
      <w:r w:rsidRPr="004A7C6D">
        <w:rPr>
          <w:rFonts w:ascii="Arial" w:hAnsi="Arial" w:cs="Arial"/>
          <w:sz w:val="16"/>
          <w:szCs w:val="16"/>
        </w:rPr>
        <w:t>See footnote 2</w:t>
      </w:r>
    </w:p>
  </w:footnote>
  <w:footnote w:id="14">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w:t>
      </w:r>
      <w:r>
        <w:fldChar w:fldCharType="begin"/>
      </w:r>
      <w:r>
        <w:instrText xml:space="preserve"> HYPERLINK "https://epi.org.uk/publications-and-research/school-funding-allocations-2021-22/" </w:instrText>
      </w:r>
      <w:r>
        <w:fldChar w:fldCharType="separate"/>
      </w:r>
      <w:r w:rsidRPr="004A7C6D">
        <w:rPr>
          <w:rStyle w:val="Hyperlink"/>
          <w:rFonts w:ascii="Arial" w:hAnsi="Arial" w:cs="Arial"/>
          <w:sz w:val="16"/>
          <w:szCs w:val="16"/>
        </w:rPr>
        <w:t>Analysis: School funding allocations 2021-22 - Education Policy Institute</w:t>
      </w:r>
      <w:r>
        <w:fldChar w:fldCharType="end"/>
      </w:r>
    </w:p>
  </w:footnote>
  <w:footnote w:id="15">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Education Endowment Foundation. </w:t>
      </w:r>
      <w:r w:rsidRPr="004A7C6D">
        <w:rPr>
          <w:rFonts w:ascii="Arial" w:hAnsi="Arial" w:cs="Arial"/>
          <w:i/>
          <w:iCs/>
          <w:sz w:val="16"/>
          <w:szCs w:val="16"/>
        </w:rPr>
        <w:t>Teaching and Learning Toolkit</w:t>
      </w:r>
      <w:r w:rsidRPr="004A7C6D">
        <w:rPr>
          <w:rFonts w:ascii="Arial" w:hAnsi="Arial" w:cs="Arial"/>
          <w:sz w:val="16"/>
          <w:szCs w:val="16"/>
        </w:rPr>
        <w:t xml:space="preserve">; </w:t>
      </w:r>
      <w:r w:rsidRPr="004A7C6D">
        <w:rPr>
          <w:rFonts w:ascii="Arial" w:hAnsi="Arial" w:cs="Arial"/>
          <w:i/>
          <w:iCs/>
          <w:sz w:val="16"/>
          <w:szCs w:val="16"/>
        </w:rPr>
        <w:t>Improving Literacy in Secondary Schools</w:t>
      </w:r>
      <w:r w:rsidRPr="004A7C6D">
        <w:rPr>
          <w:rFonts w:ascii="Arial" w:hAnsi="Arial" w:cs="Arial"/>
          <w:sz w:val="16"/>
          <w:szCs w:val="16"/>
        </w:rPr>
        <w:t xml:space="preserve"> (2019); and </w:t>
      </w:r>
      <w:r w:rsidRPr="004A7C6D">
        <w:rPr>
          <w:rFonts w:ascii="Arial" w:hAnsi="Arial" w:cs="Arial"/>
          <w:i/>
          <w:iCs/>
          <w:sz w:val="16"/>
          <w:szCs w:val="16"/>
        </w:rPr>
        <w:t>A School's Guide to Implementation</w:t>
      </w:r>
      <w:r w:rsidRPr="004A7C6D">
        <w:rPr>
          <w:rFonts w:ascii="Arial" w:hAnsi="Arial" w:cs="Arial"/>
          <w:sz w:val="16"/>
          <w:szCs w:val="16"/>
        </w:rPr>
        <w:t xml:space="preserve"> (2019); together with The Bell Foundation guidance on effective EAL pedagogy and English proficiency assessment.</w:t>
      </w:r>
    </w:p>
  </w:footnote>
  <w:footnote w:id="16">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w:t>
      </w:r>
      <w:r w:rsidRPr="004A7C6D">
        <w:rPr>
          <w:rFonts w:ascii="Arial" w:hAnsi="Arial" w:cs="Arial"/>
          <w:sz w:val="16"/>
          <w:szCs w:val="16"/>
        </w:rPr>
        <w:t xml:space="preserve">Refugee Education UK (2023). </w:t>
      </w:r>
      <w:r w:rsidRPr="004A7C6D">
        <w:rPr>
          <w:rFonts w:ascii="Arial" w:hAnsi="Arial" w:cs="Arial"/>
          <w:i/>
          <w:iCs/>
          <w:sz w:val="16"/>
          <w:szCs w:val="16"/>
        </w:rPr>
        <w:t>Late Arrivals Research</w:t>
      </w:r>
      <w:r w:rsidRPr="004A7C6D">
        <w:rPr>
          <w:rFonts w:ascii="Arial" w:hAnsi="Arial" w:cs="Arial"/>
          <w:sz w:val="16"/>
          <w:szCs w:val="16"/>
        </w:rPr>
        <w:t>. This research documents the experiences of newly arrived children entering schools in England, highlighting delays in school placement, variation between local authorities, and the impact on educational access, language development and wellbeing.</w:t>
      </w:r>
    </w:p>
  </w:footnote>
  <w:footnote w:id="17">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Organisation for Economic Co-operation and Development (2015; 2018). </w:t>
      </w:r>
      <w:r w:rsidRPr="004A7C6D">
        <w:rPr>
          <w:rFonts w:ascii="Arial" w:hAnsi="Arial" w:cs="Arial"/>
          <w:i/>
          <w:iCs/>
          <w:sz w:val="16"/>
          <w:szCs w:val="16"/>
        </w:rPr>
        <w:t>Immigrant Students at School: Easing the Journey towards Integration</w:t>
      </w:r>
      <w:r w:rsidRPr="004A7C6D">
        <w:rPr>
          <w:rFonts w:ascii="Arial" w:hAnsi="Arial" w:cs="Arial"/>
          <w:sz w:val="16"/>
          <w:szCs w:val="16"/>
        </w:rPr>
        <w:t xml:space="preserve"> and related work on supporting migrant learners. These reports demonstrate that timely access to education is a key factor in successful educational and social integration.</w:t>
      </w:r>
    </w:p>
  </w:footnote>
  <w:footnote w:id="18">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w:t>
      </w:r>
      <w:r w:rsidRPr="004A7C6D">
        <w:rPr>
          <w:rFonts w:ascii="Arial" w:hAnsi="Arial" w:cs="Arial"/>
          <w:sz w:val="16"/>
          <w:szCs w:val="16"/>
        </w:rPr>
        <w:t xml:space="preserve">Education Endowment Foundation. </w:t>
      </w:r>
      <w:r w:rsidRPr="004A7C6D">
        <w:rPr>
          <w:rFonts w:ascii="Arial" w:hAnsi="Arial" w:cs="Arial"/>
          <w:i/>
          <w:iCs/>
          <w:sz w:val="16"/>
          <w:szCs w:val="16"/>
        </w:rPr>
        <w:t>Working with Parents to Support Children's Learning</w:t>
      </w:r>
      <w:r w:rsidRPr="004A7C6D">
        <w:rPr>
          <w:rFonts w:ascii="Arial" w:hAnsi="Arial" w:cs="Arial"/>
          <w:sz w:val="16"/>
          <w:szCs w:val="16"/>
        </w:rPr>
        <w:t xml:space="preserve"> (2018) and the </w:t>
      </w:r>
      <w:r w:rsidRPr="004A7C6D">
        <w:rPr>
          <w:rFonts w:ascii="Arial" w:hAnsi="Arial" w:cs="Arial"/>
          <w:i/>
          <w:iCs/>
          <w:sz w:val="16"/>
          <w:szCs w:val="16"/>
        </w:rPr>
        <w:t>Teaching and Learning Toolkit</w:t>
      </w:r>
      <w:r w:rsidRPr="004A7C6D">
        <w:rPr>
          <w:rFonts w:ascii="Arial" w:hAnsi="Arial" w:cs="Arial"/>
          <w:sz w:val="16"/>
          <w:szCs w:val="16"/>
        </w:rPr>
        <w:t xml:space="preserve"> (Parental Engagement), which identify effective parental engagement as an important contributor to improved educational outcomes.</w:t>
      </w:r>
    </w:p>
  </w:footnote>
  <w:footnote w:id="19">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See footnote 14</w:t>
      </w:r>
    </w:p>
  </w:footnote>
  <w:footnote w:id="20">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See footnote 13</w:t>
      </w:r>
    </w:p>
  </w:footnote>
  <w:footnote w:id="21">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w:t>
      </w:r>
      <w:r w:rsidRPr="004A7C6D">
        <w:rPr>
          <w:rFonts w:ascii="Arial" w:hAnsi="Arial" w:cs="Arial"/>
          <w:sz w:val="16"/>
          <w:szCs w:val="16"/>
        </w:rPr>
        <w:t xml:space="preserve">Department for Education (2025) </w:t>
      </w:r>
      <w:r w:rsidRPr="004A7C6D">
        <w:rPr>
          <w:rFonts w:ascii="Arial" w:hAnsi="Arial" w:cs="Arial"/>
          <w:i/>
          <w:iCs/>
          <w:sz w:val="16"/>
          <w:szCs w:val="16"/>
        </w:rPr>
        <w:t>School pupil characteristics statistics: language and EAL prevalence data</w:t>
      </w:r>
      <w:r w:rsidRPr="004A7C6D">
        <w:rPr>
          <w:rFonts w:ascii="Arial" w:hAnsi="Arial" w:cs="Arial"/>
          <w:sz w:val="16"/>
          <w:szCs w:val="16"/>
        </w:rPr>
        <w:t>.</w:t>
      </w:r>
    </w:p>
  </w:footnote>
  <w:footnote w:id="22">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Department for Education (2024) </w:t>
      </w:r>
      <w:r w:rsidRPr="004A7C6D">
        <w:rPr>
          <w:rFonts w:ascii="Arial" w:hAnsi="Arial" w:cs="Arial"/>
          <w:i/>
          <w:iCs/>
          <w:sz w:val="16"/>
          <w:szCs w:val="16"/>
        </w:rPr>
        <w:t>Working Lives of Teachers and Leaders: Wave 4</w:t>
      </w:r>
      <w:r w:rsidRPr="004A7C6D">
        <w:rPr>
          <w:rFonts w:ascii="Arial" w:hAnsi="Arial" w:cs="Arial"/>
          <w:sz w:val="16"/>
          <w:szCs w:val="16"/>
        </w:rPr>
        <w:t xml:space="preserve">. Page 111, Figure 10.1. </w:t>
      </w:r>
      <w:r>
        <w:fldChar w:fldCharType="begin"/>
      </w:r>
      <w:r>
        <w:instrText xml:space="preserve"> HYPERLINK "https://www.gov.uk/government/publications/working-lives-of-teachers-and-leaders-wave-4" </w:instrText>
      </w:r>
      <w:r>
        <w:fldChar w:fldCharType="separate"/>
      </w:r>
      <w:r w:rsidRPr="004A7C6D">
        <w:rPr>
          <w:rStyle w:val="Hyperlink"/>
          <w:rFonts w:ascii="Arial" w:hAnsi="Arial" w:cs="Arial"/>
          <w:sz w:val="16"/>
          <w:szCs w:val="16"/>
        </w:rPr>
        <w:t>https://www.gov.uk/government/publications/working-lives-of-teachers-and-leaders-wave-4</w:t>
      </w:r>
      <w:r>
        <w:fldChar w:fldCharType="end"/>
      </w:r>
    </w:p>
  </w:footnote>
  <w:footnote w:id="23">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OECD (2018) </w:t>
      </w:r>
      <w:r w:rsidRPr="004A7C6D">
        <w:rPr>
          <w:rFonts w:ascii="Arial" w:hAnsi="Arial" w:cs="Arial"/>
          <w:i/>
          <w:iCs/>
          <w:sz w:val="16"/>
          <w:szCs w:val="16"/>
        </w:rPr>
        <w:t>Teaching and Learning International Survey (TALIS)</w:t>
      </w:r>
      <w:r w:rsidRPr="004A7C6D">
        <w:rPr>
          <w:rFonts w:ascii="Arial" w:hAnsi="Arial" w:cs="Arial"/>
          <w:sz w:val="16"/>
          <w:szCs w:val="16"/>
        </w:rPr>
        <w:t>, Volume I: Teachers and School Leaders as Lifelong Learners.</w:t>
      </w:r>
    </w:p>
  </w:footnote>
  <w:footnote w:id="24">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The Bell Foundation (2023–2025) </w:t>
      </w:r>
      <w:r w:rsidRPr="004A7C6D">
        <w:rPr>
          <w:rFonts w:ascii="Arial" w:hAnsi="Arial" w:cs="Arial"/>
          <w:i/>
          <w:iCs/>
          <w:sz w:val="16"/>
          <w:szCs w:val="16"/>
        </w:rPr>
        <w:t>EAL, multilingualism and SEND evidence base and guidance</w:t>
      </w:r>
      <w:r w:rsidRPr="004A7C6D">
        <w:rPr>
          <w:rFonts w:ascii="Arial" w:hAnsi="Arial" w:cs="Arial"/>
          <w:sz w:val="16"/>
          <w:szCs w:val="16"/>
        </w:rPr>
        <w:t xml:space="preserve">. </w:t>
      </w:r>
      <w:r>
        <w:fldChar w:fldCharType="begin"/>
      </w:r>
      <w:r>
        <w:instrText xml:space="preserve"> HYPERLINK "https://www.bell-foundation.org.uk/eal-send-guidance" \t "_new" </w:instrText>
      </w:r>
      <w:r>
        <w:fldChar w:fldCharType="separate"/>
      </w:r>
      <w:r w:rsidRPr="004A7C6D">
        <w:rPr>
          <w:rStyle w:val="Hyperlink"/>
          <w:rFonts w:ascii="Arial" w:hAnsi="Arial" w:cs="Arial"/>
          <w:sz w:val="16"/>
          <w:szCs w:val="16"/>
        </w:rPr>
        <w:t>https://www.bell-foundation.org.uk/eal-send-guidance</w:t>
      </w:r>
      <w:r>
        <w:fldChar w:fldCharType="end"/>
      </w:r>
    </w:p>
  </w:footnote>
  <w:footnote w:id="25">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See footnote 21</w:t>
      </w:r>
    </w:p>
  </w:footnote>
  <w:footnote w:id="26">
    <w:p w:rsidR="00841635" w:rsidRPr="004A7C6D">
      <w:pPr>
        <w:pStyle w:val="FootnoteText"/>
        <w:rPr>
          <w:rFonts w:ascii="Arial" w:hAnsi="Arial" w:cs="Arial"/>
          <w:sz w:val="16"/>
          <w:szCs w:val="16"/>
        </w:rPr>
      </w:pPr>
      <w:r w:rsidRPr="004A7C6D">
        <w:rPr>
          <w:rStyle w:val="FootnoteReference"/>
          <w:rFonts w:ascii="Arial" w:hAnsi="Arial" w:cs="Arial"/>
          <w:sz w:val="16"/>
          <w:szCs w:val="16"/>
        </w:rPr>
        <w:footnoteRef/>
      </w:r>
      <w:r w:rsidRPr="004A7C6D">
        <w:rPr>
          <w:rFonts w:ascii="Arial" w:hAnsi="Arial" w:cs="Arial"/>
          <w:sz w:val="16"/>
          <w:szCs w:val="16"/>
        </w:rPr>
        <w:t xml:space="preserve"> </w:t>
      </w:r>
      <w:r w:rsidRPr="004A7C6D">
        <w:rPr>
          <w:rFonts w:ascii="Arial" w:hAnsi="Arial" w:cs="Arial"/>
          <w:sz w:val="16"/>
          <w:szCs w:val="16"/>
        </w:rPr>
        <w:t>Bell Foundation</w:t>
      </w:r>
      <w:r w:rsidRPr="004A7C6D">
        <w:rPr>
          <w:rFonts w:ascii="Arial" w:hAnsi="Arial" w:cs="Arial"/>
          <w:sz w:val="16"/>
          <w:szCs w:val="16"/>
        </w:rPr>
        <w:t xml:space="preserve"> (2026)</w:t>
      </w:r>
      <w:r w:rsidRPr="004A7C6D">
        <w:rPr>
          <w:rFonts w:ascii="Arial" w:hAnsi="Arial" w:cs="Arial"/>
          <w:sz w:val="16"/>
          <w:szCs w:val="16"/>
        </w:rPr>
        <w:t xml:space="preserve"> </w:t>
      </w:r>
      <w:r w:rsidRPr="004A7C6D">
        <w:rPr>
          <w:rFonts w:ascii="Arial" w:hAnsi="Arial" w:cs="Arial"/>
          <w:i/>
          <w:iCs/>
          <w:sz w:val="16"/>
          <w:szCs w:val="16"/>
        </w:rPr>
        <w:t>Gener</w:t>
      </w:r>
      <w:r w:rsidRPr="004A7C6D">
        <w:rPr>
          <w:rFonts w:ascii="Arial" w:hAnsi="Arial" w:cs="Arial"/>
          <w:i/>
          <w:iCs/>
          <w:sz w:val="16"/>
          <w:szCs w:val="16"/>
        </w:rPr>
        <w:t xml:space="preserve">ative AI </w:t>
      </w:r>
      <w:r w:rsidRPr="004A7C6D">
        <w:rPr>
          <w:rFonts w:ascii="Arial" w:hAnsi="Arial" w:cs="Arial"/>
          <w:i/>
          <w:iCs/>
          <w:sz w:val="16"/>
          <w:szCs w:val="16"/>
        </w:rPr>
        <w:t>in Education – Call for Evidence</w:t>
      </w:r>
      <w:r w:rsidRPr="004A7C6D">
        <w:rPr>
          <w:rFonts w:ascii="Arial" w:hAnsi="Arial" w:cs="Arial"/>
          <w:i/>
          <w:iCs/>
          <w:sz w:val="16"/>
          <w:szCs w:val="16"/>
        </w:rPr>
        <w:t xml:space="preserve"> </w:t>
      </w:r>
      <w:r>
        <w:fldChar w:fldCharType="begin"/>
      </w:r>
      <w:r>
        <w:instrText xml:space="preserve"> HYPERLINK "https://www.bell-foundation.org.uk/our-work/with-schools/policy/generative-artificial-intelligence-in-education-call-for-evidence/" </w:instrText>
      </w:r>
      <w:r>
        <w:fldChar w:fldCharType="separate"/>
      </w:r>
      <w:r w:rsidRPr="004A7C6D">
        <w:rPr>
          <w:rStyle w:val="Hyperlink"/>
          <w:rFonts w:ascii="Arial" w:hAnsi="Arial" w:cs="Arial"/>
          <w:i/>
          <w:iCs/>
          <w:sz w:val="16"/>
          <w:szCs w:val="16"/>
        </w:rPr>
        <w:t>Generative Artificial Intelligence in Education - Call for Evidence - The Bell Foundation</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1F026C"/>
    <w:multiLevelType w:val="multilevel"/>
    <w:tmpl w:val="1B58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E58F0"/>
    <w:multiLevelType w:val="multilevel"/>
    <w:tmpl w:val="4E80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06556A"/>
    <w:multiLevelType w:val="multilevel"/>
    <w:tmpl w:val="39E4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EB59EC"/>
    <w:multiLevelType w:val="multilevel"/>
    <w:tmpl w:val="0A00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616664"/>
    <w:multiLevelType w:val="multilevel"/>
    <w:tmpl w:val="A000B0B8"/>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nsid w:val="2B6329D0"/>
    <w:multiLevelType w:val="hybridMultilevel"/>
    <w:tmpl w:val="7E7E22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6133A29"/>
    <w:multiLevelType w:val="hybridMultilevel"/>
    <w:tmpl w:val="C2D62B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9DC5B36"/>
    <w:multiLevelType w:val="multilevel"/>
    <w:tmpl w:val="E2B2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146FD2"/>
    <w:multiLevelType w:val="multilevel"/>
    <w:tmpl w:val="49083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01137A"/>
    <w:multiLevelType w:val="multilevel"/>
    <w:tmpl w:val="BB96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321AD5"/>
    <w:multiLevelType w:val="hybridMultilevel"/>
    <w:tmpl w:val="4C084FAA"/>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11">
    <w:nsid w:val="55DD3980"/>
    <w:multiLevelType w:val="multilevel"/>
    <w:tmpl w:val="3668B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61B46F14"/>
    <w:multiLevelType w:val="hybridMultilevel"/>
    <w:tmpl w:val="82F8FD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9036906"/>
    <w:multiLevelType w:val="multilevel"/>
    <w:tmpl w:val="CA84A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9EE2431"/>
    <w:multiLevelType w:val="multilevel"/>
    <w:tmpl w:val="53FC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CB0697"/>
    <w:multiLevelType w:val="hybridMultilevel"/>
    <w:tmpl w:val="187CAA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2"/>
  </w:num>
  <w:num w:numId="4">
    <w:abstractNumId w:val="9"/>
  </w:num>
  <w:num w:numId="5">
    <w:abstractNumId w:val="0"/>
  </w:num>
  <w:num w:numId="6">
    <w:abstractNumId w:val="14"/>
  </w:num>
  <w:num w:numId="7">
    <w:abstractNumId w:val="1"/>
  </w:num>
  <w:num w:numId="8">
    <w:abstractNumId w:val="3"/>
  </w:num>
  <w:num w:numId="9">
    <w:abstractNumId w:val="6"/>
  </w:num>
  <w:num w:numId="10">
    <w:abstractNumId w:val="15"/>
  </w:num>
  <w:num w:numId="11">
    <w:abstractNumId w:val="7"/>
  </w:num>
  <w:num w:numId="12">
    <w:abstractNumId w:val="5"/>
  </w:num>
  <w:num w:numId="13">
    <w:abstractNumId w:val="12"/>
  </w:num>
  <w:num w:numId="14">
    <w:abstractNumId w:val="10"/>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955B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5B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5B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B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5B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5B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B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B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B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B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B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B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B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B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B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B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B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BBA"/>
    <w:rPr>
      <w:rFonts w:eastAsiaTheme="majorEastAsia" w:cstheme="majorBidi"/>
      <w:color w:val="272727" w:themeColor="text1" w:themeTint="D8"/>
    </w:rPr>
  </w:style>
  <w:style w:type="paragraph" w:styleId="Title">
    <w:name w:val="Title"/>
    <w:basedOn w:val="Normal"/>
    <w:next w:val="Normal"/>
    <w:link w:val="TitleChar"/>
    <w:uiPriority w:val="10"/>
    <w:qFormat/>
    <w:rsid w:val="00955B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B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B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B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BBA"/>
    <w:pPr>
      <w:spacing w:before="160"/>
      <w:jc w:val="center"/>
    </w:pPr>
    <w:rPr>
      <w:i/>
      <w:iCs/>
      <w:color w:val="404040" w:themeColor="text1" w:themeTint="BF"/>
    </w:rPr>
  </w:style>
  <w:style w:type="character" w:customStyle="1" w:styleId="QuoteChar">
    <w:name w:val="Quote Char"/>
    <w:basedOn w:val="DefaultParagraphFont"/>
    <w:link w:val="Quote"/>
    <w:uiPriority w:val="29"/>
    <w:rsid w:val="00955BBA"/>
    <w:rPr>
      <w:i/>
      <w:iCs/>
      <w:color w:val="404040" w:themeColor="text1" w:themeTint="BF"/>
    </w:rPr>
  </w:style>
  <w:style w:type="paragraph" w:styleId="ListParagraph">
    <w:name w:val="List Paragraph"/>
    <w:basedOn w:val="Normal"/>
    <w:uiPriority w:val="34"/>
    <w:qFormat/>
    <w:rsid w:val="00955BBA"/>
    <w:pPr>
      <w:ind w:left="720"/>
      <w:contextualSpacing/>
    </w:pPr>
  </w:style>
  <w:style w:type="character" w:styleId="IntenseEmphasis">
    <w:name w:val="Intense Emphasis"/>
    <w:basedOn w:val="DefaultParagraphFont"/>
    <w:uiPriority w:val="21"/>
    <w:qFormat/>
    <w:rsid w:val="00955BBA"/>
    <w:rPr>
      <w:i/>
      <w:iCs/>
      <w:color w:val="0F4761" w:themeColor="accent1" w:themeShade="BF"/>
    </w:rPr>
  </w:style>
  <w:style w:type="paragraph" w:styleId="IntenseQuote">
    <w:name w:val="Intense Quote"/>
    <w:basedOn w:val="Normal"/>
    <w:next w:val="Normal"/>
    <w:link w:val="IntenseQuoteChar"/>
    <w:uiPriority w:val="30"/>
    <w:qFormat/>
    <w:rsid w:val="00955B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BBA"/>
    <w:rPr>
      <w:i/>
      <w:iCs/>
      <w:color w:val="0F4761" w:themeColor="accent1" w:themeShade="BF"/>
    </w:rPr>
  </w:style>
  <w:style w:type="character" w:styleId="IntenseReference">
    <w:name w:val="Intense Reference"/>
    <w:basedOn w:val="DefaultParagraphFont"/>
    <w:uiPriority w:val="32"/>
    <w:qFormat/>
    <w:rsid w:val="00955BBA"/>
    <w:rPr>
      <w:b/>
      <w:bCs/>
      <w:smallCaps/>
      <w:color w:val="0F4761" w:themeColor="accent1" w:themeShade="BF"/>
      <w:spacing w:val="5"/>
    </w:rPr>
  </w:style>
  <w:style w:type="character" w:styleId="Hyperlink">
    <w:name w:val="Hyperlink"/>
    <w:basedOn w:val="DefaultParagraphFont"/>
    <w:uiPriority w:val="99"/>
    <w:unhideWhenUsed/>
    <w:rsid w:val="0097312C"/>
    <w:rPr>
      <w:color w:val="467886" w:themeColor="hyperlink"/>
      <w:u w:val="single"/>
    </w:rPr>
  </w:style>
  <w:style w:type="character" w:styleId="CommentReference">
    <w:name w:val="annotation reference"/>
    <w:basedOn w:val="DefaultParagraphFont"/>
    <w:uiPriority w:val="99"/>
    <w:semiHidden/>
    <w:unhideWhenUsed/>
    <w:rsid w:val="00371DF5"/>
    <w:rPr>
      <w:sz w:val="16"/>
      <w:szCs w:val="16"/>
    </w:rPr>
  </w:style>
  <w:style w:type="paragraph" w:styleId="CommentText">
    <w:name w:val="annotation text"/>
    <w:basedOn w:val="Normal"/>
    <w:link w:val="CommentTextChar"/>
    <w:uiPriority w:val="99"/>
    <w:unhideWhenUsed/>
    <w:rsid w:val="00371DF5"/>
    <w:pPr>
      <w:spacing w:line="240" w:lineRule="auto"/>
    </w:pPr>
    <w:rPr>
      <w:sz w:val="20"/>
      <w:szCs w:val="20"/>
    </w:rPr>
  </w:style>
  <w:style w:type="character" w:customStyle="1" w:styleId="CommentTextChar">
    <w:name w:val="Comment Text Char"/>
    <w:basedOn w:val="DefaultParagraphFont"/>
    <w:link w:val="CommentText"/>
    <w:uiPriority w:val="99"/>
    <w:rsid w:val="00371DF5"/>
    <w:rPr>
      <w:sz w:val="20"/>
      <w:szCs w:val="20"/>
    </w:rPr>
  </w:style>
  <w:style w:type="paragraph" w:styleId="CommentSubject">
    <w:name w:val="annotation subject"/>
    <w:basedOn w:val="CommentText"/>
    <w:next w:val="CommentText"/>
    <w:link w:val="CommentSubjectChar"/>
    <w:uiPriority w:val="99"/>
    <w:semiHidden/>
    <w:unhideWhenUsed/>
    <w:rsid w:val="00371DF5"/>
    <w:rPr>
      <w:b/>
      <w:bCs/>
    </w:rPr>
  </w:style>
  <w:style w:type="character" w:customStyle="1" w:styleId="CommentSubjectChar">
    <w:name w:val="Comment Subject Char"/>
    <w:basedOn w:val="CommentTextChar"/>
    <w:link w:val="CommentSubject"/>
    <w:uiPriority w:val="99"/>
    <w:semiHidden/>
    <w:rsid w:val="00371DF5"/>
    <w:rPr>
      <w:b/>
      <w:bCs/>
      <w:sz w:val="20"/>
      <w:szCs w:val="20"/>
    </w:rPr>
  </w:style>
  <w:style w:type="character" w:customStyle="1" w:styleId="UnresolvedMention1">
    <w:name w:val="Unresolved Mention1"/>
    <w:basedOn w:val="DefaultParagraphFont"/>
    <w:uiPriority w:val="99"/>
    <w:semiHidden/>
    <w:unhideWhenUsed/>
    <w:rsid w:val="000A60BB"/>
    <w:rPr>
      <w:color w:val="605E5C"/>
      <w:shd w:val="clear" w:color="auto" w:fill="E1DFDD"/>
    </w:rPr>
  </w:style>
  <w:style w:type="paragraph" w:styleId="FootnoteText">
    <w:name w:val="footnote text"/>
    <w:basedOn w:val="Normal"/>
    <w:link w:val="FootnoteTextChar"/>
    <w:uiPriority w:val="99"/>
    <w:semiHidden/>
    <w:unhideWhenUsed/>
    <w:rsid w:val="00485E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5E36"/>
    <w:rPr>
      <w:sz w:val="20"/>
      <w:szCs w:val="20"/>
    </w:rPr>
  </w:style>
  <w:style w:type="character" w:styleId="FootnoteReference">
    <w:name w:val="footnote reference"/>
    <w:basedOn w:val="DefaultParagraphFont"/>
    <w:uiPriority w:val="99"/>
    <w:semiHidden/>
    <w:unhideWhenUsed/>
    <w:rsid w:val="00485E36"/>
    <w:rPr>
      <w:vertAlign w:val="superscript"/>
    </w:rPr>
  </w:style>
  <w:style w:type="paragraph" w:styleId="Header">
    <w:name w:val="header"/>
    <w:basedOn w:val="Normal"/>
    <w:link w:val="HeaderChar"/>
    <w:uiPriority w:val="99"/>
    <w:semiHidden/>
    <w:unhideWhenUsed/>
    <w:rsid w:val="005000D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000D1"/>
  </w:style>
  <w:style w:type="paragraph" w:styleId="Footer">
    <w:name w:val="footer"/>
    <w:basedOn w:val="Normal"/>
    <w:link w:val="FooterChar"/>
    <w:uiPriority w:val="99"/>
    <w:semiHidden/>
    <w:unhideWhenUsed/>
    <w:rsid w:val="005000D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000D1"/>
  </w:style>
  <w:style w:type="character" w:styleId="FollowedHyperlink">
    <w:name w:val="FollowedHyperlink"/>
    <w:basedOn w:val="DefaultParagraphFont"/>
    <w:uiPriority w:val="99"/>
    <w:semiHidden/>
    <w:unhideWhenUsed/>
    <w:rsid w:val="00BB4BEE"/>
    <w:rPr>
      <w:color w:val="96607D" w:themeColor="followedHyperlink"/>
      <w:u w:val="single"/>
    </w:rPr>
  </w:style>
  <w:style w:type="paragraph" w:styleId="Revision">
    <w:name w:val="Revision"/>
    <w:hidden/>
    <w:uiPriority w:val="99"/>
    <w:semiHidden/>
    <w:rsid w:val="00BB4BEE"/>
    <w:pPr>
      <w:spacing w:after="0" w:line="240" w:lineRule="auto"/>
    </w:pPr>
  </w:style>
  <w:style w:type="character" w:customStyle="1" w:styleId="Mention1">
    <w:name w:val="Mention1"/>
    <w:basedOn w:val="DefaultParagraphFont"/>
    <w:uiPriority w:val="99"/>
    <w:unhideWhenUsed/>
    <w:rsid w:val="007C0F6B"/>
    <w:rPr>
      <w:color w:val="2B579A"/>
      <w:shd w:val="clear" w:color="auto" w:fill="E1DFDD"/>
    </w:rPr>
  </w:style>
  <w:style w:type="paragraph" w:styleId="EndnoteText">
    <w:name w:val="endnote text"/>
    <w:basedOn w:val="Normal"/>
    <w:link w:val="EndnoteTextChar"/>
    <w:uiPriority w:val="99"/>
    <w:semiHidden/>
    <w:unhideWhenUsed/>
    <w:rsid w:val="00D0551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0551C"/>
    <w:rPr>
      <w:sz w:val="20"/>
      <w:szCs w:val="20"/>
    </w:rPr>
  </w:style>
  <w:style w:type="character" w:styleId="EndnoteReference">
    <w:name w:val="endnote reference"/>
    <w:basedOn w:val="DefaultParagraphFont"/>
    <w:uiPriority w:val="99"/>
    <w:semiHidden/>
    <w:unhideWhenUsed/>
    <w:rsid w:val="00D055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FDACD269452A4295C1763A3A0137C4" ma:contentTypeVersion="10" ma:contentTypeDescription="Create a new document." ma:contentTypeScope="" ma:versionID="ec7ba91b52631b2a4a798f35672310b8">
  <xsd:schema xmlns:xsd="http://www.w3.org/2001/XMLSchema" xmlns:xs="http://www.w3.org/2001/XMLSchema" xmlns:p="http://schemas.microsoft.com/office/2006/metadata/properties" xmlns:ns2="812d8eb1-b0a6-41fc-a4a7-c82664e205db" xmlns:ns3="4792f64d-3483-4bfd-a8dd-90820385f9c5" targetNamespace="http://schemas.microsoft.com/office/2006/metadata/properties" ma:root="true" ma:fieldsID="76004d5fe59e6bbbdf70acae0c34b272" ns2:_="" ns3:_="">
    <xsd:import namespace="812d8eb1-b0a6-41fc-a4a7-c82664e205db"/>
    <xsd:import namespace="4792f64d-3483-4bfd-a8dd-90820385f9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2d8eb1-b0a6-41fc-a4a7-c82664e205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92f64d-3483-4bfd-a8dd-90820385f9c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BD5441-3D2A-4C2D-B9EA-7D688283C2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5B0B53-0A89-4CF5-8F8A-CA9CC26A7B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2d8eb1-b0a6-41fc-a4a7-c82664e205db"/>
    <ds:schemaRef ds:uri="4792f64d-3483-4bfd-a8dd-90820385f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D4F2F4-7C70-4A40-97BE-D83C5E1E520E}">
  <ds:schemaRefs>
    <ds:schemaRef ds:uri="http://schemas.openxmlformats.org/officeDocument/2006/bibliography"/>
  </ds:schemaRefs>
</ds:datastoreItem>
</file>

<file path=customXml/itemProps4.xml><?xml version="1.0" encoding="utf-8"?>
<ds:datastoreItem xmlns:ds="http://schemas.openxmlformats.org/officeDocument/2006/customXml" ds:itemID="{8571C8F9-1A26-46CC-9D0F-E149716C4EB4}">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ECA0115</dc:title>
  <cp:revision>0</cp:revision>
</cp:coreProperties>
</file>