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0255" w:rsidRPr="00D30255" w:rsidP="00D30255">
      <w:pPr>
        <w:pStyle w:val="Heading3"/>
        <w:keepNext w:val="0"/>
        <w:keepLines w:val="0"/>
        <w:spacing w:before="280"/>
        <w:jc w:val="center"/>
        <w:rPr>
          <w:rFonts w:ascii="Calibri" w:eastAsia="Source Sans Pro" w:hAnsi="Calibri" w:cs="Calibri"/>
          <w:b/>
          <w:bCs/>
          <w:color w:val="000000"/>
          <w:sz w:val="22"/>
          <w:szCs w:val="22"/>
        </w:rPr>
      </w:pPr>
      <w:bookmarkStart w:id="0" w:name="_gwyt7clc3sl9" w:colFirst="0" w:colLast="0"/>
      <w:bookmarkEnd w:id="0"/>
      <w:r w:rsidRPr="00D30255">
        <w:rPr>
          <w:rFonts w:ascii="Calibri" w:eastAsia="Source Sans Pro" w:hAnsi="Calibri" w:cs="Calibri"/>
          <w:b/>
          <w:bCs/>
          <w:color w:val="000000"/>
          <w:sz w:val="22"/>
          <w:szCs w:val="22"/>
        </w:rPr>
        <w:t xml:space="preserve">Written evidence by </w:t>
      </w:r>
      <w:r w:rsidRPr="00D30255">
        <w:rPr>
          <w:rFonts w:ascii="Calibri" w:eastAsia="Source Sans Pro" w:hAnsi="Calibri" w:cs="Calibri"/>
          <w:b/>
          <w:bCs/>
          <w:color w:val="000000"/>
          <w:sz w:val="22"/>
          <w:szCs w:val="22"/>
        </w:rPr>
        <w:t>Association for Citizenship Teaching (ACT)</w:t>
      </w:r>
      <w:r w:rsidRPr="00D30255">
        <w:rPr>
          <w:rFonts w:ascii="Calibri" w:eastAsia="Source Sans Pro" w:hAnsi="Calibri" w:cs="Calibri"/>
          <w:b/>
          <w:bCs/>
          <w:color w:val="000000"/>
          <w:sz w:val="22"/>
          <w:szCs w:val="22"/>
        </w:rPr>
        <w:t xml:space="preserve"> (</w:t>
      </w:r>
      <w:r w:rsidRPr="00D30255">
        <w:rPr>
          <w:rFonts w:ascii="Calibri" w:eastAsia="Source Sans Pro" w:hAnsi="Calibri" w:cs="Calibri"/>
          <w:b/>
          <w:bCs/>
          <w:color w:val="000000"/>
          <w:sz w:val="22"/>
          <w:szCs w:val="22"/>
        </w:rPr>
        <w:t>ECA0112</w:t>
      </w:r>
      <w:r w:rsidRPr="00D30255">
        <w:rPr>
          <w:rFonts w:ascii="Calibri" w:eastAsia="Source Sans Pro" w:hAnsi="Calibri" w:cs="Calibri"/>
          <w:b/>
          <w:bCs/>
          <w:color w:val="000000"/>
          <w:sz w:val="22"/>
          <w:szCs w:val="22"/>
        </w:rPr>
        <w:t>)</w:t>
      </w:r>
    </w:p>
    <w:p w:rsidR="00D30255" w:rsidRPr="00D30255" w:rsidP="00D30255">
      <w:pPr>
        <w:pStyle w:val="Normal1"/>
        <w:rPr>
          <w:rFonts w:ascii="Calibri" w:hAnsi="Calibri" w:cs="Calibri"/>
        </w:rPr>
      </w:pPr>
    </w:p>
    <w:p w:rsidR="00D30255" w:rsidRPr="00D30255" w:rsidP="00D30255">
      <w:pPr>
        <w:pStyle w:val="Normal1"/>
        <w:rPr>
          <w:rFonts w:ascii="Calibri" w:hAnsi="Calibri" w:cs="Calibri"/>
          <w:b/>
          <w:bCs/>
        </w:rPr>
      </w:pPr>
      <w:r w:rsidRPr="00D30255">
        <w:rPr>
          <w:rFonts w:ascii="Calibri" w:hAnsi="Calibri" w:cs="Calibri"/>
          <w:b/>
          <w:bCs/>
        </w:rPr>
        <w:t>Education committee</w:t>
      </w:r>
    </w:p>
    <w:p w:rsidR="00D30255" w:rsidRPr="00D30255" w:rsidP="00D30255">
      <w:pPr>
        <w:pStyle w:val="Normal1"/>
        <w:rPr>
          <w:rFonts w:ascii="Calibri" w:hAnsi="Calibri" w:cs="Calibri"/>
          <w:b/>
          <w:bCs/>
        </w:rPr>
      </w:pPr>
      <w:r w:rsidRPr="00D30255">
        <w:rPr>
          <w:rFonts w:ascii="Calibri" w:hAnsi="Calibri" w:cs="Calibri"/>
          <w:b/>
          <w:bCs/>
        </w:rPr>
        <w:t>Every Child Achieving and Thriving’ White Paper</w:t>
      </w:r>
    </w:p>
    <w:p w:rsidR="00DD18A5" w:rsidRPr="00D30255">
      <w:pPr>
        <w:pStyle w:val="Heading3"/>
        <w:keepNext w:val="0"/>
        <w:keepLines w:val="0"/>
        <w:spacing w:before="280"/>
        <w:rPr>
          <w:rFonts w:ascii="Calibri" w:eastAsia="Source Sans Pro" w:hAnsi="Calibri" w:cs="Calibri"/>
          <w:b/>
          <w:bCs/>
          <w:color w:val="000000"/>
          <w:sz w:val="22"/>
          <w:szCs w:val="22"/>
        </w:rPr>
      </w:pPr>
      <w:r w:rsidRPr="00D30255">
        <w:rPr>
          <w:rFonts w:ascii="Calibri" w:eastAsia="Source Sans Pro" w:hAnsi="Calibri" w:cs="Calibri"/>
          <w:b/>
          <w:bCs/>
          <w:color w:val="000000"/>
          <w:sz w:val="22"/>
          <w:szCs w:val="22"/>
        </w:rPr>
        <w:t>About the Association for Citizenship Teaching (ACT)</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The Association for Citizenship Teaching (ACT) is the national subject association for Citizenship education in England. We support teachers, schools and colleges to deliver high-quality Citizenship education across primary, secondary and post-16 phases, and work closely with policymakers, regulators and researchers to strengthen democratic education.</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ACT has contributed written and oral evidence to the Independent Curriculum and Assessment Review led by Professor Becky Francis</w:t>
      </w:r>
      <w:r w:rsidRPr="00D30255">
        <w:rPr>
          <w:rFonts w:ascii="Calibri" w:eastAsia="Source Sans Pro" w:hAnsi="Calibri" w:cs="Calibri"/>
        </w:rPr>
        <w:t xml:space="preserve"> and to parliamentary inquiries relating to democratic participation and education. We also commission and disseminate national research on the impact of Citizenship education on young people’s democratic engagement, participation and wider educational outcomes.</w:t>
      </w:r>
    </w:p>
    <w:p w:rsidR="00DD18A5" w:rsidRPr="00D30255">
      <w:pPr>
        <w:pStyle w:val="Heading3"/>
        <w:rPr>
          <w:rFonts w:ascii="Calibri" w:eastAsia="Source Sans Pro" w:hAnsi="Calibri" w:cs="Calibri"/>
          <w:b/>
          <w:bCs/>
          <w:color w:val="000000"/>
          <w:sz w:val="22"/>
          <w:szCs w:val="22"/>
        </w:rPr>
      </w:pPr>
      <w:bookmarkStart w:id="1" w:name="_czuqx6qrwg8f" w:colFirst="0" w:colLast="0"/>
      <w:bookmarkEnd w:id="1"/>
      <w:r w:rsidRPr="00D30255">
        <w:rPr>
          <w:rFonts w:ascii="Calibri" w:eastAsia="Source Sans Pro" w:hAnsi="Calibri" w:cs="Calibri"/>
          <w:b/>
          <w:bCs/>
          <w:color w:val="000000"/>
          <w:sz w:val="22"/>
          <w:szCs w:val="22"/>
        </w:rPr>
        <w:t>Executive Summary</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 xml:space="preserve">ACT welcomes the publication of </w:t>
      </w:r>
      <w:r w:rsidRPr="00D30255">
        <w:rPr>
          <w:rFonts w:ascii="Calibri" w:eastAsia="Source Sans Pro" w:hAnsi="Calibri" w:cs="Calibri"/>
          <w:i/>
          <w:iCs/>
        </w:rPr>
        <w:t>Every Child Achieving and Thriving</w:t>
      </w:r>
      <w:r w:rsidRPr="00D30255">
        <w:rPr>
          <w:rFonts w:ascii="Calibri" w:eastAsia="Source Sans Pro" w:hAnsi="Calibri" w:cs="Calibri"/>
        </w:rPr>
        <w:t xml:space="preserve"> and supports the Government’s ambition to create a school system that enables every child to achieve academically and thrive personally. </w:t>
      </w:r>
      <w:r w:rsidRPr="00D30255">
        <w:rPr>
          <w:rFonts w:ascii="Calibri" w:eastAsia="Source Sans Pro" w:hAnsi="Calibri" w:cs="Calibri"/>
        </w:rPr>
        <w:t>In particular, we</w:t>
      </w:r>
      <w:r w:rsidRPr="00D30255">
        <w:rPr>
          <w:rFonts w:ascii="Calibri" w:eastAsia="Source Sans Pro" w:hAnsi="Calibri" w:cs="Calibri"/>
        </w:rPr>
        <w:t xml:space="preserve"> welcome the White Paper’s commitment to a broad curriculum, increased civic engagement, strengthened Citizenship education through the Curriculum and Assessment Review, and recognition that schools should prepare young people to become engaged and responsible citizens.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Citizenship is currently a statutory National Curriculum foundation subject at Key Stages 3 and 4 in maintained schools in </w:t>
      </w:r>
      <w:r w:rsidRPr="00D30255">
        <w:rPr>
          <w:rFonts w:ascii="Calibri" w:eastAsia="Source Sans Pro" w:hAnsi="Calibri" w:cs="Calibri"/>
        </w:rPr>
        <w:t>England, but</w:t>
      </w:r>
      <w:r w:rsidRPr="00D30255">
        <w:rPr>
          <w:rFonts w:ascii="Calibri" w:eastAsia="Source Sans Pro" w:hAnsi="Calibri" w:cs="Calibri"/>
        </w:rPr>
        <w:t xml:space="preserve"> is not yet statutory in primary education. The subject equips pupils with knowledge of democracy, government, the law, justice, human rights, the economy, financial education, equality, diversity and active citizenship. However, provision remains uneven. According to 2023 Department for Education school-level data, GCSE Citizenship Studies is offered in just over 20% of schools and colleges at Key Stage 4. Current figures from the Joint Council for Qualifications (JCQ) show that the number of c</w:t>
      </w:r>
      <w:r w:rsidRPr="00D30255">
        <w:rPr>
          <w:rFonts w:ascii="Calibri" w:eastAsia="Source Sans Pro" w:hAnsi="Calibri" w:cs="Calibri"/>
        </w:rPr>
        <w:t xml:space="preserve">andidates sitting GCSE Citizenship Studies has remained stable at around 22,000 over the past three years, significantly lower than in 2009 when 94,600 candidates sat the examination. (ACT, 2024; Department for Education, 2023; Joint Council for Qualifications, 2024).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Our evidence focuses on four areas within the Committee’s terms of reference:</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Raising attainment through a broad curriculum that develops both knowledge and essential skills.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Ensuring accountability measures support rather than undermine curriculum breadth.</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The contribution of Citizenship education to enrichment, belonging and civic engagement.</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Alignment with wider Government priorities, including the National Youth Strategy and Votes at 16.</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National research commissioned by ACT demonstrates that high-quality Citizenship education strengthens young people’s political knowledge, critical thinking, confidence, civic participation and intention to vote. The benefits are particularly significant for young people from lower socio-economic backgrounds and other groups traditionally under-represented in democratic participation (Henn, </w:t>
      </w:r>
      <w:r w:rsidRPr="00D30255">
        <w:rPr>
          <w:rFonts w:ascii="Calibri" w:eastAsia="Source Sans Pro" w:hAnsi="Calibri" w:cs="Calibri"/>
        </w:rPr>
        <w:t>Sloam</w:t>
      </w:r>
      <w:r w:rsidRPr="00D30255">
        <w:rPr>
          <w:rFonts w:ascii="Calibri" w:eastAsia="Source Sans Pro" w:hAnsi="Calibri" w:cs="Calibri"/>
        </w:rPr>
        <w:t xml:space="preserve"> and Nunes, 2025). This is particularly important given continuing inequalities in democratic participation. In the 2024 General Election, only 22% of young people from the lowest socio-economic (DE) group voted, highlighting the </w:t>
      </w:r>
      <w:r w:rsidRPr="00D30255">
        <w:rPr>
          <w:rFonts w:ascii="Calibri" w:eastAsia="Source Sans Pro" w:hAnsi="Calibri" w:cs="Calibri"/>
        </w:rPr>
        <w:t>need to ensure every young person develops the knowledge, confidence and skills to participate effectively in democratic life (</w:t>
      </w:r>
      <w:r w:rsidRPr="00D30255">
        <w:rPr>
          <w:rFonts w:ascii="Calibri" w:eastAsia="Source Sans Pro" w:hAnsi="Calibri" w:cs="Calibri"/>
        </w:rPr>
        <w:t>Sloam</w:t>
      </w:r>
      <w:r w:rsidRPr="00D30255">
        <w:rPr>
          <w:rFonts w:ascii="Calibri" w:eastAsia="Source Sans Pro" w:hAnsi="Calibri" w:cs="Calibri"/>
        </w:rPr>
        <w:t xml:space="preserve">, Henn and Nunes, 2025).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highlight w:val="white"/>
        </w:rPr>
        <w:t>Citizenship education has a particularly important role to play in fostering place-based engagement, generating positive interactions between young people, local and civic authorities and the third sector through its focus on experiential learning (</w:t>
      </w:r>
      <w:r w:rsidRPr="00D30255">
        <w:rPr>
          <w:rFonts w:ascii="Calibri" w:eastAsia="Source Sans Pro" w:hAnsi="Calibri" w:cs="Calibri"/>
          <w:highlight w:val="white"/>
        </w:rPr>
        <w:t>Sloam</w:t>
      </w:r>
      <w:r w:rsidRPr="00D30255">
        <w:rPr>
          <w:rFonts w:ascii="Calibri" w:eastAsia="Source Sans Pro" w:hAnsi="Calibri" w:cs="Calibri"/>
          <w:highlight w:val="white"/>
        </w:rPr>
        <w:t xml:space="preserve"> 2025). This also has benefits for young people regarding their transferable skills in the context of the skills gap identified in the 2026 Milburn Review.</w:t>
      </w:r>
      <w:r w:rsidRPr="00D30255">
        <w:rPr>
          <w:rFonts w:ascii="Calibri" w:eastAsia="Source Sans Pro" w:hAnsi="Calibri" w:cs="Calibri"/>
        </w:rPr>
        <w:t xml:space="preserve"> </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The Government’s ambitions will only be fully realised if Citizenship education is consistently delivered by specialist teachers, supported through accountability arrangements and recognised within performance measures.</w:t>
      </w:r>
    </w:p>
    <w:p w:rsidR="00DD18A5" w:rsidRPr="00D30255">
      <w:pPr>
        <w:spacing w:before="240" w:after="240" w:line="240" w:lineRule="auto"/>
        <w:ind w:left="720"/>
        <w:rPr>
          <w:rFonts w:ascii="Calibri" w:eastAsia="Source Sans Pro" w:hAnsi="Calibri" w:cs="Calibri"/>
        </w:rPr>
      </w:pPr>
    </w:p>
    <w:p w:rsidR="00DD18A5" w:rsidRPr="00D30255">
      <w:pPr>
        <w:pStyle w:val="Heading3"/>
        <w:ind w:left="720"/>
        <w:rPr>
          <w:rFonts w:ascii="Calibri" w:eastAsia="Source Sans Pro" w:hAnsi="Calibri" w:cs="Calibri"/>
          <w:b/>
          <w:bCs/>
          <w:color w:val="000000"/>
          <w:sz w:val="22"/>
          <w:szCs w:val="22"/>
        </w:rPr>
      </w:pPr>
      <w:bookmarkStart w:id="2" w:name="_87rc26gx4w38" w:colFirst="0" w:colLast="0"/>
      <w:bookmarkEnd w:id="2"/>
      <w:r w:rsidRPr="00D30255">
        <w:rPr>
          <w:rFonts w:ascii="Calibri" w:eastAsia="Source Sans Pro" w:hAnsi="Calibri" w:cs="Calibri"/>
          <w:b/>
          <w:bCs/>
          <w:color w:val="000000"/>
          <w:sz w:val="22"/>
          <w:szCs w:val="22"/>
        </w:rPr>
        <w:t>1. Raising attainment through a broad and balanced curriculum</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ACT supports the Government’s ambition to raise attainment whilst ensuring all pupils benefit from a broad and balanced curriculum. These ambitions should be viewed as complementary rather than competing objectives.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Citizenship education contributes directly to the development of knowledge, understanding and transferable skills that enable young people to succeed in education, employment and life. These wider skills are increasingly recognised as essential for success in education, employment and civic life, aligning with the Government's emphasis on preparing young people for the opportunities and challenges of the modern world. Alongside secure disciplinary knowledge about democracy, law, rights, finance, the economy</w:t>
      </w:r>
      <w:r w:rsidRPr="00D30255">
        <w:rPr>
          <w:rFonts w:ascii="Calibri" w:eastAsia="Source Sans Pro" w:hAnsi="Calibri" w:cs="Calibri"/>
        </w:rPr>
        <w:t xml:space="preserve"> and public life, Citizenship develops critical thinking, discussion, evaluation of evidence, media literacy, problem solving, informed decision-making and advocacy skills through participation in active citizenship. </w:t>
      </w:r>
      <w:r w:rsidRPr="00D30255">
        <w:rPr>
          <w:rFonts w:ascii="Calibri" w:eastAsia="Source Sans Pro" w:hAnsi="Calibri" w:cs="Calibri"/>
        </w:rPr>
        <w:t xml:space="preserve">These are essential capabilities for participation in modern society and increasingly important within a rapidly changing technological and information environment. They align closely with the Council of Europe's </w:t>
      </w:r>
      <w:r w:rsidRPr="00D30255">
        <w:rPr>
          <w:rFonts w:ascii="Calibri" w:eastAsia="Source Sans Pro" w:hAnsi="Calibri" w:cs="Calibri"/>
          <w:i/>
          <w:iCs/>
        </w:rPr>
        <w:t>Reference Framework of Competences for Democratic Culture</w:t>
      </w:r>
      <w:r w:rsidRPr="00D30255">
        <w:rPr>
          <w:rFonts w:ascii="Calibri" w:eastAsia="Source Sans Pro" w:hAnsi="Calibri" w:cs="Calibri"/>
        </w:rPr>
        <w:t xml:space="preserve">, which identifies democratic knowledge, critical thinking, communication, participation and respect for human rights as core competences for democratic culture (Council of Europe, 2018). They are also reflected in the International Association for the Evaluation of Educational Achievement's (IEA) </w:t>
      </w:r>
      <w:r w:rsidRPr="00D30255">
        <w:rPr>
          <w:rFonts w:ascii="Calibri" w:eastAsia="Source Sans Pro" w:hAnsi="Calibri" w:cs="Calibri"/>
          <w:i/>
          <w:iCs/>
        </w:rPr>
        <w:t>International Civic and Citizenship Education Study (ICCS) 2022 Assessment Framework</w:t>
      </w:r>
      <w:r w:rsidRPr="00D30255">
        <w:rPr>
          <w:rFonts w:ascii="Calibri" w:eastAsia="Source Sans Pro" w:hAnsi="Calibri" w:cs="Calibri"/>
        </w:rPr>
        <w:t xml:space="preserve">, which identifies civic knowledge, democratic values, civic engagement and participation as fundamental outcomes of high-quality civic and citizenship education (Schulz </w:t>
      </w:r>
      <w:r w:rsidRPr="00D30255">
        <w:rPr>
          <w:rFonts w:ascii="Calibri" w:eastAsia="Source Sans Pro" w:hAnsi="Calibri" w:cs="Calibri"/>
          <w:i/>
          <w:iCs/>
        </w:rPr>
        <w:t>et al.</w:t>
      </w:r>
      <w:r w:rsidRPr="00D30255">
        <w:rPr>
          <w:rFonts w:ascii="Calibri" w:eastAsia="Source Sans Pro" w:hAnsi="Calibri" w:cs="Calibri"/>
        </w:rPr>
        <w:t xml:space="preserve">, 2023).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Recent research commissioned by ACT with Nottingham Trent University and Royal Holloway demonstrates that young people who study GCSE Citizenship Studies show significantly greater political understanding, higher levels of political interest, greater confidence in democratic participation and stronger intentions to vote than their peers. Importantly, the research found particularly strong gains among young women and young people from lower socio-economic and ethnic minority backgrounds (Henn, </w:t>
      </w:r>
      <w:r w:rsidRPr="00D30255">
        <w:rPr>
          <w:rFonts w:ascii="Calibri" w:eastAsia="Source Sans Pro" w:hAnsi="Calibri" w:cs="Calibri"/>
        </w:rPr>
        <w:t>Sloam</w:t>
      </w:r>
      <w:r w:rsidRPr="00D30255">
        <w:rPr>
          <w:rFonts w:ascii="Calibri" w:eastAsia="Source Sans Pro" w:hAnsi="Calibri" w:cs="Calibri"/>
        </w:rPr>
        <w:t xml:space="preserve"> and Nunes, 2025).</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ACT’s National Citizenship Education Study similarly indicates that sustained exposure to Citizenship education is associated with stronger civic knowledge, increased support for democracy, greater political efficacy and higher intentions to participate in democratic life. </w:t>
      </w:r>
      <w:r w:rsidRPr="00D30255">
        <w:rPr>
          <w:rFonts w:ascii="Calibri" w:eastAsia="Source Sans Pro" w:hAnsi="Calibri" w:cs="Calibri"/>
        </w:rPr>
        <w:t xml:space="preserve">The second year of the National Citizenship Education Study, involving 2,798 students across 16 secondary schools, found that greater exposure to Citizenship education was associated with higher levels of political knowledge, support for democracy, political efficacy, trust, tolerance and intentions to vote. The study also found that positive outcomes were </w:t>
      </w:r>
      <w:r w:rsidRPr="00D30255">
        <w:rPr>
          <w:rFonts w:ascii="Calibri" w:eastAsia="Source Sans Pro" w:hAnsi="Calibri" w:cs="Calibri"/>
        </w:rPr>
        <w:t xml:space="preserve">associated not only with curriculum content but with an open classroom climate and opportunities for active participation. (Jerome </w:t>
      </w:r>
      <w:r w:rsidRPr="00D30255">
        <w:rPr>
          <w:rFonts w:ascii="Calibri" w:eastAsia="Source Sans Pro" w:hAnsi="Calibri" w:cs="Calibri"/>
          <w:i/>
          <w:iCs/>
        </w:rPr>
        <w:t>et al</w:t>
      </w:r>
      <w:r w:rsidRPr="00D30255">
        <w:rPr>
          <w:rFonts w:ascii="Calibri" w:eastAsia="Source Sans Pro" w:hAnsi="Calibri" w:cs="Calibri"/>
        </w:rPr>
        <w:t xml:space="preserve">., 2024).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These findings demonstrate that high-quality Citizenship education supports the White Paper’s ambition to reduce disadvantage gaps by equipping all young people with the knowledge, confidence and agency needed to succeed both within education and beyond it.</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These findings are complemented by recent evidence from the University of Roehampton's G-EPIC project, which found significant improvements in political self-efficacy, confidence and civic participation following a five-lesson Citizenship intervention delivered across 13 schools involving 884 students (Hoskins, López-Hornickel and Mara, 2025). </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 xml:space="preserve">Research also suggests that strengthening civic knowledge and political literacy can increase young people's resilience to misinformation and disinformation by equipping them with the critical thinking skills and knowledge needed to evaluate evidence, challenge misinformation and participate confidently in democratic debate. At a time when young people increasingly encounter political information through digital and social media, these capabilities are becoming ever more important. </w:t>
      </w:r>
    </w:p>
    <w:p w:rsidR="00DD18A5" w:rsidRPr="00D30255">
      <w:pPr>
        <w:spacing w:before="240" w:after="240" w:line="240" w:lineRule="auto"/>
        <w:rPr>
          <w:rFonts w:ascii="Calibri" w:eastAsia="Source Sans Pro" w:hAnsi="Calibri" w:cs="Calibri"/>
        </w:rPr>
      </w:pPr>
    </w:p>
    <w:p w:rsidR="00DD18A5" w:rsidRPr="00D30255">
      <w:pPr>
        <w:pStyle w:val="Heading3"/>
        <w:ind w:left="720"/>
        <w:rPr>
          <w:rFonts w:ascii="Calibri" w:eastAsia="Source Sans Pro" w:hAnsi="Calibri" w:cs="Calibri"/>
          <w:b/>
          <w:bCs/>
          <w:color w:val="000000"/>
          <w:sz w:val="22"/>
          <w:szCs w:val="22"/>
        </w:rPr>
      </w:pPr>
      <w:bookmarkStart w:id="3" w:name="_dtoqm0si0f9l" w:colFirst="0" w:colLast="0"/>
      <w:bookmarkEnd w:id="3"/>
      <w:r w:rsidRPr="00D30255">
        <w:rPr>
          <w:rFonts w:ascii="Calibri" w:eastAsia="Source Sans Pro" w:hAnsi="Calibri" w:cs="Calibri"/>
          <w:b/>
          <w:bCs/>
          <w:color w:val="000000"/>
          <w:sz w:val="22"/>
          <w:szCs w:val="22"/>
        </w:rPr>
        <w:t>2. Accountability measures should reinforce curriculum breadth</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ACT welcomes the Government’s commitment to strengthening curriculum breadth and reviewing accountability measures accordingly including the removal of the EBacc measure. In theory this provides a great opportunity for ensuring more pupils gain the opportunity to study GCSE Citizenship Studies which has been a qualification since 2016 (and prior to that a short (half) GCSE). However, accountability systems must actively reinforce this ambition and ensure we measure and recognise what we value, not simply wh</w:t>
      </w:r>
      <w:r w:rsidRPr="00D30255">
        <w:rPr>
          <w:rFonts w:ascii="Calibri" w:eastAsia="Source Sans Pro" w:hAnsi="Calibri" w:cs="Calibri"/>
        </w:rPr>
        <w:t>at is easier to measure. We remain concerned that this is not reflected in the DfE proposed changes which are complex and have the effect of relegating GCSE Citizenship Studies even further than has been the case by being outside of the EBacc subjects.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Evidence consistently demonstrates that school accountability arrangements influence curriculum decisions. Where Citizenship is recognised within accountability measures, schools are significantly more likely to provide curriculum time, specialist teaching and GCSE opportunities. Conversely, where accountability measures marginalise the subject, provision declines despite statutory requirements.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ACT’s recent response to the DfE Consultation on reforming Progress </w:t>
      </w:r>
      <w:r w:rsidRPr="00D30255">
        <w:rPr>
          <w:rFonts w:ascii="Calibri" w:eastAsia="Source Sans Pro" w:hAnsi="Calibri" w:cs="Calibri"/>
        </w:rPr>
        <w:t>8  highlighted</w:t>
      </w:r>
      <w:r w:rsidRPr="00D30255">
        <w:rPr>
          <w:rFonts w:ascii="Calibri" w:eastAsia="Source Sans Pro" w:hAnsi="Calibri" w:cs="Calibri"/>
        </w:rPr>
        <w:t xml:space="preserve"> the risk that proposed accountability arrangements unintentionally weaken Citizenship provision at Key Stage 4, creating inconsistency with the Government’s wider commitment to strengthen the subject through curriculum reform.</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This point has been reinforced through consultation with practising teachers, including those with expertise in SEND. Teachers highlighted that specialist subject knowledge is particularly important in ensuring Citizenship education is accessible and meaningful for all learners. Young people with SEND, and those who may have had fewer opportunities to engage with civic learning beyond school, often require teaching that is carefully adapted to their individual needs, prior knowledge and experiences. Special</w:t>
      </w:r>
      <w:r w:rsidRPr="00D30255">
        <w:rPr>
          <w:rFonts w:ascii="Calibri" w:eastAsia="Source Sans Pro" w:hAnsi="Calibri" w:cs="Calibri"/>
        </w:rPr>
        <w:t xml:space="preserve">ist teachers are better equipped to make these adaptations confidently, creating inclusive learning environments and meaningful opportunities for all pupils to participate fully in Citizenship education. This further underlines the importance of investing in specialist teacher recruitment and professional development if the Government's ambitions for achievement and inclusion are to be realised.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This is reflected more widely in national data. The Department for Education workforce survey shows a 53% decrease in teaching time for Citizenship since 2011, underlining the continuing challenge of sustaining specialist provision across schools. (ACT, 2024). </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If the Government wishes schools to deliver a genuinely broad curriculum that prepares pupils for life as informed, active citizens, accountability measures should consistently support that objective.</w:t>
      </w:r>
    </w:p>
    <w:p w:rsidR="00DD18A5" w:rsidRPr="00D30255">
      <w:pPr>
        <w:spacing w:before="240" w:after="240" w:line="240" w:lineRule="auto"/>
        <w:rPr>
          <w:rFonts w:ascii="Calibri" w:eastAsia="Source Sans Pro" w:hAnsi="Calibri" w:cs="Calibri"/>
        </w:rPr>
      </w:pPr>
    </w:p>
    <w:p w:rsidR="00DD18A5" w:rsidRPr="00D30255">
      <w:pPr>
        <w:pStyle w:val="Heading3"/>
        <w:ind w:left="720"/>
        <w:rPr>
          <w:rFonts w:ascii="Calibri" w:eastAsia="Source Sans Pro" w:hAnsi="Calibri" w:cs="Calibri"/>
          <w:b/>
          <w:bCs/>
          <w:color w:val="000000"/>
          <w:sz w:val="22"/>
          <w:szCs w:val="22"/>
        </w:rPr>
      </w:pPr>
      <w:bookmarkStart w:id="4" w:name="_k7k7i8hn0frl" w:colFirst="0" w:colLast="0"/>
      <w:bookmarkEnd w:id="4"/>
      <w:r w:rsidRPr="00D30255">
        <w:rPr>
          <w:rFonts w:ascii="Calibri" w:eastAsia="Source Sans Pro" w:hAnsi="Calibri" w:cs="Calibri"/>
          <w:b/>
          <w:bCs/>
          <w:color w:val="000000"/>
          <w:sz w:val="22"/>
          <w:szCs w:val="22"/>
        </w:rPr>
        <w:t>3. Enrichment, belonging and civic engagement</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ACT strongly welcomes the White Paper’s recognition that enrichment, belonging and civic engagement contribute to both educational success and pupil wellbeing.</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Citizenship education occupies a distinctive position within the curriculum because it combines knowledge with practical participation. Through structured opportunities for discussion, deliberation, community engagement and active citizenship, pupils develop confidence, belonging and an understanding of how they can contribute positively to their communities.</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Recent evidence from the University of Roehampton's G-EPIC (Girls' Empowerment through Politics in Classrooms) project provides further evidence that evidence-informed Citizenship pedagogy can strengthen young people's political self-efficacy and participation, particularly among disadvantaged learners. The evaluation found that collaborative learning, structured discussion, diverse political role models and opportunities for meaningful civic action contributed to significant improvements in students' confi</w:t>
      </w:r>
      <w:r w:rsidRPr="00D30255">
        <w:rPr>
          <w:rFonts w:ascii="Calibri" w:eastAsia="Source Sans Pro" w:hAnsi="Calibri" w:cs="Calibri"/>
        </w:rPr>
        <w:t xml:space="preserve">dence to participate in political discussions, engage in school-based civic activities and see themselves as active participants in democratic life (Hoskins, López-Hornickel and Mara, 2025).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National research also demonstrates that young people themselves want greater opportunities to learn about elections, government, media literacy, human rights and how citizens bring about change. Around nine in ten young people surveyed considered these topics important, yet many reported limited opportunities to study them where Citizenship was not taught as a discrete subject (Henn, </w:t>
      </w:r>
      <w:r w:rsidRPr="00D30255">
        <w:rPr>
          <w:rFonts w:ascii="Calibri" w:eastAsia="Source Sans Pro" w:hAnsi="Calibri" w:cs="Calibri"/>
        </w:rPr>
        <w:t>Sloam</w:t>
      </w:r>
      <w:r w:rsidRPr="00D30255">
        <w:rPr>
          <w:rFonts w:ascii="Calibri" w:eastAsia="Source Sans Pro" w:hAnsi="Calibri" w:cs="Calibri"/>
        </w:rPr>
        <w:t xml:space="preserve"> and Nunes, 2025).</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The White Paper’s proposed enrichment entitlement provides an important opportunity to strengthen civic participation. However, meaningful civic engagement should not sit outside the curriculum alone. It should be underpinned by high-quality Citizenship education that enables pupils to understand democratic institutions, evaluate evidence, discuss differing viewpoints respectfully and participate confidently in civic life.</w:t>
      </w:r>
    </w:p>
    <w:p w:rsidR="00DD18A5" w:rsidRPr="00D30255">
      <w:pPr>
        <w:pStyle w:val="Heading3"/>
        <w:keepNext w:val="0"/>
        <w:keepLines w:val="0"/>
        <w:spacing w:before="480"/>
        <w:ind w:left="720"/>
        <w:rPr>
          <w:rFonts w:ascii="Calibri" w:eastAsia="Source Sans Pro" w:hAnsi="Calibri" w:cs="Calibri"/>
          <w:b/>
          <w:bCs/>
          <w:color w:val="000000"/>
          <w:sz w:val="22"/>
          <w:szCs w:val="22"/>
        </w:rPr>
      </w:pPr>
      <w:bookmarkStart w:id="5" w:name="_j0gwv4agdkk5" w:colFirst="0" w:colLast="0"/>
      <w:bookmarkEnd w:id="5"/>
      <w:r w:rsidRPr="00D30255">
        <w:rPr>
          <w:rFonts w:ascii="Calibri" w:eastAsia="Source Sans Pro" w:hAnsi="Calibri" w:cs="Calibri"/>
          <w:b/>
          <w:bCs/>
          <w:color w:val="000000"/>
          <w:sz w:val="22"/>
          <w:szCs w:val="22"/>
        </w:rPr>
        <w:t>4. Alignment with wider Government policy</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 xml:space="preserve">The White Paper rightly recognises that education policy should support wider Government ambitions, including the National Youth Strategy and proposals to extend voting rights to 16 and 17-year-olds. These ambitions are mutually reinforcing.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Citizenship education should also be viewed as an essential component of an inclusive and effective approach to devolution and community empowerment. By helping young people understand how decisions are made locally, develop the confidence to engage with civic institutions and participate in community decision-making, Citizenship education supports the Government's wider ambition to strengthen local democracy and public participation (</w:t>
      </w:r>
      <w:r w:rsidRPr="00D30255">
        <w:rPr>
          <w:rFonts w:ascii="Calibri" w:eastAsia="Source Sans Pro" w:hAnsi="Calibri" w:cs="Calibri"/>
        </w:rPr>
        <w:t>Sloam</w:t>
      </w:r>
      <w:r w:rsidRPr="00D30255">
        <w:rPr>
          <w:rFonts w:ascii="Calibri" w:eastAsia="Source Sans Pro" w:hAnsi="Calibri" w:cs="Calibri"/>
        </w:rPr>
        <w:t xml:space="preserve">, 2025). </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Research commissioned by ACT demonstrates that Citizenship education strengthens democratic engagement, increases young people’s understanding of political institutions and improves confidence to participate in elections and wider civic life. It also demonstrates that </w:t>
      </w:r>
      <w:r w:rsidRPr="00D30255">
        <w:rPr>
          <w:rFonts w:ascii="Calibri" w:eastAsia="Source Sans Pro" w:hAnsi="Calibri" w:cs="Calibri"/>
        </w:rPr>
        <w:t xml:space="preserve">these benefits are greatest among groups whose democratic participation has historically been lowest (Henn, </w:t>
      </w:r>
      <w:r w:rsidRPr="00D30255">
        <w:rPr>
          <w:rFonts w:ascii="Calibri" w:eastAsia="Source Sans Pro" w:hAnsi="Calibri" w:cs="Calibri"/>
        </w:rPr>
        <w:t>Sloam</w:t>
      </w:r>
      <w:r w:rsidRPr="00D30255">
        <w:rPr>
          <w:rFonts w:ascii="Calibri" w:eastAsia="Source Sans Pro" w:hAnsi="Calibri" w:cs="Calibri"/>
        </w:rPr>
        <w:t xml:space="preserve"> and Nunes, 2025).</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As the Government considers extending voting rights to 16 and 17-year-olds, expanding the franchise should be matched by an educational entitlement that equips every young person with the knowledge, understanding and confidence to participate meaningfully in democratic life. Without this, there is a risk that those young people who are currently least equipped to participate will be left further behind. </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The Government has already committed to strengthening Citizenship education through the Curriculum and Assessment Review. Delivering this ambition consistently across schools, supported by specialist teachers and appropriate accountability arrangements, will help ensure that wider reforms to democratic participation are matched by the educational entitlement necessary for their success.</w:t>
      </w:r>
    </w:p>
    <w:p w:rsidR="00DD18A5" w:rsidRPr="00D30255">
      <w:pPr>
        <w:pStyle w:val="Heading3"/>
        <w:ind w:left="720"/>
        <w:rPr>
          <w:rFonts w:ascii="Calibri" w:eastAsia="Source Sans Pro" w:hAnsi="Calibri" w:cs="Calibri"/>
          <w:b/>
          <w:bCs/>
          <w:color w:val="000000"/>
          <w:sz w:val="22"/>
          <w:szCs w:val="22"/>
        </w:rPr>
      </w:pPr>
      <w:bookmarkStart w:id="6" w:name="_3qo98cde7gfk" w:colFirst="0" w:colLast="0"/>
      <w:bookmarkEnd w:id="6"/>
      <w:r w:rsidRPr="00D30255">
        <w:rPr>
          <w:rFonts w:ascii="Calibri" w:eastAsia="Source Sans Pro" w:hAnsi="Calibri" w:cs="Calibri"/>
          <w:b/>
          <w:bCs/>
          <w:color w:val="000000"/>
          <w:sz w:val="22"/>
          <w:szCs w:val="22"/>
        </w:rPr>
        <w:t>Recommendations</w:t>
      </w:r>
    </w:p>
    <w:p w:rsidR="00DD18A5" w:rsidRPr="00D30255">
      <w:pPr>
        <w:numPr>
          <w:ilvl w:val="0"/>
          <w:numId w:val="1"/>
        </w:numPr>
        <w:spacing w:before="240" w:line="240" w:lineRule="auto"/>
        <w:rPr>
          <w:rFonts w:ascii="Calibri" w:eastAsia="Source Sans Pro" w:hAnsi="Calibri" w:cs="Calibri"/>
        </w:rPr>
      </w:pPr>
      <w:r w:rsidRPr="00D30255">
        <w:rPr>
          <w:rFonts w:ascii="Calibri" w:eastAsia="Source Sans Pro" w:hAnsi="Calibri" w:cs="Calibri"/>
        </w:rPr>
        <w:t>ACT recommends that the Government:</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Continue implementation of the strengthened Citizenship curriculum across primary and secondary education as proposed through the Curriculum and Assessment Review.</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Ensure accountability measures, including Progress 8 reforms, reinforce rather than weaken curriculum breadth and Citizenship provision.</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Invest in the recruitment, training and professional development of specialist Citizenship teachers to support consistent national delivery.</w:t>
      </w:r>
    </w:p>
    <w:p w:rsidR="00DD18A5" w:rsidRPr="00D30255">
      <w:pPr>
        <w:numPr>
          <w:ilvl w:val="0"/>
          <w:numId w:val="1"/>
        </w:numPr>
        <w:spacing w:line="240" w:lineRule="auto"/>
        <w:rPr>
          <w:rFonts w:ascii="Calibri" w:eastAsia="Source Sans Pro" w:hAnsi="Calibri" w:cs="Calibri"/>
        </w:rPr>
      </w:pPr>
      <w:r w:rsidRPr="00D30255">
        <w:rPr>
          <w:rFonts w:ascii="Calibri" w:eastAsia="Source Sans Pro" w:hAnsi="Calibri" w:cs="Calibri"/>
        </w:rPr>
        <w:t xml:space="preserve">Ensure Ofsted continues to evaluate the quality of Citizenship education as part of inspection arrangements, so that schools are held accountable for delivering their statutory National Curriculum responsibilities consistently and effectively. </w:t>
      </w:r>
    </w:p>
    <w:p w:rsidR="00DD18A5" w:rsidRPr="00D30255">
      <w:pPr>
        <w:numPr>
          <w:ilvl w:val="0"/>
          <w:numId w:val="1"/>
        </w:numPr>
        <w:spacing w:after="240" w:line="240" w:lineRule="auto"/>
        <w:rPr>
          <w:rFonts w:ascii="Calibri" w:eastAsia="Source Sans Pro" w:hAnsi="Calibri" w:cs="Calibri"/>
        </w:rPr>
      </w:pPr>
      <w:r w:rsidRPr="00D30255">
        <w:rPr>
          <w:rFonts w:ascii="Calibri" w:eastAsia="Source Sans Pro" w:hAnsi="Calibri" w:cs="Calibri"/>
        </w:rPr>
        <w:t>Recognise Citizenship education as a key contributor to the successful delivery of wider Government priorities, including civic engagement, the National Youth Strategy and Votes at 16.</w:t>
      </w:r>
    </w:p>
    <w:p w:rsidR="00DD18A5" w:rsidRPr="00D30255">
      <w:pPr>
        <w:pStyle w:val="Heading3"/>
        <w:ind w:left="720"/>
        <w:rPr>
          <w:rFonts w:ascii="Calibri" w:eastAsia="Source Sans Pro" w:hAnsi="Calibri" w:cs="Calibri"/>
          <w:b/>
          <w:bCs/>
          <w:color w:val="000000"/>
          <w:sz w:val="22"/>
          <w:szCs w:val="22"/>
        </w:rPr>
      </w:pPr>
      <w:bookmarkStart w:id="7" w:name="_shotojich3ci" w:colFirst="0" w:colLast="0"/>
      <w:bookmarkEnd w:id="7"/>
      <w:r w:rsidRPr="00D30255">
        <w:rPr>
          <w:rFonts w:ascii="Calibri" w:eastAsia="Source Sans Pro" w:hAnsi="Calibri" w:cs="Calibri"/>
          <w:b/>
          <w:bCs/>
          <w:color w:val="000000"/>
          <w:sz w:val="22"/>
          <w:szCs w:val="22"/>
        </w:rPr>
        <w:t>References</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rPr>
        <w:t xml:space="preserve">Department for Education (2026) </w:t>
      </w:r>
      <w:r w:rsidRPr="00D30255">
        <w:rPr>
          <w:rFonts w:ascii="Calibri" w:eastAsia="Source Sans Pro" w:hAnsi="Calibri" w:cs="Calibri"/>
          <w:i/>
          <w:iCs/>
        </w:rPr>
        <w:t>Every Child Achieving and Thriving</w:t>
      </w:r>
      <w:r w:rsidRPr="00D30255">
        <w:rPr>
          <w:rFonts w:ascii="Calibri" w:eastAsia="Source Sans Pro" w:hAnsi="Calibri" w:cs="Calibri"/>
        </w:rPr>
        <w:t>. London: Department for Education.</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rPr>
        <w:t xml:space="preserve">Henn, M., </w:t>
      </w:r>
      <w:r w:rsidRPr="00D30255">
        <w:rPr>
          <w:rFonts w:ascii="Calibri" w:eastAsia="Source Sans Pro" w:hAnsi="Calibri" w:cs="Calibri"/>
        </w:rPr>
        <w:t>Sloam</w:t>
      </w:r>
      <w:r w:rsidRPr="00D30255">
        <w:rPr>
          <w:rFonts w:ascii="Calibri" w:eastAsia="Source Sans Pro" w:hAnsi="Calibri" w:cs="Calibri"/>
        </w:rPr>
        <w:t xml:space="preserve">, J. and Nunes, A. (2025) </w:t>
      </w:r>
      <w:r w:rsidRPr="00D30255">
        <w:rPr>
          <w:rFonts w:ascii="Calibri" w:eastAsia="Source Sans Pro" w:hAnsi="Calibri" w:cs="Calibri"/>
          <w:i/>
          <w:iCs/>
        </w:rPr>
        <w:t>Young people and citizenship education: The impact of studying GCSE Citizenship Studies on young people’s democratic engagement and participation</w:t>
      </w:r>
      <w:r w:rsidRPr="00D30255">
        <w:rPr>
          <w:rFonts w:ascii="Calibri" w:eastAsia="Source Sans Pro" w:hAnsi="Calibri" w:cs="Calibri"/>
        </w:rPr>
        <w:t>. Association for Citizenship Teaching, Nottingham Trent University and Royal Holloway, University of London.</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rPr>
        <w:t>Sloam</w:t>
      </w:r>
      <w:r w:rsidRPr="00D30255">
        <w:rPr>
          <w:rFonts w:ascii="Calibri" w:eastAsia="Source Sans Pro" w:hAnsi="Calibri" w:cs="Calibri"/>
        </w:rPr>
        <w:t xml:space="preserve">, J. (2025) </w:t>
      </w:r>
      <w:r w:rsidRPr="00D30255">
        <w:rPr>
          <w:rFonts w:ascii="Calibri" w:eastAsia="Source Sans Pro" w:hAnsi="Calibri" w:cs="Calibri"/>
          <w:i/>
          <w:iCs/>
        </w:rPr>
        <w:t>Turning Youth Voice into Sustainable Public Policy: The Promise of Urban Democracy.</w:t>
      </w:r>
      <w:r w:rsidRPr="00D30255">
        <w:rPr>
          <w:rFonts w:ascii="Calibri" w:eastAsia="Source Sans Pro" w:hAnsi="Calibri" w:cs="Calibri"/>
        </w:rPr>
        <w:t xml:space="preserve"> Bristol: Policy Press. </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Council of Europe. (2018) </w:t>
      </w:r>
      <w:r w:rsidRPr="00D30255">
        <w:rPr>
          <w:rFonts w:ascii="Calibri" w:eastAsia="Source Sans Pro" w:hAnsi="Calibri" w:cs="Calibri"/>
          <w:i/>
          <w:iCs/>
        </w:rPr>
        <w:t>Reference Framework of Competences for Democratic Culture. Volume 1: Context, Concepts and Model.</w:t>
      </w:r>
      <w:r w:rsidRPr="00D30255">
        <w:rPr>
          <w:rFonts w:ascii="Calibri" w:eastAsia="Source Sans Pro" w:hAnsi="Calibri" w:cs="Calibri"/>
        </w:rPr>
        <w:t xml:space="preserve"> Strasbourg: Council of Europe.</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Schulz, W., </w:t>
      </w:r>
      <w:r w:rsidRPr="00D30255">
        <w:rPr>
          <w:rFonts w:ascii="Calibri" w:eastAsia="Source Sans Pro" w:hAnsi="Calibri" w:cs="Calibri"/>
        </w:rPr>
        <w:t>Fraillon</w:t>
      </w:r>
      <w:r w:rsidRPr="00D30255">
        <w:rPr>
          <w:rFonts w:ascii="Calibri" w:eastAsia="Source Sans Pro" w:hAnsi="Calibri" w:cs="Calibri"/>
        </w:rPr>
        <w:t xml:space="preserve">, J., Losito, B., </w:t>
      </w:r>
      <w:r w:rsidRPr="00D30255">
        <w:rPr>
          <w:rFonts w:ascii="Calibri" w:eastAsia="Source Sans Pro" w:hAnsi="Calibri" w:cs="Calibri"/>
        </w:rPr>
        <w:t>Agrusti</w:t>
      </w:r>
      <w:r w:rsidRPr="00D30255">
        <w:rPr>
          <w:rFonts w:ascii="Calibri" w:eastAsia="Source Sans Pro" w:hAnsi="Calibri" w:cs="Calibri"/>
        </w:rPr>
        <w:t xml:space="preserve">, G., Ainley, J., Damiani, V. and Friedman, T. (2023) </w:t>
      </w:r>
      <w:r w:rsidRPr="00D30255">
        <w:rPr>
          <w:rFonts w:ascii="Calibri" w:eastAsia="Source Sans Pro" w:hAnsi="Calibri" w:cs="Calibri"/>
          <w:i/>
          <w:iCs/>
        </w:rPr>
        <w:t>IEA International Civic and Citizenship Education Study 2022 Assessment Framework.</w:t>
      </w:r>
      <w:r w:rsidRPr="00D30255">
        <w:rPr>
          <w:rFonts w:ascii="Calibri" w:eastAsia="Source Sans Pro" w:hAnsi="Calibri" w:cs="Calibri"/>
        </w:rPr>
        <w:t xml:space="preserve"> Cham: Springer.</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Association for Citizenship Teaching (ACT). (2024) </w:t>
      </w:r>
      <w:r w:rsidRPr="00D30255">
        <w:rPr>
          <w:rFonts w:ascii="Calibri" w:eastAsia="Source Sans Pro" w:hAnsi="Calibri" w:cs="Calibri"/>
          <w:i/>
          <w:iCs/>
        </w:rPr>
        <w:t>ACT's response to the Curriculum and Assessment Review: Call for Evidence.</w:t>
      </w:r>
      <w:r w:rsidRPr="00D30255">
        <w:rPr>
          <w:rFonts w:ascii="Calibri" w:eastAsia="Source Sans Pro" w:hAnsi="Calibri" w:cs="Calibri"/>
        </w:rPr>
        <w:t xml:space="preserve"> Submitted to the Department for Education, 19 November 2024. </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Joint Council for Qualifications (JCQ) </w:t>
      </w:r>
      <w:r w:rsidRPr="00D30255">
        <w:rPr>
          <w:rFonts w:ascii="Calibri" w:eastAsia="Source Sans Pro" w:hAnsi="Calibri" w:cs="Calibri"/>
          <w:i/>
          <w:iCs/>
        </w:rPr>
        <w:t>GCSE results 2001 - 2023</w:t>
      </w:r>
      <w:r w:rsidRPr="00D30255">
        <w:rPr>
          <w:rFonts w:ascii="Calibri" w:eastAsia="Source Sans Pro" w:hAnsi="Calibri" w:cs="Calibri"/>
        </w:rPr>
        <w:t xml:space="preserve"> https://www.jcq.org.uk/examination-results-archive/</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Department for Education - </w:t>
      </w:r>
      <w:r w:rsidRPr="00D30255">
        <w:rPr>
          <w:rFonts w:ascii="Calibri" w:eastAsia="Source Sans Pro" w:hAnsi="Calibri" w:cs="Calibri"/>
          <w:i/>
          <w:iCs/>
        </w:rPr>
        <w:t xml:space="preserve">Academic year 2022/23 - Key stage 4 performance </w:t>
      </w:r>
      <w:r w:rsidRPr="00D30255">
        <w:rPr>
          <w:rFonts w:ascii="Calibri" w:eastAsia="Source Sans Pro" w:hAnsi="Calibri" w:cs="Calibri"/>
        </w:rPr>
        <w:t>https://explore-education-statistics.service.gov.uk/find-statistics/key-stage-4-performance</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Jerome, L., Hyder, F., Hilal, Y. and McKay, S. (2024) </w:t>
      </w:r>
      <w:r w:rsidRPr="00D30255">
        <w:rPr>
          <w:rFonts w:ascii="Calibri" w:eastAsia="Source Sans Pro" w:hAnsi="Calibri" w:cs="Calibri"/>
          <w:i/>
          <w:iCs/>
        </w:rPr>
        <w:t>National Citizenship Education Survey: Student Survey Report 2023–24</w:t>
      </w:r>
      <w:r w:rsidRPr="00D30255">
        <w:rPr>
          <w:rFonts w:ascii="Calibri" w:eastAsia="Source Sans Pro" w:hAnsi="Calibri" w:cs="Calibri"/>
        </w:rPr>
        <w:t>. London: Association for Citizenship Teaching.</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Jerome, L., Hyder, F., Hilal, Y. and McKay, S. (2024) </w:t>
      </w:r>
      <w:r w:rsidRPr="00D30255">
        <w:rPr>
          <w:rFonts w:ascii="Calibri" w:eastAsia="Source Sans Pro" w:hAnsi="Calibri" w:cs="Calibri"/>
          <w:i/>
          <w:iCs/>
        </w:rPr>
        <w:t>National Citizenship Education Survey: Teacher Survey Report 2023–24</w:t>
      </w:r>
      <w:r w:rsidRPr="00D30255">
        <w:rPr>
          <w:rFonts w:ascii="Calibri" w:eastAsia="Source Sans Pro" w:hAnsi="Calibri" w:cs="Calibri"/>
        </w:rPr>
        <w:t>. London: Association for Citizenship Teaching.</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Hoskins, B., López-Hornickel, N. and Mara, A. (2025) </w:t>
      </w:r>
      <w:r w:rsidRPr="00D30255">
        <w:rPr>
          <w:rFonts w:ascii="Calibri" w:eastAsia="Source Sans Pro" w:hAnsi="Calibri" w:cs="Calibri"/>
          <w:i/>
          <w:iCs/>
        </w:rPr>
        <w:t>Girls' Empowerment through Politics in Classrooms (G-EPIC): UK National Report.</w:t>
      </w:r>
      <w:r w:rsidRPr="00D30255">
        <w:rPr>
          <w:rFonts w:ascii="Calibri" w:eastAsia="Source Sans Pro" w:hAnsi="Calibri" w:cs="Calibri"/>
        </w:rPr>
        <w:t xml:space="preserve"> University of Roehampton. </w:t>
      </w:r>
    </w:p>
    <w:p w:rsidR="00DD18A5" w:rsidRPr="00D30255">
      <w:pPr>
        <w:spacing w:before="240" w:after="240" w:line="240" w:lineRule="auto"/>
        <w:ind w:right="600"/>
        <w:rPr>
          <w:rFonts w:ascii="Calibri" w:eastAsia="Source Sans Pro" w:hAnsi="Calibri" w:cs="Calibri"/>
        </w:rPr>
      </w:pPr>
      <w:r w:rsidRPr="00D30255">
        <w:rPr>
          <w:rFonts w:ascii="Calibri" w:eastAsia="Source Sans Pro" w:hAnsi="Calibri" w:cs="Calibri"/>
        </w:rPr>
        <w:t xml:space="preserve">Milburn, A. (2026). </w:t>
      </w:r>
      <w:r w:rsidRPr="00D30255">
        <w:rPr>
          <w:rFonts w:ascii="Calibri" w:eastAsia="Source Sans Pro" w:hAnsi="Calibri" w:cs="Calibri"/>
          <w:i/>
          <w:iCs/>
        </w:rPr>
        <w:t>Young People and Work: Interim Report.</w:t>
      </w:r>
      <w:r w:rsidRPr="00D30255">
        <w:rPr>
          <w:rFonts w:ascii="Calibri" w:eastAsia="Source Sans Pro" w:hAnsi="Calibri" w:cs="Calibri"/>
        </w:rPr>
        <w:t xml:space="preserve"> London: Department for Work and Pensions. </w:t>
      </w:r>
    </w:p>
    <w:p w:rsidR="00DD18A5" w:rsidRPr="00D30255">
      <w:pPr>
        <w:pStyle w:val="Heading3"/>
        <w:keepNext w:val="0"/>
        <w:keepLines w:val="0"/>
        <w:spacing w:before="280"/>
        <w:ind w:right="600"/>
        <w:rPr>
          <w:rFonts w:ascii="Calibri" w:eastAsia="Source Sans Pro" w:hAnsi="Calibri" w:cs="Calibri"/>
          <w:b/>
          <w:bCs/>
          <w:color w:val="000000"/>
          <w:sz w:val="22"/>
          <w:szCs w:val="22"/>
        </w:rPr>
      </w:pPr>
      <w:bookmarkStart w:id="8" w:name="_oycruimriqvc" w:colFirst="0" w:colLast="0"/>
      <w:bookmarkEnd w:id="8"/>
      <w:r w:rsidRPr="00D30255">
        <w:rPr>
          <w:rFonts w:ascii="Calibri" w:eastAsia="Source Sans Pro" w:hAnsi="Calibri" w:cs="Calibri"/>
          <w:b/>
          <w:bCs/>
          <w:color w:val="000000"/>
          <w:sz w:val="22"/>
          <w:szCs w:val="22"/>
        </w:rPr>
        <w:t>Prepared by</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b/>
          <w:bCs/>
        </w:rPr>
        <w:t>Liz Moorse</w:t>
      </w:r>
      <w:r w:rsidRPr="00D30255">
        <w:rPr>
          <w:rFonts w:ascii="Calibri" w:eastAsia="Source Sans Pro" w:hAnsi="Calibri" w:cs="Calibri"/>
          <w:b/>
          <w:bCs/>
        </w:rPr>
        <w:br/>
      </w:r>
      <w:r w:rsidRPr="00D30255">
        <w:rPr>
          <w:rFonts w:ascii="Calibri" w:eastAsia="Source Sans Pro" w:hAnsi="Calibri" w:cs="Calibri"/>
        </w:rPr>
        <w:t xml:space="preserve"> Chief Executive, Association for Citizenship Teaching</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b/>
          <w:bCs/>
        </w:rPr>
        <w:t>Joe Bell</w:t>
      </w:r>
      <w:r w:rsidRPr="00D30255">
        <w:rPr>
          <w:rFonts w:ascii="Calibri" w:eastAsia="Source Sans Pro" w:hAnsi="Calibri" w:cs="Calibri"/>
          <w:b/>
          <w:bCs/>
        </w:rPr>
        <w:br/>
      </w:r>
      <w:r w:rsidRPr="00D30255">
        <w:rPr>
          <w:rFonts w:ascii="Calibri" w:eastAsia="Source Sans Pro" w:hAnsi="Calibri" w:cs="Calibri"/>
        </w:rPr>
        <w:t xml:space="preserve"> Communications and Marketing Manager, Association for Citizenship Teaching</w:t>
      </w:r>
    </w:p>
    <w:p w:rsidR="00DD18A5" w:rsidRPr="00D30255">
      <w:pPr>
        <w:pStyle w:val="Heading3"/>
        <w:keepNext w:val="0"/>
        <w:keepLines w:val="0"/>
        <w:spacing w:before="280"/>
        <w:ind w:right="600"/>
        <w:rPr>
          <w:rFonts w:ascii="Calibri" w:eastAsia="Source Sans Pro" w:hAnsi="Calibri" w:cs="Calibri"/>
          <w:b/>
          <w:bCs/>
          <w:color w:val="000000"/>
          <w:sz w:val="22"/>
          <w:szCs w:val="22"/>
        </w:rPr>
      </w:pPr>
      <w:bookmarkStart w:id="9" w:name="_i9kfpv9y6nm9" w:colFirst="0" w:colLast="0"/>
      <w:bookmarkEnd w:id="9"/>
      <w:r w:rsidRPr="00D30255">
        <w:rPr>
          <w:rFonts w:ascii="Calibri" w:eastAsia="Source Sans Pro" w:hAnsi="Calibri" w:cs="Calibri"/>
          <w:b/>
          <w:bCs/>
          <w:color w:val="000000"/>
          <w:sz w:val="22"/>
          <w:szCs w:val="22"/>
        </w:rPr>
        <w:t>Academic input and review</w:t>
      </w:r>
    </w:p>
    <w:p w:rsidR="00DD18A5" w:rsidRPr="00D30255">
      <w:pPr>
        <w:spacing w:before="240" w:after="240" w:line="240" w:lineRule="auto"/>
        <w:rPr>
          <w:rFonts w:ascii="Calibri" w:eastAsia="Source Sans Pro" w:hAnsi="Calibri" w:cs="Calibri"/>
        </w:rPr>
      </w:pPr>
      <w:r w:rsidRPr="00D30255">
        <w:rPr>
          <w:rFonts w:ascii="Calibri" w:eastAsia="Source Sans Pro" w:hAnsi="Calibri" w:cs="Calibri"/>
          <w:b/>
          <w:bCs/>
        </w:rPr>
        <w:t>Professor James Sloam</w:t>
      </w:r>
      <w:r w:rsidRPr="00D30255">
        <w:rPr>
          <w:rFonts w:ascii="Calibri" w:eastAsia="Source Sans Pro" w:hAnsi="Calibri" w:cs="Calibri"/>
          <w:b/>
          <w:bCs/>
        </w:rPr>
        <w:br/>
      </w:r>
      <w:r w:rsidRPr="00D30255">
        <w:rPr>
          <w:rFonts w:ascii="Calibri" w:eastAsia="Source Sans Pro" w:hAnsi="Calibri" w:cs="Calibri"/>
        </w:rPr>
        <w:t xml:space="preserve"> Professor of Politics, Royal Holloway, University of London</w:t>
      </w:r>
    </w:p>
    <w:p w:rsidR="00D30255" w:rsidRPr="00D30255">
      <w:pPr>
        <w:spacing w:before="240" w:after="240" w:line="240" w:lineRule="auto"/>
        <w:rPr>
          <w:rFonts w:ascii="Calibri" w:eastAsia="Source Sans Pro" w:hAnsi="Calibri" w:cs="Calibri"/>
        </w:rPr>
      </w:pPr>
    </w:p>
    <w:p w:rsidR="00D30255" w:rsidRPr="00D30255">
      <w:pPr>
        <w:spacing w:before="240" w:after="240" w:line="240" w:lineRule="auto"/>
        <w:rPr>
          <w:rFonts w:ascii="Calibri" w:eastAsia="Source Sans Pro" w:hAnsi="Calibri" w:cs="Calibri"/>
          <w:i/>
          <w:iCs/>
        </w:rPr>
      </w:pPr>
      <w:r w:rsidRPr="00D30255">
        <w:rPr>
          <w:rFonts w:ascii="Calibri" w:eastAsia="Source Sans Pro" w:hAnsi="Calibri" w:cs="Calibri"/>
          <w:i/>
          <w:iCs/>
        </w:rPr>
        <w:t>September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049077-BF60-415F-BCF2-A7A537118CE0}"/>
    <w:embedBold r:id="rId2" w:fontKey="{1078A91B-CF7D-432D-8901-68C27BB9C0D5}"/>
    <w:embedItalic r:id="rId3" w:fontKey="{38D92E15-A947-4079-B178-95C1518C37CB}"/>
  </w:font>
  <w:font w:name="Source Sans Pro">
    <w:charset w:val="00"/>
    <w:family w:val="swiss"/>
    <w:pitch w:val="variable"/>
    <w:sig w:usb0="600002F7" w:usb1="02000001" w:usb2="00000000" w:usb3="00000000" w:csb0="0000019F" w:csb1="00000000"/>
    <w:embedRegular r:id="rId4" w:fontKey="{DA9AB93E-AAC7-4003-A18D-635E8D076BA6}"/>
    <w:embedBold r:id="rId5" w:fontKey="{200FA447-11C7-4FD3-B6A7-B26EBBF117BE}"/>
    <w:embedItalic r:id="rId6" w:fontKey="{0D79B8B5-6340-492B-B6F1-ACA0D9B05AFA}"/>
  </w:font>
  <w:font w:name="Cambria">
    <w:panose1 w:val="02040503050406030204"/>
    <w:charset w:val="00"/>
    <w:family w:val="roman"/>
    <w:pitch w:val="variable"/>
    <w:sig w:usb0="E00006FF" w:usb1="420024FF" w:usb2="02000000" w:usb3="00000000" w:csb0="0000019F" w:csb1="00000000"/>
    <w:embedRegular r:id="rId7" w:fontKey="{07F645F7-A947-48E8-AA41-1B7F9854ED8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747AF8B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ECA0112</dc:title>
  <cp:revision>0</cp:revision>
</cp:coreProperties>
</file>